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225425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9"/>
        <w:spacing w:after="0"/>
        <w:rPr>
          <w:sz w:val="20"/>
          <w:szCs w:val="20"/>
          <w:color w:val="auto"/>
        </w:rPr>
      </w:pPr>
      <w:r>
        <w:rPr>
          <w:rFonts w:ascii="Arial" w:cs="Arial" w:eastAsia="Arial" w:hAnsi="Arial"/>
          <w:sz w:val="36"/>
          <w:szCs w:val="36"/>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259080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April 1, 2019</w:t>
      </w:r>
    </w:p>
    <w:p>
      <w:pPr>
        <w:spacing w:after="0" w:line="22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COMMISSION FILE NUMBER: 001-33373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CAPITAL PRODUCT PARTNERS L.P.</w:t>
      </w:r>
    </w:p>
    <w:p>
      <w:pPr>
        <w:spacing w:after="0" w:line="5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 Iassonos Street</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Piraeus, 18537 Greece</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0" w:lineRule="exact"/>
        <w:rPr>
          <w:sz w:val="24"/>
          <w:szCs w:val="24"/>
          <w:color w:val="auto"/>
        </w:rPr>
      </w:pPr>
    </w:p>
    <w:p>
      <w:pPr>
        <w:ind w:left="23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tabs>
          <w:tab w:leader="none" w:pos="9100" w:val="left"/>
        </w:tabs>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r>
        <w:rPr>
          <w:sz w:val="20"/>
          <w:szCs w:val="20"/>
          <w:color w:val="auto"/>
        </w:rPr>
        <w:tab/>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297815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-10160</wp:posOffset>
            </wp:positionV>
            <wp:extent cx="457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620"/>
          </w:cols>
          <w:pgMar w:left="440" w:top="526"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6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70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9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9700" w:type="dxa"/>
            <w:vAlign w:val="bottom"/>
            <w:gridSpan w:val="3"/>
          </w:tcPr>
          <w:p>
            <w:pPr>
              <w:ind w:left="520"/>
              <w:spacing w:after="0"/>
              <w:rPr>
                <w:sz w:val="20"/>
                <w:szCs w:val="20"/>
                <w:color w:val="auto"/>
              </w:rPr>
            </w:pPr>
            <w:r>
              <w:rPr>
                <w:rFonts w:ascii="Arial" w:cs="Arial" w:eastAsia="Arial" w:hAnsi="Arial"/>
                <w:sz w:val="18"/>
                <w:szCs w:val="18"/>
                <w:color w:val="auto"/>
              </w:rPr>
              <w:t>Press release issued March 28, 2019, announcing the completion of merger and reverse unit split.</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99.2</w:t>
            </w:r>
          </w:p>
        </w:tc>
        <w:tc>
          <w:tcPr>
            <w:tcW w:w="9700" w:type="dxa"/>
            <w:vAlign w:val="bottom"/>
            <w:gridSpan w:val="3"/>
          </w:tcPr>
          <w:p>
            <w:pPr>
              <w:ind w:left="520"/>
              <w:spacing w:after="0"/>
              <w:rPr>
                <w:sz w:val="20"/>
                <w:szCs w:val="20"/>
                <w:color w:val="auto"/>
              </w:rPr>
            </w:pPr>
            <w:r>
              <w:rPr>
                <w:rFonts w:ascii="Arial" w:cs="Arial" w:eastAsia="Arial" w:hAnsi="Arial"/>
                <w:sz w:val="18"/>
                <w:szCs w:val="18"/>
                <w:color w:val="auto"/>
                <w:w w:val="90"/>
              </w:rPr>
              <w:t>Amendment No. 33 to the Floating Rate Management Agreement with Capital Ship Management Corp., dated March 27, 2019.</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99.3</w:t>
            </w:r>
          </w:p>
        </w:tc>
        <w:tc>
          <w:tcPr>
            <w:tcW w:w="9700" w:type="dxa"/>
            <w:vAlign w:val="bottom"/>
            <w:gridSpan w:val="3"/>
          </w:tcPr>
          <w:p>
            <w:pPr>
              <w:ind w:left="520"/>
              <w:spacing w:after="0"/>
              <w:rPr>
                <w:sz w:val="20"/>
                <w:szCs w:val="20"/>
                <w:color w:val="auto"/>
              </w:rPr>
            </w:pPr>
            <w:r>
              <w:rPr>
                <w:rFonts w:ascii="Arial" w:cs="Arial" w:eastAsia="Arial" w:hAnsi="Arial"/>
                <w:sz w:val="18"/>
                <w:szCs w:val="18"/>
                <w:color w:val="auto"/>
              </w:rPr>
              <w:t>Termination of Crude Carriers Management Agreement, dated March 27, 2019.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20"/>
          </w:cols>
          <w:pgMar w:left="440" w:top="270" w:right="1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CAPITAL PRODUCT PARTNERS L.P.</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Dated: April 1, 2019</w:t>
      </w:r>
      <w:r>
        <w:rPr>
          <w:sz w:val="20"/>
          <w:szCs w:val="20"/>
          <w:color w:val="auto"/>
        </w:rPr>
        <w:tab/>
      </w:r>
      <w:r>
        <w:rPr>
          <w:rFonts w:ascii="Arial" w:cs="Arial" w:eastAsia="Arial" w:hAnsi="Arial"/>
          <w:sz w:val="17"/>
          <w:szCs w:val="17"/>
          <w:color w:val="auto"/>
        </w:rPr>
        <w:t>By: Capital GP L.L.C., its general partner</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Gerasimos (Jerry) Kalogiratos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Executive Officer of Capital GP L.L.C.</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172085</wp:posOffset>
            </wp:positionV>
            <wp:extent cx="1895475"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CPLP Announces Completion of Merger and 1-for-7 Reverse Unit Split</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ATHENS, GREECE — March 28, 2019 — Capital Product Partners L.P. (NASDAQ: CPLP) announced today that the merger of its crude and product tanker business with the business and operations of DSS Holdings L.P. has been completed. Common stock of Diamond S Shipping Inc. (“Diamond S”) is expected to begin regular-way trading on the New York Stock Exchange today, March 28.</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CPLP further announced that it has completed its 1-for-7 reverse unit split. CPLP common units will continue to trade on a split-adjusted basis on NASDAQ under the same ticker symbol “CPLP” (CUSIP # Y11082206).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Jerry Kalogiratos, Director and Chief Executive Officer of Capital GP LLC, commented:</w:t>
      </w:r>
    </w:p>
    <w:p>
      <w:pPr>
        <w:spacing w:after="0" w:line="225"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are pleased to see this strategic transaction completed and wish Diamond S best of luck as a listed entity. This transaction allows CPLP to reshape its business with a modern fleet with remaining charter duration of more than five years, providing CPLP unitholders with increased stability and cash flow visibility. Importantly, with this transaction completed, we are looking forward to expanding our asset base again with modern vessels employed under medium- to long-term charters with a view to growing our long-term distributable cash flow.”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Capital Product Partners L.P.</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Capital Product Partners L.P. (NASDAQ: CPLP), a Marshall Islands master limited partnership, is an international owner of container and drybulk vessels. CPLP currently owns 11 vessels, including ten neo panamax container vessels.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i w:val="1"/>
          <w:iCs w:val="1"/>
          <w:color w:val="auto"/>
        </w:rPr>
        <w:t>The statements in this press release that are not historical facts are forward-looking statements (as such term is defined in Section 21E of the Securities Exchange Act of 1934, as amended). These forward-looking statements involve risks and uncertainties that could cause the stated or forecasted results to be materially different from those anticipated. For a discussion of factors that could materially affect the outcome of forward-looking statements and other risks and uncertainties, see “Risk Factors” in CPLP’s annual report filed with the Securities and Exchange Commission on Form 20-F.</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Jerry Kalogiratos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+30 (210) 4584 950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j.kalogiratos@capitalpplp.com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Nikos Kalapotharakos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+30 (210) 4584 950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n.kalapotharakos@capitalmaritime.com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Nicolas Bornozis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Link, Inc.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+1-212-661-7566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cplp@capitallink.com</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TO FLOATING RATE MANAGEMENT AGREEMENT</w:t>
      </w:r>
    </w:p>
    <w:p>
      <w:pPr>
        <w:spacing w:after="0" w:line="218"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 xml:space="preserve">AMENDMENT NO. 33 made effective this </w:t>
      </w:r>
      <w:r>
        <w:rPr>
          <w:rFonts w:ascii="Arial" w:cs="Arial" w:eastAsia="Arial" w:hAnsi="Arial"/>
          <w:sz w:val="18"/>
          <w:szCs w:val="18"/>
          <w:u w:val="single" w:color="auto"/>
          <w:color w:val="auto"/>
        </w:rPr>
        <w:t>27th day of March 2019,</w:t>
      </w:r>
      <w:r>
        <w:rPr>
          <w:rFonts w:ascii="Arial" w:cs="Arial" w:eastAsia="Arial" w:hAnsi="Arial"/>
          <w:sz w:val="18"/>
          <w:szCs w:val="18"/>
          <w:color w:val="auto"/>
        </w:rPr>
        <w:t xml:space="preserve"> to the Floating Rate Management Agreement dated the 10th of June 2011 (the “</w:t>
      </w:r>
      <w:r>
        <w:rPr>
          <w:rFonts w:ascii="Arial" w:cs="Arial" w:eastAsia="Arial" w:hAnsi="Arial"/>
          <w:sz w:val="18"/>
          <w:szCs w:val="18"/>
          <w:u w:val="single" w:color="auto"/>
          <w:color w:val="auto"/>
        </w:rPr>
        <w:t>Floating Rate Management Agreement</w:t>
      </w:r>
      <w:r>
        <w:rPr>
          <w:rFonts w:ascii="Arial" w:cs="Arial" w:eastAsia="Arial" w:hAnsi="Arial"/>
          <w:sz w:val="18"/>
          <w:szCs w:val="18"/>
          <w:color w:val="auto"/>
        </w:rPr>
        <w:t>”), as amended; by and between CAPITAL PRODUCT PARTNERS L.P., a limited partnership duly organized and existing under the laws of the Marshall Islands (“</w:t>
      </w:r>
      <w:r>
        <w:rPr>
          <w:rFonts w:ascii="Arial" w:cs="Arial" w:eastAsia="Arial" w:hAnsi="Arial"/>
          <w:sz w:val="18"/>
          <w:szCs w:val="18"/>
          <w:u w:val="single" w:color="auto"/>
          <w:color w:val="auto"/>
        </w:rPr>
        <w:t>CLP</w:t>
      </w:r>
      <w:r>
        <w:rPr>
          <w:rFonts w:ascii="Arial" w:cs="Arial" w:eastAsia="Arial" w:hAnsi="Arial"/>
          <w:sz w:val="18"/>
          <w:szCs w:val="18"/>
          <w:color w:val="auto"/>
        </w:rPr>
        <w:t>”), and CAPITAL SHIP MANAGEMENT CORP., a company duly organized and existing under the laws of Panama with its registered office at Hong Kong Bank building, 6th floor, Samuel Lewis Avenue, Panama, and a representative office established in Greece at 3, Iassonos Street, Piraeus Greece (“</w:t>
      </w:r>
      <w:r>
        <w:rPr>
          <w:rFonts w:ascii="Arial" w:cs="Arial" w:eastAsia="Arial" w:hAnsi="Arial"/>
          <w:sz w:val="18"/>
          <w:szCs w:val="18"/>
          <w:u w:val="single" w:color="auto"/>
          <w:color w:val="auto"/>
        </w:rPr>
        <w:t>CSM</w:t>
      </w:r>
      <w:r>
        <w:rPr>
          <w:rFonts w:ascii="Arial" w:cs="Arial" w:eastAsia="Arial" w:hAnsi="Arial"/>
          <w:sz w:val="18"/>
          <w:szCs w:val="18"/>
          <w:color w:val="auto"/>
        </w:rPr>
        <w:t>”).</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WHEREAS:</w:t>
      </w:r>
    </w:p>
    <w:p>
      <w:pPr>
        <w:spacing w:after="0" w:line="252" w:lineRule="exact"/>
        <w:rPr>
          <w:sz w:val="20"/>
          <w:szCs w:val="20"/>
          <w:color w:val="auto"/>
        </w:rPr>
      </w:pPr>
    </w:p>
    <w:p>
      <w:pPr>
        <w:ind w:left="1860" w:hanging="425"/>
        <w:spacing w:after="0"/>
        <w:tabs>
          <w:tab w:leader="none" w:pos="1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CLP owns vessels and requires certain commercial and technical management services for the operation of its fleet;</w:t>
      </w:r>
    </w:p>
    <w:p>
      <w:pPr>
        <w:spacing w:after="0" w:line="263" w:lineRule="exact"/>
        <w:rPr>
          <w:rFonts w:ascii="Arial" w:cs="Arial" w:eastAsia="Arial" w:hAnsi="Arial"/>
          <w:sz w:val="17"/>
          <w:szCs w:val="17"/>
          <w:color w:val="auto"/>
        </w:rPr>
      </w:pPr>
    </w:p>
    <w:p>
      <w:pPr>
        <w:ind w:left="1860" w:right="80" w:hanging="425"/>
        <w:spacing w:after="0" w:line="264" w:lineRule="auto"/>
        <w:tabs>
          <w:tab w:leader="none" w:pos="1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the Floating Rate Management Agreement, CLP engaged CSM to provide such commercial and technical management services to CLP on the terms set out therein and as of the date hereof CSM will not manage the below vessels on behalf of CLP:</w:t>
      </w:r>
    </w:p>
    <w:p>
      <w:pPr>
        <w:spacing w:after="0" w:line="324" w:lineRule="exact"/>
        <w:rPr>
          <w:sz w:val="20"/>
          <w:szCs w:val="20"/>
          <w:color w:val="auto"/>
        </w:rPr>
      </w:pPr>
    </w:p>
    <w:tbl>
      <w:tblPr>
        <w:tblLayout w:type="fixed"/>
        <w:tblInd w:w="1130" w:type="dxa"/>
        <w:tblCellMar>
          <w:top w:w="0" w:type="dxa"/>
          <w:left w:w="0" w:type="dxa"/>
          <w:bottom w:w="0" w:type="dxa"/>
          <w:right w:w="0" w:type="dxa"/>
        </w:tblCellMar>
      </w:tblPr>
      <w:tr>
        <w:trPr>
          <w:trHeight w:val="230"/>
        </w:trPr>
        <w:tc>
          <w:tcPr>
            <w:tcW w:w="266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Vessel Name</w:t>
            </w:r>
          </w:p>
        </w:tc>
        <w:tc>
          <w:tcPr>
            <w:tcW w:w="288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IMO Number</w:t>
            </w:r>
          </w:p>
        </w:tc>
        <w:tc>
          <w:tcPr>
            <w:tcW w:w="328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Flag</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ACTIVE</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9700342</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Liberia</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AGISILAOS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9315745</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Marshall Islands</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AYRTON II</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9410014</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Liberia</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AIOLOS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9315769</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Marshall Islands</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AKERAIOS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9328297</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Liberia</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AKTORAS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9312925</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Marshall Islands</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ALEXANDROS II</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9384021</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Marshall Islands</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ALKIVIADIS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9327437</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Marshall Islands</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AMADEUS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9700469</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Malta</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AMOR</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9700471</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Liberia</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AXIOS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9315941</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Liberia</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ANEMOS I</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9327463</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Liberia</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ANIKITOS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9710490</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Liberia</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APOSTOLOS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9327451</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Liberia</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ARIONAS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9315757</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Marshall Islands</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ARIS II</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9384019</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Marshall Islands</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ARISTAIOS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9779939</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Marshall Islands</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ARISTOTELIS II</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9384033</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Marshall Islands</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ASSOS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9327449</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Liberia</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ATLANTAS II</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9312913</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Marshall Islands</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ATROTOS</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9328285</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Liberia</w:t>
            </w:r>
          </w:p>
        </w:tc>
      </w:tr>
      <w:tr>
        <w:trPr>
          <w:trHeight w:val="210"/>
        </w:trPr>
        <w:tc>
          <w:tcPr>
            <w:tcW w:w="2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AVAX</w:t>
            </w:r>
          </w:p>
        </w:tc>
        <w:tc>
          <w:tcPr>
            <w:tcW w:w="28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9315939</w:t>
            </w:r>
          </w:p>
        </w:tc>
        <w:tc>
          <w:tcPr>
            <w:tcW w:w="32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rPr>
              <w:t>Liberia</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ind w:right="30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in consideration of the premises and the agreements, provisions and covenants herein contained, the parties hereto hereby agree, on the terms and subject to the conditions set forth herein, as follows:</w:t>
      </w:r>
    </w:p>
    <w:p>
      <w:pPr>
        <w:spacing w:after="0" w:line="170"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Capitalized terms used but not defined herein shall have the meanings assigned to such terms in the Floating Rate Management Agreement.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Schedule “B” of the Floating Rate Management Agreement is hereby amended to read in its entirety as follows: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B</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VESSELS AND DATE OF TERMINATION</w:t>
      </w:r>
    </w:p>
    <w:p>
      <w:pPr>
        <w:spacing w:after="0" w:line="243" w:lineRule="exact"/>
        <w:rPr>
          <w:sz w:val="20"/>
          <w:szCs w:val="20"/>
          <w:color w:val="auto"/>
        </w:rPr>
      </w:pPr>
    </w:p>
    <w:tbl>
      <w:tblPr>
        <w:tblLayout w:type="fixed"/>
        <w:tblInd w:w="222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Arial" w:cs="Arial" w:eastAsia="Arial" w:hAnsi="Arial"/>
                <w:sz w:val="20"/>
                <w:szCs w:val="20"/>
                <w:b w:val="1"/>
                <w:bCs w:val="1"/>
                <w:color w:val="auto"/>
                <w:w w:val="87"/>
              </w:rPr>
              <w:t>Expected</w:t>
            </w:r>
          </w:p>
        </w:tc>
      </w:tr>
      <w:tr>
        <w:trPr>
          <w:trHeight w:val="266"/>
        </w:trPr>
        <w:tc>
          <w:tcPr>
            <w:tcW w:w="3360" w:type="dxa"/>
            <w:vAlign w:val="bottom"/>
            <w:tcBorders>
              <w:bottom w:val="single" w:sz="8" w:color="auto"/>
            </w:tcBorders>
          </w:tcPr>
          <w:p>
            <w:pPr>
              <w:ind w:left="1160"/>
              <w:spacing w:after="0"/>
              <w:rPr>
                <w:sz w:val="20"/>
                <w:szCs w:val="20"/>
                <w:color w:val="auto"/>
              </w:rPr>
            </w:pPr>
            <w:r>
              <w:rPr>
                <w:rFonts w:ascii="Arial" w:cs="Arial" w:eastAsia="Arial" w:hAnsi="Arial"/>
                <w:sz w:val="20"/>
                <w:szCs w:val="20"/>
                <w:b w:val="1"/>
                <w:bCs w:val="1"/>
                <w:color w:val="auto"/>
              </w:rPr>
              <w:t>Vessel Name</w:t>
            </w:r>
          </w:p>
        </w:tc>
        <w:tc>
          <w:tcPr>
            <w:tcW w:w="140" w:type="dxa"/>
            <w:vAlign w:val="bottom"/>
          </w:tcPr>
          <w:p>
            <w:pPr>
              <w:spacing w:after="0"/>
              <w:rPr>
                <w:sz w:val="23"/>
                <w:szCs w:val="23"/>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Termination Date</w:t>
            </w:r>
          </w:p>
        </w:tc>
      </w:t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Cape Agamemnon</w:t>
            </w:r>
          </w:p>
        </w:tc>
        <w:tc>
          <w:tcPr>
            <w:tcW w:w="14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7"/>
              </w:rPr>
              <w:t>June 2021</w:t>
            </w:r>
          </w:p>
        </w:tc>
      </w:tr>
      <w:tr>
        <w:trPr>
          <w:trHeight w:val="319"/>
        </w:trPr>
        <w:tc>
          <w:tcPr>
            <w:tcW w:w="3360" w:type="dxa"/>
            <w:vAlign w:val="bottom"/>
          </w:tcPr>
          <w:p>
            <w:pPr>
              <w:spacing w:after="0"/>
              <w:rPr>
                <w:sz w:val="20"/>
                <w:szCs w:val="20"/>
                <w:color w:val="auto"/>
              </w:rPr>
            </w:pPr>
            <w:r>
              <w:rPr>
                <w:rFonts w:ascii="Arial" w:cs="Arial" w:eastAsia="Arial" w:hAnsi="Arial"/>
                <w:sz w:val="18"/>
                <w:szCs w:val="18"/>
                <w:b w:val="1"/>
                <w:bCs w:val="1"/>
                <w:color w:val="auto"/>
              </w:rPr>
              <w:t>Agamemnon</w:t>
            </w:r>
          </w:p>
        </w:tc>
        <w:tc>
          <w:tcPr>
            <w:tcW w:w="1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r>
        <w:trPr>
          <w:trHeight w:val="324"/>
        </w:trPr>
        <w:tc>
          <w:tcPr>
            <w:tcW w:w="3360" w:type="dxa"/>
            <w:vAlign w:val="bottom"/>
          </w:tcPr>
          <w:p>
            <w:pPr>
              <w:spacing w:after="0"/>
              <w:rPr>
                <w:sz w:val="20"/>
                <w:szCs w:val="20"/>
                <w:color w:val="auto"/>
              </w:rPr>
            </w:pPr>
            <w:r>
              <w:rPr>
                <w:rFonts w:ascii="Arial" w:cs="Arial" w:eastAsia="Arial" w:hAnsi="Arial"/>
                <w:sz w:val="18"/>
                <w:szCs w:val="18"/>
                <w:b w:val="1"/>
                <w:bCs w:val="1"/>
                <w:color w:val="auto"/>
              </w:rPr>
              <w:t>Archimidis</w:t>
            </w:r>
          </w:p>
        </w:tc>
        <w:tc>
          <w:tcPr>
            <w:tcW w:w="1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r>
        <w:trPr>
          <w:trHeight w:val="324"/>
        </w:trPr>
        <w:tc>
          <w:tcPr>
            <w:tcW w:w="3360" w:type="dxa"/>
            <w:vAlign w:val="bottom"/>
          </w:tcPr>
          <w:p>
            <w:pPr>
              <w:spacing w:after="0"/>
              <w:rPr>
                <w:sz w:val="20"/>
                <w:szCs w:val="20"/>
                <w:color w:val="auto"/>
              </w:rPr>
            </w:pPr>
            <w:r>
              <w:rPr>
                <w:rFonts w:ascii="Arial" w:cs="Arial" w:eastAsia="Arial" w:hAnsi="Arial"/>
                <w:sz w:val="18"/>
                <w:szCs w:val="18"/>
                <w:b w:val="1"/>
                <w:bCs w:val="1"/>
                <w:color w:val="auto"/>
              </w:rPr>
              <w:t>Hyundai Premium</w:t>
            </w:r>
          </w:p>
        </w:tc>
        <w:tc>
          <w:tcPr>
            <w:tcW w:w="1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March 2023</w:t>
            </w:r>
          </w:p>
        </w:tc>
      </w:tr>
      <w:tr>
        <w:trPr>
          <w:trHeight w:val="324"/>
        </w:trPr>
        <w:tc>
          <w:tcPr>
            <w:tcW w:w="3360" w:type="dxa"/>
            <w:vAlign w:val="bottom"/>
          </w:tcPr>
          <w:p>
            <w:pPr>
              <w:spacing w:after="0"/>
              <w:rPr>
                <w:sz w:val="20"/>
                <w:szCs w:val="20"/>
                <w:color w:val="auto"/>
              </w:rPr>
            </w:pPr>
            <w:r>
              <w:rPr>
                <w:rFonts w:ascii="Arial" w:cs="Arial" w:eastAsia="Arial" w:hAnsi="Arial"/>
                <w:sz w:val="18"/>
                <w:szCs w:val="18"/>
                <w:b w:val="1"/>
                <w:bCs w:val="1"/>
                <w:color w:val="auto"/>
              </w:rPr>
              <w:t>Hyundai Paramount</w:t>
            </w:r>
          </w:p>
        </w:tc>
        <w:tc>
          <w:tcPr>
            <w:tcW w:w="1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March 2023</w:t>
            </w:r>
          </w:p>
        </w:tc>
      </w:tr>
      <w:tr>
        <w:trPr>
          <w:trHeight w:val="324"/>
        </w:trPr>
        <w:tc>
          <w:tcPr>
            <w:tcW w:w="3360" w:type="dxa"/>
            <w:vAlign w:val="bottom"/>
          </w:tcPr>
          <w:p>
            <w:pPr>
              <w:spacing w:after="0"/>
              <w:rPr>
                <w:sz w:val="20"/>
                <w:szCs w:val="20"/>
                <w:color w:val="auto"/>
              </w:rPr>
            </w:pPr>
            <w:r>
              <w:rPr>
                <w:rFonts w:ascii="Arial" w:cs="Arial" w:eastAsia="Arial" w:hAnsi="Arial"/>
                <w:sz w:val="18"/>
                <w:szCs w:val="18"/>
                <w:b w:val="1"/>
                <w:bCs w:val="1"/>
                <w:color w:val="auto"/>
              </w:rPr>
              <w:t>Hyundai Platinum</w:t>
            </w:r>
          </w:p>
        </w:tc>
        <w:tc>
          <w:tcPr>
            <w:tcW w:w="1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August-September 2023</w:t>
            </w:r>
          </w:p>
        </w:tc>
      </w:tr>
      <w:tr>
        <w:trPr>
          <w:trHeight w:val="324"/>
        </w:trPr>
        <w:tc>
          <w:tcPr>
            <w:tcW w:w="3360" w:type="dxa"/>
            <w:vAlign w:val="bottom"/>
          </w:tcPr>
          <w:p>
            <w:pPr>
              <w:spacing w:after="0"/>
              <w:rPr>
                <w:sz w:val="20"/>
                <w:szCs w:val="20"/>
                <w:color w:val="auto"/>
              </w:rPr>
            </w:pPr>
            <w:r>
              <w:rPr>
                <w:rFonts w:ascii="Arial" w:cs="Arial" w:eastAsia="Arial" w:hAnsi="Arial"/>
                <w:sz w:val="18"/>
                <w:szCs w:val="18"/>
                <w:b w:val="1"/>
                <w:bCs w:val="1"/>
                <w:color w:val="auto"/>
              </w:rPr>
              <w:t>Hyundai Privilege</w:t>
            </w:r>
          </w:p>
        </w:tc>
        <w:tc>
          <w:tcPr>
            <w:tcW w:w="1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August-September 2023</w:t>
            </w:r>
          </w:p>
        </w:tc>
      </w:tr>
      <w:tr>
        <w:trPr>
          <w:trHeight w:val="324"/>
        </w:trPr>
        <w:tc>
          <w:tcPr>
            <w:tcW w:w="3360" w:type="dxa"/>
            <w:vAlign w:val="bottom"/>
          </w:tcPr>
          <w:p>
            <w:pPr>
              <w:spacing w:after="0"/>
              <w:rPr>
                <w:sz w:val="20"/>
                <w:szCs w:val="20"/>
                <w:color w:val="auto"/>
              </w:rPr>
            </w:pPr>
            <w:r>
              <w:rPr>
                <w:rFonts w:ascii="Arial" w:cs="Arial" w:eastAsia="Arial" w:hAnsi="Arial"/>
                <w:sz w:val="18"/>
                <w:szCs w:val="18"/>
                <w:b w:val="1"/>
                <w:bCs w:val="1"/>
                <w:color w:val="auto"/>
              </w:rPr>
              <w:t>Huyndai Prestige</w:t>
            </w:r>
          </w:p>
        </w:tc>
        <w:tc>
          <w:tcPr>
            <w:tcW w:w="1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9"/>
              </w:rPr>
              <w:t>August-September 2023</w:t>
            </w:r>
          </w:p>
        </w:tc>
      </w:tr>
      <w:tr>
        <w:trPr>
          <w:trHeight w:val="324"/>
        </w:trPr>
        <w:tc>
          <w:tcPr>
            <w:tcW w:w="3360" w:type="dxa"/>
            <w:vAlign w:val="bottom"/>
          </w:tcPr>
          <w:p>
            <w:pPr>
              <w:spacing w:after="0"/>
              <w:rPr>
                <w:sz w:val="20"/>
                <w:szCs w:val="20"/>
                <w:color w:val="auto"/>
              </w:rPr>
            </w:pPr>
            <w:r>
              <w:rPr>
                <w:rFonts w:ascii="Arial" w:cs="Arial" w:eastAsia="Arial" w:hAnsi="Arial"/>
                <w:sz w:val="18"/>
                <w:szCs w:val="18"/>
                <w:b w:val="1"/>
                <w:bCs w:val="1"/>
                <w:color w:val="auto"/>
              </w:rPr>
              <w:t>CMA CGM Amazon</w:t>
            </w:r>
          </w:p>
        </w:tc>
        <w:tc>
          <w:tcPr>
            <w:tcW w:w="1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7"/>
              </w:rPr>
              <w:t>June 2020</w:t>
            </w:r>
          </w:p>
        </w:tc>
      </w:tr>
      <w:tr>
        <w:trPr>
          <w:trHeight w:val="324"/>
        </w:trPr>
        <w:tc>
          <w:tcPr>
            <w:tcW w:w="3360" w:type="dxa"/>
            <w:vAlign w:val="bottom"/>
          </w:tcPr>
          <w:p>
            <w:pPr>
              <w:spacing w:after="0"/>
              <w:rPr>
                <w:sz w:val="20"/>
                <w:szCs w:val="20"/>
                <w:color w:val="auto"/>
              </w:rPr>
            </w:pPr>
            <w:r>
              <w:rPr>
                <w:rFonts w:ascii="Arial" w:cs="Arial" w:eastAsia="Arial" w:hAnsi="Arial"/>
                <w:sz w:val="18"/>
                <w:szCs w:val="18"/>
                <w:b w:val="1"/>
                <w:bCs w:val="1"/>
                <w:color w:val="auto"/>
              </w:rPr>
              <w:t>CMA CGM Uruguay</w:t>
            </w:r>
          </w:p>
        </w:tc>
        <w:tc>
          <w:tcPr>
            <w:tcW w:w="1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88"/>
              </w:rPr>
              <w:t>September 2020</w:t>
            </w:r>
          </w:p>
        </w:tc>
      </w:tr>
      <w:tr>
        <w:trPr>
          <w:trHeight w:val="324"/>
        </w:trPr>
        <w:tc>
          <w:tcPr>
            <w:tcW w:w="3360" w:type="dxa"/>
            <w:vAlign w:val="bottom"/>
          </w:tcPr>
          <w:p>
            <w:pPr>
              <w:spacing w:after="0"/>
              <w:rPr>
                <w:sz w:val="20"/>
                <w:szCs w:val="20"/>
                <w:color w:val="auto"/>
              </w:rPr>
            </w:pPr>
            <w:r>
              <w:rPr>
                <w:rFonts w:ascii="Arial" w:cs="Arial" w:eastAsia="Arial" w:hAnsi="Arial"/>
                <w:sz w:val="18"/>
                <w:szCs w:val="18"/>
                <w:b w:val="1"/>
                <w:bCs w:val="1"/>
                <w:color w:val="auto"/>
              </w:rPr>
              <w:t>CMA CGM Magdalena</w:t>
            </w:r>
          </w:p>
        </w:tc>
        <w:tc>
          <w:tcPr>
            <w:tcW w:w="140" w:type="dxa"/>
            <w:vAlign w:val="bottom"/>
          </w:tcPr>
          <w:p>
            <w:pPr>
              <w:spacing w:after="0"/>
              <w:rPr>
                <w:sz w:val="24"/>
                <w:szCs w:val="24"/>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0"/>
              </w:rPr>
              <w:t>February 2021</w:t>
            </w: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xml:space="preserve"> This Amendment shall become effective as of 27th March 2019.</w:t>
      </w:r>
    </w:p>
    <w:p>
      <w:pPr>
        <w:spacing w:after="0" w:line="225" w:lineRule="exact"/>
        <w:rPr>
          <w:sz w:val="20"/>
          <w:szCs w:val="20"/>
          <w:color w:val="auto"/>
        </w:rPr>
      </w:pPr>
    </w:p>
    <w:p>
      <w:pPr>
        <w:ind w:right="40" w:firstLine="881"/>
        <w:spacing w:after="0" w:line="29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Effect of Amendment.</w:t>
      </w:r>
      <w:r>
        <w:rPr>
          <w:rFonts w:ascii="Arial" w:cs="Arial" w:eastAsia="Arial" w:hAnsi="Arial"/>
          <w:sz w:val="16"/>
          <w:szCs w:val="16"/>
          <w:color w:val="auto"/>
        </w:rPr>
        <w:t xml:space="preserve"> Except as expressly set forth herein, this Amendment shall not by implication or otherwise limit, impair, constitute a waiver of, amend, or otherwise affect the rights and remedies of CLP or CSM under the Floating Rate Management Agreement, and shall not alter, modify, amend or in any way affect any of the terms, conditions, obligations, covenants or agreements contained in the Floating Rate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Floating Rate Management Agreement in similar or different circumstances. This Amendment shall apply and be effective with respect to the matters expressly referred to herein. After the Amendment Effective Date, any reference to the Floating Rate Management Agreement shall mean the Floating Rate Management Agreement with such amendments effected hereby.</w:t>
      </w:r>
    </w:p>
    <w:p>
      <w:pPr>
        <w:spacing w:after="0" w:line="166"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one or more signed counterparts, facsimile or otherwise, which shall together form one instrument.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ind w:right="120" w:firstLine="88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the Parties have executed this Amendment this </w:t>
      </w:r>
      <w:r>
        <w:rPr>
          <w:rFonts w:ascii="Arial" w:cs="Arial" w:eastAsia="Arial" w:hAnsi="Arial"/>
          <w:sz w:val="18"/>
          <w:szCs w:val="18"/>
          <w:u w:val="single" w:color="auto"/>
          <w:color w:val="auto"/>
        </w:rPr>
        <w:t>27th March 2019</w:t>
      </w:r>
      <w:r>
        <w:rPr>
          <w:rFonts w:ascii="Arial" w:cs="Arial" w:eastAsia="Arial" w:hAnsi="Arial"/>
          <w:sz w:val="18"/>
          <w:szCs w:val="18"/>
          <w:color w:val="auto"/>
        </w:rPr>
        <w:t xml:space="preserve"> by their duly authorized signatories with effect on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CAPITAL PRODUCT PARTNERS L.P.</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GENERAL PARTNER, CAPITAL GP L.L.C.,</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Gerasimos Kalogiratos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Gerasimos Kalogiratos</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 of Capital GP L.L.C.</w:t>
            </w:r>
          </w:p>
        </w:tc>
      </w:tr>
      <w:tr>
        <w:trPr>
          <w:trHeight w:val="540"/>
        </w:trPr>
        <w:tc>
          <w:tcPr>
            <w:tcW w:w="4420" w:type="dxa"/>
            <w:vAlign w:val="bottom"/>
            <w:gridSpan w:val="2"/>
          </w:tcPr>
          <w:p>
            <w:pPr>
              <w:spacing w:after="0"/>
              <w:rPr>
                <w:sz w:val="20"/>
                <w:szCs w:val="20"/>
                <w:color w:val="auto"/>
              </w:rPr>
            </w:pPr>
            <w:r>
              <w:rPr>
                <w:rFonts w:ascii="Arial" w:cs="Arial" w:eastAsia="Arial" w:hAnsi="Arial"/>
                <w:sz w:val="18"/>
                <w:szCs w:val="18"/>
                <w:color w:val="auto"/>
              </w:rPr>
              <w:t>CAPITAL SHIP MANAGEMENT CORP.,</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Prokopis Iliou</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b w:val="1"/>
                <w:bCs w:val="1"/>
                <w:color w:val="auto"/>
              </w:rPr>
              <w:t>Prokopis Iliou</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4" w:right="41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99.3</w:t>
      </w:r>
    </w:p>
    <w:p>
      <w:pPr>
        <w:spacing w:after="0" w:line="227"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TERMINATION OF MANAGEMENT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made this 27th March 2019 by and between:</w:t>
      </w:r>
    </w:p>
    <w:p>
      <w:pPr>
        <w:spacing w:after="0" w:line="23" w:lineRule="exact"/>
        <w:rPr>
          <w:sz w:val="20"/>
          <w:szCs w:val="20"/>
          <w:color w:val="auto"/>
        </w:rPr>
      </w:pPr>
    </w:p>
    <w:p>
      <w:pPr>
        <w:ind w:right="40" w:firstLine="4"/>
        <w:spacing w:after="0" w:line="26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SHIP MANAGEMENT CORP., a company duly organized and existing under the laws of Panama with a representative branch office and business address in Greece at 3, Iassonos Street, Piraeus Greece (“</w:t>
      </w:r>
      <w:r>
        <w:rPr>
          <w:rFonts w:ascii="Arial" w:cs="Arial" w:eastAsia="Arial" w:hAnsi="Arial"/>
          <w:sz w:val="18"/>
          <w:szCs w:val="18"/>
          <w:b w:val="1"/>
          <w:bCs w:val="1"/>
          <w:color w:val="auto"/>
        </w:rPr>
        <w:t>CSM</w:t>
      </w:r>
      <w:r>
        <w:rPr>
          <w:rFonts w:ascii="Arial" w:cs="Arial" w:eastAsia="Arial" w:hAnsi="Arial"/>
          <w:sz w:val="18"/>
          <w:szCs w:val="18"/>
          <w:color w:val="auto"/>
        </w:rPr>
        <w:t>”); and</w:t>
      </w:r>
    </w:p>
    <w:p>
      <w:pPr>
        <w:spacing w:after="0" w:line="179" w:lineRule="exact"/>
        <w:rPr>
          <w:rFonts w:ascii="Arial" w:cs="Arial" w:eastAsia="Arial" w:hAnsi="Arial"/>
          <w:sz w:val="18"/>
          <w:szCs w:val="18"/>
          <w:color w:val="auto"/>
        </w:rPr>
      </w:pPr>
    </w:p>
    <w:p>
      <w:pPr>
        <w:ind w:right="160" w:firstLine="4"/>
        <w:spacing w:after="0" w:line="282"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CRUDE CARRIERS CORP., a corporation duly organized and existing under the laws of the Marshall Islands (“</w:t>
      </w:r>
      <w:r>
        <w:rPr>
          <w:rFonts w:ascii="Arial" w:cs="Arial" w:eastAsia="Arial" w:hAnsi="Arial"/>
          <w:sz w:val="18"/>
          <w:szCs w:val="18"/>
          <w:b w:val="1"/>
          <w:bCs w:val="1"/>
          <w:color w:val="auto"/>
        </w:rPr>
        <w:t>CCC</w:t>
      </w:r>
      <w:r>
        <w:rPr>
          <w:rFonts w:ascii="Arial" w:cs="Arial" w:eastAsia="Arial" w:hAnsi="Arial"/>
          <w:sz w:val="18"/>
          <w:szCs w:val="18"/>
          <w:color w:val="auto"/>
        </w:rPr>
        <w:t>” and together with CSM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62"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under a commercial and technical management agreement dated 17th March 2010 between CSM and CCC (as amended and supplemented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the “</w:t>
      </w:r>
      <w:r>
        <w:rPr>
          <w:rFonts w:ascii="Arial" w:cs="Arial" w:eastAsia="Arial" w:hAnsi="Arial"/>
          <w:sz w:val="18"/>
          <w:szCs w:val="18"/>
          <w:b w:val="1"/>
          <w:bCs w:val="1"/>
          <w:color w:val="auto"/>
        </w:rPr>
        <w:t>Management Agreement</w:t>
      </w:r>
      <w:r>
        <w:rPr>
          <w:rFonts w:ascii="Arial" w:cs="Arial" w:eastAsia="Arial" w:hAnsi="Arial"/>
          <w:sz w:val="18"/>
          <w:szCs w:val="18"/>
          <w:color w:val="auto"/>
        </w:rPr>
        <w:t>”) CSM has been providing management services to CCC and its owned vessels m.t. Miltiadis M II, m.t. Amoureux and m.t. Aias.</w:t>
      </w:r>
    </w:p>
    <w:p>
      <w:pPr>
        <w:spacing w:after="0" w:line="18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NOW THEREFORE, the Parties hereby agree, on the terms and subject to the conditions set forth herein, to terminate with immediate effect the Management Agreement and confirm and warrant that there are no outstandings between them under such Management Agreement</w:t>
      </w:r>
      <w:r>
        <w:rPr>
          <w:rFonts w:ascii="Arial" w:cs="Arial" w:eastAsia="Arial" w:hAnsi="Arial"/>
          <w:sz w:val="16"/>
          <w:szCs w:val="16"/>
          <w:b w:val="1"/>
          <w:bCs w:val="1"/>
          <w:color w:val="auto"/>
        </w:rPr>
        <w:t>.</w:t>
      </w:r>
    </w:p>
    <w:p>
      <w:pPr>
        <w:spacing w:after="0" w:line="124"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IN WITNESS WHEREOF the Parties have executed this Agreement by their duly authorized signatories with effect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CRUDE CARRIERS CORP.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Gerasimos Kalogiratos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Gerasimos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CAPITAL SHIP MANAGEMENT CORP.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Prokopis Iliou</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Prokopis Iliou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2019-12-03T17:50:16Z</dcterms:created>
  <dcterms:modified xsi:type="dcterms:W3CDTF">2019-12-03T17:50:16Z</dcterms:modified>
</cp:coreProperties>
</file>