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auto"/>
        <w:framePr w:w="1820" w:h="160" w:wrap="auto" w:vAnchor="page" w:hAnchor="page" w:x="3980" w:y="15870"/>
        <w:rPr>
          <w:rFonts w:ascii="Arial" w:cs="Arial" w:eastAsia="Arial" w:hAnsi="Arial"/>
          <w:sz w:val="16"/>
          <w:szCs w:val="16"/>
          <w:b w:val="1"/>
          <w:bCs w:val="1"/>
          <w:color w:val="auto"/>
        </w:rPr>
      </w:pPr>
      <w:r>
        <w:rPr>
          <w:rFonts w:ascii="Arial" w:cs="Arial" w:eastAsia="Arial" w:hAnsi="Arial"/>
          <w:sz w:val="16"/>
          <w:szCs w:val="16"/>
          <w:b w:val="1"/>
          <w:bCs w:val="1"/>
          <w:color w:val="auto"/>
        </w:rPr>
        <w:t>Non-accelerated filer o</w:t>
      </w:r>
    </w:p>
    <w:p>
      <w:pPr>
        <w:jc w:val="center"/>
        <w:ind w:right="4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40"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27"/>
          <w:szCs w:val="27"/>
          <w:b w:val="1"/>
          <w:bCs w:val="1"/>
          <w:color w:val="auto"/>
        </w:rPr>
        <w:t>SECURITIES AND EXCHANGE COMMISSION</w:t>
      </w:r>
    </w:p>
    <w:p>
      <w:pPr>
        <w:spacing w:after="0" w:line="27"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rFonts w:ascii="Arial" w:cs="Arial" w:eastAsia="Arial" w:hAnsi="Arial"/>
          <w:sz w:val="16"/>
          <w:szCs w:val="16"/>
          <w:b w:val="1"/>
          <w:bCs w:val="1"/>
          <w:color w:val="auto"/>
        </w:rPr>
      </w:pPr>
    </w:p>
    <w:p>
      <w:pPr>
        <w:ind w:left="3860"/>
        <w:spacing w:after="0"/>
        <w:rPr>
          <w:sz w:val="20"/>
          <w:szCs w:val="20"/>
          <w:color w:val="auto"/>
        </w:rPr>
      </w:pPr>
      <w:r>
        <w:rPr>
          <w:rFonts w:ascii="Arial" w:cs="Arial" w:eastAsia="Arial" w:hAnsi="Arial"/>
          <w:sz w:val="22"/>
          <w:szCs w:val="22"/>
          <w:color w:val="auto"/>
        </w:rPr>
        <w:t>_________________________</w:t>
      </w:r>
    </w:p>
    <w:p>
      <w:pPr>
        <w:spacing w:after="0" w:line="272"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32"/>
          <w:szCs w:val="32"/>
          <w:b w:val="1"/>
          <w:bCs w:val="1"/>
          <w:color w:val="auto"/>
        </w:rPr>
        <w:t>FORM 20-F</w:t>
      </w:r>
    </w:p>
    <w:p>
      <w:pPr>
        <w:spacing w:after="0" w:line="52"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(Mark One)</w:t>
      </w:r>
    </w:p>
    <w:p>
      <w:pPr>
        <w:spacing w:after="0" w:line="7" w:lineRule="exact"/>
        <w:rPr>
          <w:rFonts w:ascii="Arial" w:cs="Arial" w:eastAsia="Arial" w:hAnsi="Arial"/>
          <w:sz w:val="16"/>
          <w:szCs w:val="16"/>
          <w:b w:val="1"/>
          <w:bCs w:val="1"/>
          <w:color w:val="auto"/>
        </w:rPr>
      </w:pPr>
    </w:p>
    <w:p>
      <w:pPr>
        <w:ind w:left="1140" w:hanging="634"/>
        <w:spacing w:after="0"/>
        <w:tabs>
          <w:tab w:leader="none" w:pos="11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REGISTRATION STATEMENT PURSUANT TO SECTION 12(b) OR (g) OF THE SECURITIES EXCHANGE ACT OF</w:t>
      </w:r>
    </w:p>
    <w:p>
      <w:pPr>
        <w:spacing w:after="0" w:line="2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1934</w:t>
      </w:r>
    </w:p>
    <w:p>
      <w:pPr>
        <w:spacing w:after="0" w:line="260"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OR</w:t>
      </w:r>
    </w:p>
    <w:p>
      <w:pPr>
        <w:spacing w:after="0" w:line="279" w:lineRule="exact"/>
        <w:rPr>
          <w:rFonts w:ascii="Arial" w:cs="Arial" w:eastAsia="Arial" w:hAnsi="Arial"/>
          <w:sz w:val="16"/>
          <w:szCs w:val="16"/>
          <w:b w:val="1"/>
          <w:bCs w:val="1"/>
          <w:color w:val="auto"/>
        </w:rPr>
      </w:pPr>
    </w:p>
    <w:p>
      <w:pPr>
        <w:ind w:left="1100" w:hanging="594"/>
        <w:spacing w:after="0"/>
        <w:tabs>
          <w:tab w:leader="none" w:pos="11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9" w:lineRule="exact"/>
        <w:rPr>
          <w:rFonts w:ascii="Arial" w:cs="Arial" w:eastAsia="Arial" w:hAnsi="Arial"/>
          <w:sz w:val="16"/>
          <w:szCs w:val="16"/>
          <w:b w:val="1"/>
          <w:bCs w:val="1"/>
          <w:color w:val="auto"/>
        </w:rPr>
      </w:pPr>
    </w:p>
    <w:p>
      <w:pPr>
        <w:ind w:left="11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7"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OR</w:t>
      </w:r>
    </w:p>
    <w:p>
      <w:pPr>
        <w:spacing w:after="0" w:line="260" w:lineRule="exact"/>
        <w:rPr>
          <w:rFonts w:ascii="Arial" w:cs="Arial" w:eastAsia="Arial" w:hAnsi="Arial"/>
          <w:sz w:val="16"/>
          <w:szCs w:val="16"/>
          <w:b w:val="1"/>
          <w:bCs w:val="1"/>
          <w:color w:val="auto"/>
        </w:rPr>
      </w:pPr>
    </w:p>
    <w:p>
      <w:pPr>
        <w:ind w:left="1140" w:hanging="634"/>
        <w:spacing w:after="0"/>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0840"/>
          </w:cols>
          <w:pgMar w:left="740" w:top="314" w:right="319" w:bottom="0" w:gutter="0" w:footer="0" w:header="0"/>
        </w:sectPr>
      </w:pPr>
    </w:p>
    <w:p>
      <w:pPr>
        <w:spacing w:after="0" w:line="27" w:lineRule="exact"/>
        <w:rPr>
          <w:rFonts w:ascii="Arial" w:cs="Arial" w:eastAsia="Arial" w:hAnsi="Arial"/>
          <w:sz w:val="16"/>
          <w:szCs w:val="16"/>
          <w:b w:val="1"/>
          <w:bCs w:val="1"/>
          <w:color w:val="auto"/>
        </w:rPr>
      </w:pPr>
    </w:p>
    <w:p>
      <w:pPr>
        <w:ind w:left="1400"/>
        <w:spacing w:after="0"/>
        <w:tabs>
          <w:tab w:leader="none" w:pos="4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rFonts w:ascii="Arial" w:cs="Arial" w:eastAsia="Arial" w:hAnsi="Arial"/>
          <w:sz w:val="16"/>
          <w:szCs w:val="16"/>
          <w:b w:val="1"/>
          <w:bCs w:val="1"/>
          <w:color w:val="auto"/>
        </w:rPr>
      </w:pPr>
    </w:p>
    <w:p>
      <w:pPr>
        <w:ind w:left="5080"/>
        <w:spacing w:after="0"/>
        <w:rPr>
          <w:sz w:val="20"/>
          <w:szCs w:val="20"/>
          <w:color w:val="auto"/>
        </w:rPr>
      </w:pPr>
      <w:r>
        <w:rPr>
          <w:rFonts w:ascii="Arial" w:cs="Arial" w:eastAsia="Arial" w:hAnsi="Arial"/>
          <w:sz w:val="17"/>
          <w:szCs w:val="17"/>
          <w:b w:val="1"/>
          <w:bCs w:val="1"/>
          <w:color w:val="auto"/>
        </w:rPr>
        <w:t>OR</w:t>
      </w:r>
    </w:p>
    <w:p>
      <w:pPr>
        <w:sectPr>
          <w:pgSz w:w="11900" w:h="16838" w:orient="portrait"/>
          <w:cols w:equalWidth="0" w:num="1">
            <w:col w:w="10840"/>
          </w:cols>
          <w:pgMar w:left="740" w:top="314" w:right="319" w:bottom="0" w:gutter="0" w:footer="0" w:header="0"/>
          <w:type w:val="continuous"/>
        </w:sectPr>
      </w:pPr>
    </w:p>
    <w:p>
      <w:pPr>
        <w:spacing w:after="0" w:line="272" w:lineRule="exact"/>
        <w:rPr>
          <w:rFonts w:ascii="Arial" w:cs="Arial" w:eastAsia="Arial" w:hAnsi="Arial"/>
          <w:sz w:val="16"/>
          <w:szCs w:val="16"/>
          <w:b w:val="1"/>
          <w:bCs w:val="1"/>
          <w:color w:val="auto"/>
        </w:rPr>
      </w:pPr>
    </w:p>
    <w:p>
      <w:pPr>
        <w:ind w:left="1120" w:right="160" w:hanging="614"/>
        <w:spacing w:after="0" w:line="260" w:lineRule="auto"/>
        <w:tabs>
          <w:tab w:leader="none" w:pos="108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REPORT PURSUANT TO SECTION 13 OR 15(d) OF THE SECURITIES EXCHANGE ACT OF 1934 </w:t>
      </w:r>
      <w:r>
        <w:rPr>
          <w:rFonts w:ascii="Arial" w:cs="Arial" w:eastAsia="Arial" w:hAnsi="Arial"/>
          <w:sz w:val="18"/>
          <w:szCs w:val="18"/>
          <w:color w:val="auto"/>
        </w:rPr>
        <w:t>Date of event requiring this shell company report:</w:t>
      </w:r>
    </w:p>
    <w:p>
      <w:pPr>
        <w:spacing w:after="0" w:line="2"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Commission file number: 1-33373</w:t>
      </w:r>
    </w:p>
    <w:p>
      <w:pPr>
        <w:spacing w:after="0" w:line="9" w:lineRule="exact"/>
        <w:rPr>
          <w:rFonts w:ascii="Arial" w:cs="Arial" w:eastAsia="Arial" w:hAnsi="Arial"/>
          <w:sz w:val="16"/>
          <w:szCs w:val="16"/>
          <w:b w:val="1"/>
          <w:bCs w:val="1"/>
          <w:color w:val="auto"/>
        </w:rPr>
      </w:pPr>
    </w:p>
    <w:p>
      <w:pPr>
        <w:ind w:left="3860"/>
        <w:spacing w:after="0"/>
        <w:rPr>
          <w:sz w:val="20"/>
          <w:szCs w:val="20"/>
          <w:color w:val="auto"/>
        </w:rPr>
      </w:pPr>
      <w:r>
        <w:rPr>
          <w:rFonts w:ascii="Arial" w:cs="Arial" w:eastAsia="Arial" w:hAnsi="Arial"/>
          <w:sz w:val="22"/>
          <w:szCs w:val="22"/>
          <w:color w:val="auto"/>
        </w:rPr>
        <w:t>_________________________</w:t>
      </w:r>
    </w:p>
    <w:p>
      <w:pPr>
        <w:spacing w:after="0" w:line="13" w:lineRule="exact"/>
        <w:rPr>
          <w:rFonts w:ascii="Arial" w:cs="Arial" w:eastAsia="Arial" w:hAnsi="Arial"/>
          <w:sz w:val="16"/>
          <w:szCs w:val="16"/>
          <w:b w:val="1"/>
          <w:bCs w:val="1"/>
          <w:color w:val="auto"/>
        </w:rPr>
      </w:pPr>
    </w:p>
    <w:p>
      <w:pPr>
        <w:jc w:val="center"/>
        <w:ind w:right="440"/>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rFonts w:ascii="Arial" w:cs="Arial" w:eastAsia="Arial" w:hAnsi="Arial"/>
          <w:sz w:val="16"/>
          <w:szCs w:val="16"/>
          <w:b w:val="1"/>
          <w:bCs w:val="1"/>
          <w:color w:val="auto"/>
        </w:rPr>
      </w:pPr>
    </w:p>
    <w:p>
      <w:pPr>
        <w:ind w:left="3320"/>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Republic of The Marshall Islands</w:t>
      </w:r>
    </w:p>
    <w:p>
      <w:pPr>
        <w:spacing w:after="0" w:line="27"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color w:val="auto"/>
        </w:rPr>
        <w:t>(Jurisdiction of incorporation or organization)</w:t>
      </w:r>
    </w:p>
    <w:p>
      <w:pPr>
        <w:spacing w:after="0" w:line="260"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b w:val="1"/>
          <w:bCs w:val="1"/>
          <w:color w:val="auto"/>
        </w:rPr>
        <w:t>+30 210 458 4950</w:t>
      </w:r>
    </w:p>
    <w:p>
      <w:pPr>
        <w:spacing w:after="0" w:line="9" w:lineRule="exact"/>
        <w:rPr>
          <w:rFonts w:ascii="Arial" w:cs="Arial" w:eastAsia="Arial" w:hAnsi="Arial"/>
          <w:sz w:val="16"/>
          <w:szCs w:val="16"/>
          <w:b w:val="1"/>
          <w:bCs w:val="1"/>
          <w:color w:val="auto"/>
        </w:rPr>
      </w:pPr>
    </w:p>
    <w:p>
      <w:pPr>
        <w:jc w:val="center"/>
        <w:ind w:right="420"/>
        <w:spacing w:after="0"/>
        <w:rPr>
          <w:sz w:val="20"/>
          <w:szCs w:val="20"/>
          <w:color w:val="auto"/>
        </w:rPr>
      </w:pPr>
      <w:r>
        <w:rPr>
          <w:rFonts w:ascii="Arial" w:cs="Arial" w:eastAsia="Arial" w:hAnsi="Arial"/>
          <w:sz w:val="18"/>
          <w:szCs w:val="18"/>
          <w:color w:val="auto"/>
        </w:rPr>
        <w:t>(Address and telephone number of principal executive offices)</w:t>
      </w:r>
    </w:p>
    <w:p>
      <w:pPr>
        <w:spacing w:after="0" w:line="9" w:lineRule="exact"/>
        <w:rPr>
          <w:rFonts w:ascii="Arial" w:cs="Arial" w:eastAsia="Arial" w:hAnsi="Arial"/>
          <w:sz w:val="16"/>
          <w:szCs w:val="16"/>
          <w:b w:val="1"/>
          <w:bCs w:val="1"/>
          <w:color w:val="auto"/>
        </w:rPr>
      </w:pPr>
    </w:p>
    <w:p>
      <w:pPr>
        <w:ind w:left="386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0840"/>
          </w:cols>
          <w:pgMar w:left="740" w:top="314" w:right="319" w:bottom="0" w:gutter="0" w:footer="0" w:header="0"/>
          <w:type w:val="continuous"/>
        </w:sectPr>
      </w:pPr>
    </w:p>
    <w:p>
      <w:pPr>
        <w:spacing w:after="0" w:line="272"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46" w:lineRule="exact"/>
        <w:rPr>
          <w:rFonts w:ascii="Arial" w:cs="Arial" w:eastAsia="Arial" w:hAnsi="Arial"/>
          <w:sz w:val="16"/>
          <w:szCs w:val="16"/>
          <w:b w:val="1"/>
          <w:bCs w:val="1"/>
          <w:color w:val="auto"/>
        </w:rPr>
      </w:pPr>
    </w:p>
    <w:p>
      <w:pPr>
        <w:ind w:left="48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rFonts w:ascii="Arial" w:cs="Arial" w:eastAsia="Arial" w:hAnsi="Arial"/>
          <w:sz w:val="16"/>
          <w:szCs w:val="16"/>
          <w:b w:val="1"/>
          <w:bCs w:val="1"/>
          <w:color w:val="auto"/>
        </w:rPr>
      </w:pPr>
    </w:p>
    <w:p>
      <w:pPr>
        <w:ind w:left="480"/>
        <w:spacing w:after="0"/>
        <w:rPr>
          <w:sz w:val="20"/>
          <w:szCs w:val="20"/>
          <w:color w:val="auto"/>
        </w:rPr>
      </w:pPr>
      <w:r>
        <w:rPr>
          <w:rFonts w:ascii="Arial" w:cs="Arial" w:eastAsia="Arial" w:hAnsi="Arial"/>
          <w:sz w:val="18"/>
          <w:szCs w:val="18"/>
          <w:b w:val="1"/>
          <w:bCs w:val="1"/>
          <w:color w:val="auto"/>
        </w:rPr>
        <w:t>registered</w:t>
      </w:r>
    </w:p>
    <w:p>
      <w:pPr>
        <w:spacing w:after="0" w:line="9" w:lineRule="exact"/>
        <w:rPr>
          <w:rFonts w:ascii="Arial" w:cs="Arial" w:eastAsia="Arial" w:hAnsi="Arial"/>
          <w:sz w:val="16"/>
          <w:szCs w:val="16"/>
          <w:b w:val="1"/>
          <w:bCs w:val="1"/>
          <w:color w:val="auto"/>
        </w:rPr>
      </w:pPr>
    </w:p>
    <w:p>
      <w:pPr>
        <w:ind w:left="160"/>
        <w:spacing w:after="0"/>
        <w:rPr>
          <w:sz w:val="20"/>
          <w:szCs w:val="20"/>
          <w:color w:val="auto"/>
        </w:rPr>
      </w:pPr>
      <w:r>
        <w:rPr>
          <w:rFonts w:ascii="Arial" w:cs="Arial" w:eastAsia="Arial" w:hAnsi="Arial"/>
          <w:sz w:val="18"/>
          <w:szCs w:val="18"/>
          <w:b w:val="1"/>
          <w:bCs w:val="1"/>
          <w:color w:val="auto"/>
        </w:rPr>
        <w:t>Common units representing limited partnership interests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spacing w:after="0" w:line="200" w:lineRule="exact"/>
        <w:rPr>
          <w:rFonts w:ascii="Arial" w:cs="Arial" w:eastAsia="Arial" w:hAnsi="Arial"/>
          <w:sz w:val="16"/>
          <w:szCs w:val="16"/>
          <w:b w:val="1"/>
          <w:bCs w:val="1"/>
          <w:color w:val="auto"/>
        </w:rPr>
      </w:pPr>
    </w:p>
    <w:p>
      <w:pPr>
        <w:spacing w:after="0" w:line="264"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7"/>
          <w:szCs w:val="17"/>
          <w:b w:val="1"/>
          <w:bCs w:val="1"/>
          <w:color w:val="auto"/>
        </w:rPr>
        <w:t>Name of each exchange on which</w:t>
      </w:r>
    </w:p>
    <w:p>
      <w:pPr>
        <w:spacing w:after="0" w:line="236" w:lineRule="exact"/>
        <w:rPr>
          <w:rFonts w:ascii="Arial" w:cs="Arial" w:eastAsia="Arial" w:hAnsi="Arial"/>
          <w:sz w:val="16"/>
          <w:szCs w:val="16"/>
          <w:b w:val="1"/>
          <w:bCs w:val="1"/>
          <w:color w:val="auto"/>
        </w:rPr>
      </w:pPr>
    </w:p>
    <w:p>
      <w:pPr>
        <w:ind w:left="1060"/>
        <w:spacing w:after="0"/>
        <w:rPr>
          <w:sz w:val="20"/>
          <w:szCs w:val="20"/>
          <w:color w:val="auto"/>
        </w:rPr>
      </w:pPr>
      <w:r>
        <w:rPr>
          <w:rFonts w:ascii="Arial" w:cs="Arial" w:eastAsia="Arial" w:hAnsi="Arial"/>
          <w:sz w:val="16"/>
          <w:szCs w:val="16"/>
          <w:b w:val="1"/>
          <w:bCs w:val="1"/>
          <w:color w:val="auto"/>
        </w:rPr>
        <w:t>Nasdaq Global Market</w:t>
      </w:r>
    </w:p>
    <w:p>
      <w:pPr>
        <w:spacing w:after="0" w:line="241" w:lineRule="exact"/>
        <w:rPr>
          <w:rFonts w:ascii="Arial" w:cs="Arial" w:eastAsia="Arial" w:hAnsi="Arial"/>
          <w:sz w:val="16"/>
          <w:szCs w:val="16"/>
          <w:b w:val="1"/>
          <w:bCs w:val="1"/>
          <w:color w:val="auto"/>
        </w:rPr>
      </w:pPr>
    </w:p>
    <w:p>
      <w:pPr>
        <w:sectPr>
          <w:pgSz w:w="11900" w:h="16838" w:orient="portrait"/>
          <w:cols w:equalWidth="0" w:num="2">
            <w:col w:w="6920" w:space="720"/>
            <w:col w:w="3200"/>
          </w:cols>
          <w:pgMar w:left="740" w:top="314" w:right="319" w:bottom="0" w:gutter="0" w:footer="0" w:header="0"/>
          <w:type w:val="continuous"/>
        </w:sectPr>
      </w:pPr>
    </w:p>
    <w:p>
      <w:pPr>
        <w:spacing w:after="0" w:line="60"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7"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9" w:lineRule="exact"/>
        <w:rPr>
          <w:rFonts w:ascii="Arial" w:cs="Arial" w:eastAsia="Arial" w:hAnsi="Arial"/>
          <w:sz w:val="16"/>
          <w:szCs w:val="16"/>
          <w:b w:val="1"/>
          <w:bCs w:val="1"/>
          <w:color w:val="auto"/>
        </w:rPr>
      </w:pPr>
    </w:p>
    <w:p>
      <w:pPr>
        <w:spacing w:after="0" w:line="260"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235" w:lineRule="exact"/>
        <w:rPr>
          <w:rFonts w:ascii="Arial" w:cs="Arial" w:eastAsia="Arial" w:hAnsi="Arial"/>
          <w:sz w:val="16"/>
          <w:szCs w:val="16"/>
          <w:b w:val="1"/>
          <w:bCs w:val="1"/>
          <w:color w:val="auto"/>
        </w:rPr>
      </w:pPr>
    </w:p>
    <w:p>
      <w:pPr>
        <w:jc w:val="center"/>
        <w:ind w:right="400"/>
        <w:spacing w:after="0"/>
        <w:rPr>
          <w:sz w:val="20"/>
          <w:szCs w:val="20"/>
          <w:color w:val="auto"/>
        </w:rPr>
      </w:pPr>
      <w:r>
        <w:rPr>
          <w:rFonts w:ascii="Arial" w:cs="Arial" w:eastAsia="Arial" w:hAnsi="Arial"/>
          <w:sz w:val="18"/>
          <w:szCs w:val="18"/>
          <w:b w:val="1"/>
          <w:bCs w:val="1"/>
          <w:color w:val="auto"/>
        </w:rPr>
        <w:t>24,817,151 Common Units</w:t>
      </w:r>
    </w:p>
    <w:p>
      <w:pPr>
        <w:spacing w:after="0" w:line="27" w:lineRule="exact"/>
        <w:rPr>
          <w:rFonts w:ascii="Arial" w:cs="Arial" w:eastAsia="Arial" w:hAnsi="Arial"/>
          <w:sz w:val="16"/>
          <w:szCs w:val="16"/>
          <w:b w:val="1"/>
          <w:bCs w:val="1"/>
          <w:color w:val="auto"/>
        </w:rPr>
      </w:pPr>
    </w:p>
    <w:p>
      <w:pPr>
        <w:jc w:val="center"/>
        <w:ind w:right="400"/>
        <w:spacing w:after="0"/>
        <w:rPr>
          <w:sz w:val="20"/>
          <w:szCs w:val="20"/>
          <w:color w:val="auto"/>
        </w:rPr>
      </w:pPr>
      <w:r>
        <w:rPr>
          <w:rFonts w:ascii="Arial" w:cs="Arial" w:eastAsia="Arial" w:hAnsi="Arial"/>
          <w:sz w:val="18"/>
          <w:szCs w:val="18"/>
          <w:b w:val="1"/>
          <w:bCs w:val="1"/>
          <w:color w:val="auto"/>
        </w:rPr>
        <w:t>506,472 General Partner Units</w:t>
      </w:r>
    </w:p>
    <w:p>
      <w:pPr>
        <w:spacing w:after="0" w:line="264"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rFonts w:ascii="Arial" w:cs="Arial" w:eastAsia="Arial" w:hAnsi="Arial"/>
          <w:sz w:val="16"/>
          <w:szCs w:val="16"/>
          <w:b w:val="1"/>
          <w:bCs w:val="1"/>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264" w:lineRule="exact"/>
        <w:rPr>
          <w:rFonts w:ascii="Arial" w:cs="Arial" w:eastAsia="Arial" w:hAnsi="Arial"/>
          <w:sz w:val="16"/>
          <w:szCs w:val="16"/>
          <w:b w:val="1"/>
          <w:bCs w:val="1"/>
          <w:color w:val="auto"/>
        </w:rPr>
      </w:pPr>
    </w:p>
    <w:p>
      <w:pPr>
        <w:ind w:right="16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 w:lineRule="exact"/>
        <w:rPr>
          <w:rFonts w:ascii="Arial" w:cs="Arial" w:eastAsia="Arial" w:hAnsi="Arial"/>
          <w:sz w:val="16"/>
          <w:szCs w:val="16"/>
          <w:b w:val="1"/>
          <w:bCs w:val="1"/>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264" w:lineRule="exact"/>
        <w:rPr>
          <w:rFonts w:ascii="Arial" w:cs="Arial" w:eastAsia="Arial" w:hAnsi="Arial"/>
          <w:sz w:val="16"/>
          <w:szCs w:val="16"/>
          <w:b w:val="1"/>
          <w:bCs w:val="1"/>
          <w:color w:val="auto"/>
        </w:rPr>
      </w:pPr>
    </w:p>
    <w:p>
      <w:pPr>
        <w:ind w:right="1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rFonts w:ascii="Arial" w:cs="Arial" w:eastAsia="Arial" w:hAnsi="Arial"/>
          <w:sz w:val="16"/>
          <w:szCs w:val="16"/>
          <w:b w:val="1"/>
          <w:bCs w:val="1"/>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x</w:t>
      </w:r>
      <w:r>
        <w:rPr>
          <w:sz w:val="20"/>
          <w:szCs w:val="20"/>
          <w:color w:val="auto"/>
        </w:rPr>
        <w:tab/>
      </w:r>
      <w:r>
        <w:rPr>
          <w:rFonts w:ascii="Arial" w:cs="Arial" w:eastAsia="Arial" w:hAnsi="Arial"/>
          <w:sz w:val="17"/>
          <w:szCs w:val="17"/>
          <w:b w:val="1"/>
          <w:bCs w:val="1"/>
          <w:color w:val="auto"/>
        </w:rPr>
        <w:t>NO o</w:t>
      </w:r>
    </w:p>
    <w:p>
      <w:pPr>
        <w:spacing w:after="0" w:line="264" w:lineRule="exact"/>
        <w:rPr>
          <w:rFonts w:ascii="Arial" w:cs="Arial" w:eastAsia="Arial" w:hAnsi="Arial"/>
          <w:sz w:val="16"/>
          <w:szCs w:val="16"/>
          <w:b w:val="1"/>
          <w:bCs w:val="1"/>
          <w:color w:val="auto"/>
        </w:rPr>
      </w:pPr>
    </w:p>
    <w:p>
      <w:pPr>
        <w:ind w:right="6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tabs>
          <w:tab w:leader="none" w:pos="5940" w:val="left"/>
        </w:tabs>
        <w:rPr>
          <w:sz w:val="20"/>
          <w:szCs w:val="20"/>
          <w:color w:val="auto"/>
        </w:rPr>
      </w:pPr>
      <w:r>
        <w:rPr>
          <w:rFonts w:ascii="Arial" w:cs="Arial" w:eastAsia="Arial" w:hAnsi="Arial"/>
          <w:sz w:val="18"/>
          <w:szCs w:val="18"/>
          <w:b w:val="1"/>
          <w:bCs w:val="1"/>
          <w:color w:val="auto"/>
        </w:rPr>
        <w:t>Large accelerated filer o</w:t>
      </w:r>
      <w:r>
        <w:rPr>
          <w:sz w:val="20"/>
          <w:szCs w:val="20"/>
          <w:color w:val="auto"/>
        </w:rPr>
        <w:tab/>
      </w:r>
      <w:r>
        <w:rPr>
          <w:rFonts w:ascii="Arial" w:cs="Arial" w:eastAsia="Arial" w:hAnsi="Arial"/>
          <w:sz w:val="16"/>
          <w:szCs w:val="16"/>
          <w:b w:val="1"/>
          <w:bCs w:val="1"/>
          <w:color w:val="auto"/>
        </w:rPr>
        <w:t>Accelerated filer</w:t>
      </w:r>
    </w:p>
    <w:p>
      <w:pPr>
        <w:spacing w:after="0"/>
        <w:rPr>
          <w:sz w:val="20"/>
          <w:szCs w:val="20"/>
          <w:color w:val="auto"/>
        </w:rPr>
      </w:pPr>
      <w:r>
        <w:rPr>
          <w:rFonts w:ascii="Arial" w:cs="Arial" w:eastAsia="Arial" w:hAnsi="Arial"/>
          <w:sz w:val="18"/>
          <w:szCs w:val="18"/>
          <w:b w:val="1"/>
          <w:bCs w:val="1"/>
          <w:color w:val="auto"/>
        </w:rPr>
        <w:t>x</w:t>
      </w:r>
    </w:p>
    <w:p>
      <w:pPr>
        <w:spacing w:after="0" w:line="283"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Indicate by check mark which financial statements item the registrant has elected to follow.</w:t>
      </w:r>
    </w:p>
    <w:p>
      <w:pPr>
        <w:sectPr>
          <w:pgSz w:w="11900" w:h="16838" w:orient="portrait"/>
          <w:cols w:equalWidth="0" w:num="1">
            <w:col w:w="10840"/>
          </w:cols>
          <w:pgMar w:left="740" w:top="314" w:right="319" w:bottom="0" w:gutter="0" w:footer="0" w:header="0"/>
          <w:type w:val="continuous"/>
        </w:sectPr>
      </w:pPr>
    </w:p>
    <w:bookmarkStart w:id="1" w:name="page2"/>
    <w:bookmarkEnd w:id="1"/>
    <w:p>
      <w:pPr>
        <w:ind w:left="4040"/>
        <w:spacing w:after="0"/>
        <w:tabs>
          <w:tab w:leader="none" w:pos="5540" w:val="left"/>
        </w:tabs>
        <w:rPr>
          <w:sz w:val="20"/>
          <w:szCs w:val="20"/>
          <w:color w:val="auto"/>
        </w:rPr>
      </w:pPr>
      <w:r>
        <w:rPr>
          <w:rFonts w:ascii="Arial" w:cs="Arial" w:eastAsia="Arial" w:hAnsi="Arial"/>
          <w:sz w:val="18"/>
          <w:szCs w:val="18"/>
          <w:b w:val="1"/>
          <w:bCs w:val="1"/>
          <w:color w:val="auto"/>
        </w:rPr>
        <w:t>ITEM 17 o</w:t>
      </w:r>
      <w:r>
        <w:rPr>
          <w:sz w:val="20"/>
          <w:szCs w:val="20"/>
          <w:color w:val="auto"/>
        </w:rPr>
        <w:tab/>
      </w:r>
      <w:r>
        <w:rPr>
          <w:rFonts w:ascii="Arial" w:cs="Arial" w:eastAsia="Arial" w:hAnsi="Arial"/>
          <w:sz w:val="18"/>
          <w:szCs w:val="18"/>
          <w:b w:val="1"/>
          <w:bCs w:val="1"/>
          <w:color w:val="auto"/>
        </w:rPr>
        <w:t>ITEM 18 x</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46" w:lineRule="exact"/>
        <w:rPr>
          <w:sz w:val="20"/>
          <w:szCs w:val="20"/>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97790</wp:posOffset>
            </wp:positionV>
            <wp:extent cx="7251065"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4508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200660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040"/>
          </w:cols>
          <w:pgMar w:left="740" w:top="121" w:right="11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75"/>
        </w:trPr>
        <w:tc>
          <w:tcPr>
            <w:tcW w:w="600" w:type="dxa"/>
            <w:vAlign w:val="bottom"/>
            <w:gridSpan w:val="2"/>
            <w:vMerge w:val="restart"/>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160" w:type="dxa"/>
            <w:vAlign w:val="bottom"/>
            <w:gridSpan w:val="2"/>
            <w:vMerge w:val="restart"/>
          </w:tcPr>
          <w:p>
            <w:pPr>
              <w:spacing w:after="0"/>
              <w:rPr>
                <w:sz w:val="15"/>
                <w:szCs w:val="15"/>
                <w:color w:val="auto"/>
              </w:rPr>
            </w:pPr>
          </w:p>
        </w:tc>
        <w:tc>
          <w:tcPr>
            <w:tcW w:w="9120" w:type="dxa"/>
            <w:vAlign w:val="bottom"/>
            <w:gridSpan w:val="23"/>
          </w:tcPr>
          <w:p>
            <w:pPr>
              <w:ind w:left="6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760" w:type="dxa"/>
            <w:vAlign w:val="bottom"/>
          </w:tcPr>
          <w:p>
            <w:pPr>
              <w:spacing w:after="0"/>
              <w:rPr>
                <w:sz w:val="15"/>
                <w:szCs w:val="15"/>
                <w:color w:val="auto"/>
              </w:rPr>
            </w:pPr>
          </w:p>
        </w:tc>
        <w:tc>
          <w:tcPr>
            <w:tcW w:w="780" w:type="dxa"/>
            <w:vAlign w:val="bottom"/>
            <w:gridSpan w:val="2"/>
          </w:tcPr>
          <w:p>
            <w:pPr>
              <w:jc w:val="center"/>
              <w:ind w:right="720"/>
              <w:spacing w:after="0" w:line="176" w:lineRule="exact"/>
              <w:rPr>
                <w:rFonts w:ascii="Arial" w:cs="Arial" w:eastAsia="Arial" w:hAnsi="Arial"/>
                <w:sz w:val="18"/>
                <w:szCs w:val="18"/>
                <w:color w:val="0000EE"/>
                <w:w w:val="74"/>
              </w:rPr>
            </w:pPr>
            <w:hyperlink w:anchor="page4">
              <w:r>
                <w:rPr>
                  <w:rFonts w:ascii="Arial" w:cs="Arial" w:eastAsia="Arial" w:hAnsi="Arial"/>
                  <w:sz w:val="18"/>
                  <w:szCs w:val="18"/>
                  <w:color w:val="0000EE"/>
                  <w:w w:val="74"/>
                </w:rPr>
                <w:t>ii</w:t>
              </w:r>
            </w:hyperlink>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240" w:type="dxa"/>
            <w:vAlign w:val="bottom"/>
            <w:gridSpan w:val="3"/>
          </w:tcPr>
          <w:p>
            <w:pPr>
              <w:spacing w:after="0"/>
              <w:rPr>
                <w:sz w:val="24"/>
                <w:szCs w:val="24"/>
                <w:color w:val="auto"/>
              </w:rPr>
            </w:pPr>
          </w:p>
        </w:tc>
        <w:tc>
          <w:tcPr>
            <w:tcW w:w="9120" w:type="dxa"/>
            <w:vAlign w:val="bottom"/>
            <w:gridSpan w:val="23"/>
          </w:tcPr>
          <w:p>
            <w:pPr>
              <w:ind w:left="660"/>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820" w:type="dxa"/>
            <w:vAlign w:val="bottom"/>
            <w:gridSpan w:val="2"/>
          </w:tcPr>
          <w:p>
            <w:pPr>
              <w:jc w:val="center"/>
              <w:ind w:left="63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2.</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820" w:type="dxa"/>
            <w:vAlign w:val="bottom"/>
            <w:gridSpan w:val="2"/>
          </w:tcPr>
          <w:p>
            <w:pPr>
              <w:jc w:val="center"/>
              <w:ind w:left="630"/>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3.</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820" w:type="dxa"/>
            <w:vAlign w:val="bottom"/>
            <w:gridSpan w:val="2"/>
          </w:tcPr>
          <w:p>
            <w:pPr>
              <w:jc w:val="center"/>
              <w:ind w:left="6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Information on the Partnership.</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4A.</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38</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160" w:type="dxa"/>
            <w:vAlign w:val="bottom"/>
            <w:gridSpan w:val="2"/>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Operating and Financial Review and Prospects.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39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6.</w:t>
              </w:r>
            </w:hyperlink>
          </w:p>
        </w:tc>
        <w:tc>
          <w:tcPr>
            <w:tcW w:w="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Directors, Senior Management and Employees.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7.</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Major Unitholders and Related Party Transactions.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8.</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Information.</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9.</w:t>
              </w:r>
            </w:hyperlink>
          </w:p>
        </w:tc>
        <w:tc>
          <w:tcPr>
            <w:tcW w:w="240" w:type="dxa"/>
            <w:vAlign w:val="bottom"/>
            <w:gridSpan w:val="3"/>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 Offer and Listing.</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67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10.</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Additional Information.</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67</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11.</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12.</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Description of Securities Other than Equity Securities.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4"/>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w:t>
              </w:r>
            </w:hyperlink>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13.</w:t>
              </w:r>
            </w:hyperlink>
          </w:p>
        </w:tc>
        <w:tc>
          <w:tcPr>
            <w:tcW w:w="60" w:type="dxa"/>
            <w:vAlign w:val="bottom"/>
          </w:tcPr>
          <w:p>
            <w:pPr>
              <w:spacing w:after="0"/>
              <w:rPr>
                <w:sz w:val="24"/>
                <w:szCs w:val="24"/>
                <w:color w:val="auto"/>
              </w:rPr>
            </w:pPr>
          </w:p>
        </w:tc>
        <w:tc>
          <w:tcPr>
            <w:tcW w:w="9120" w:type="dxa"/>
            <w:vAlign w:val="bottom"/>
            <w:gridSpan w:val="23"/>
          </w:tcPr>
          <w:p>
            <w:pPr>
              <w:ind w:left="660"/>
              <w:spacing w:after="0"/>
              <w:rPr>
                <w:rFonts w:ascii="Arial" w:cs="Arial" w:eastAsia="Arial" w:hAnsi="Arial"/>
                <w:sz w:val="18"/>
                <w:szCs w:val="18"/>
                <w:color w:val="0000EE"/>
              </w:rPr>
            </w:pPr>
            <w:hyperlink w:anchor="page83">
              <w:r>
                <w:rPr>
                  <w:rFonts w:ascii="Arial" w:cs="Arial" w:eastAsia="Arial" w:hAnsi="Arial"/>
                  <w:sz w:val="18"/>
                  <w:szCs w:val="18"/>
                  <w:color w:val="0000EE"/>
                </w:rPr>
                <w:t>Defaults, Dividend, Arrearages and Delinquencies.</w:t>
              </w:r>
            </w:hyperlink>
          </w:p>
        </w:tc>
        <w:tc>
          <w:tcPr>
            <w:tcW w:w="1540" w:type="dxa"/>
            <w:vAlign w:val="bottom"/>
            <w:gridSpan w:val="3"/>
          </w:tcPr>
          <w:p>
            <w:pPr>
              <w:jc w:val="cente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14.</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Material Modifications to the Rights of Security Holders and Use of Proceeds.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15.</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Item 16A.</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Audit Committee Financial Expert.</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Item 16B.</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Code of Ethics.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Item 16C.</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Item 16D.</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Exemptions from the Listing Standards for Audit Committees.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Item 16E.</w:t>
              </w:r>
            </w:hyperlink>
          </w:p>
        </w:tc>
        <w:tc>
          <w:tcPr>
            <w:tcW w:w="60" w:type="dxa"/>
            <w:vAlign w:val="bottom"/>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Purchases of Equity Securities by the Issuer and Affiliated Purchasers.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Item 16F.</w:t>
              </w:r>
            </w:hyperlink>
          </w:p>
        </w:tc>
        <w:tc>
          <w:tcPr>
            <w:tcW w:w="60" w:type="dxa"/>
            <w:vAlign w:val="bottom"/>
          </w:tcPr>
          <w:p>
            <w:pPr>
              <w:spacing w:after="0"/>
              <w:rPr>
                <w:sz w:val="17"/>
                <w:szCs w:val="17"/>
                <w:color w:val="auto"/>
              </w:rPr>
            </w:pPr>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Change in Registrant’s Certifying Accountant.</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79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Item 16G.</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Corporate Governance.</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79</w:t>
              </w:r>
            </w:hyperlink>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17.</w:t>
              </w:r>
            </w:hyperlink>
          </w:p>
        </w:tc>
        <w:tc>
          <w:tcPr>
            <w:tcW w:w="9120" w:type="dxa"/>
            <w:vAlign w:val="bottom"/>
            <w:gridSpan w:val="23"/>
          </w:tcPr>
          <w:p>
            <w:pPr>
              <w:ind w:left="660"/>
              <w:spacing w:after="0"/>
              <w:rPr>
                <w:rFonts w:ascii="Arial" w:cs="Arial" w:eastAsia="Arial" w:hAnsi="Arial"/>
                <w:sz w:val="18"/>
                <w:szCs w:val="18"/>
                <w:color w:val="0000EE"/>
              </w:rPr>
            </w:pPr>
            <w:hyperlink w:anchor="page87">
              <w:r>
                <w:rPr>
                  <w:rFonts w:ascii="Arial" w:cs="Arial" w:eastAsia="Arial" w:hAnsi="Arial"/>
                  <w:sz w:val="18"/>
                  <w:szCs w:val="18"/>
                  <w:color w:val="0000EE"/>
                </w:rPr>
                <w:t>Financial Statements.</w:t>
              </w:r>
            </w:hyperlink>
          </w:p>
        </w:tc>
        <w:tc>
          <w:tcPr>
            <w:tcW w:w="1540" w:type="dxa"/>
            <w:vAlign w:val="bottom"/>
            <w:gridSpan w:val="3"/>
          </w:tcPr>
          <w:p>
            <w:pPr>
              <w:jc w:val="cente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18.</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Financial Statements.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19.</w:t>
              </w:r>
            </w:hyperlink>
          </w:p>
        </w:tc>
        <w:tc>
          <w:tcPr>
            <w:tcW w:w="9120" w:type="dxa"/>
            <w:vAlign w:val="bottom"/>
            <w:gridSpan w:val="23"/>
          </w:tcPr>
          <w:p>
            <w:pPr>
              <w:ind w:left="660"/>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1540" w:type="dxa"/>
            <w:vAlign w:val="bottom"/>
            <w:gridSpan w:val="3"/>
          </w:tcPr>
          <w:p>
            <w:pPr>
              <w:jc w:val="cente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w w:val="83"/>
              </w:rPr>
            </w:pPr>
            <w:hyperlink w:anchor="page89">
              <w:r>
                <w:rPr>
                  <w:rFonts w:ascii="Arial" w:cs="Arial" w:eastAsia="Arial" w:hAnsi="Arial"/>
                  <w:sz w:val="18"/>
                  <w:szCs w:val="18"/>
                  <w:color w:val="0000EE"/>
                  <w:w w:val="83"/>
                </w:rPr>
                <w:t>Signatures</w:t>
              </w:r>
            </w:hyperlink>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gridSpan w:val="2"/>
          </w:tcPr>
          <w:p>
            <w:pPr>
              <w:jc w:val="center"/>
              <w:ind w:right="680"/>
              <w:spacing w:after="0"/>
              <w:rPr>
                <w:rFonts w:ascii="Arial" w:cs="Arial" w:eastAsia="Arial" w:hAnsi="Arial"/>
                <w:sz w:val="12"/>
                <w:szCs w:val="12"/>
                <w:color w:val="0000EE"/>
                <w:w w:val="74"/>
              </w:rPr>
            </w:pPr>
            <w:hyperlink w:anchor="page89">
              <w:r>
                <w:rPr>
                  <w:rFonts w:ascii="Arial" w:cs="Arial" w:eastAsia="Arial" w:hAnsi="Arial"/>
                  <w:sz w:val="12"/>
                  <w:szCs w:val="12"/>
                  <w:color w:val="0000EE"/>
                  <w:w w:val="74"/>
                </w:rPr>
                <w:t>82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i w:val="1"/>
          <w:iCs w:val="1"/>
          <w:color w:val="auto"/>
        </w:rPr>
        <w:t>This annual report on Form 20-F (the “Annual Report”) should be read in conjunction with our audited consolidated and combined financial statements and accompanying notes included herein.</w:t>
      </w:r>
    </w:p>
    <w:p>
      <w:pPr>
        <w:spacing w:after="0" w:line="224"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i w:val="1"/>
          <w:iCs w:val="1"/>
          <w:color w:val="auto"/>
        </w:rPr>
        <w:t>Statements included in this Annual Report which are not historical facts (including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“should”, “would,” “expect”, “plan”, “anticipate”, “intend”, “forecast”, “believe”, “estimate”, “predict”, “propose”, “potential”, “continue” or the negative of these terms or other comparable terminology. Forward-looking statements appear in a number of places and include statements with respect to, among other things:</w:t>
      </w:r>
    </w:p>
    <w:p>
      <w:pPr>
        <w:spacing w:after="0" w:line="219" w:lineRule="exact"/>
        <w:rPr>
          <w:sz w:val="20"/>
          <w:szCs w:val="20"/>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make cash distributions on the units;</w:t>
      </w:r>
    </w:p>
    <w:p>
      <w:pPr>
        <w:spacing w:after="0" w:line="278" w:lineRule="exact"/>
        <w:rPr>
          <w:rFonts w:ascii="Arial" w:cs="Arial" w:eastAsia="Arial" w:hAnsi="Arial"/>
          <w:sz w:val="18"/>
          <w:szCs w:val="18"/>
          <w:color w:val="auto"/>
        </w:rPr>
      </w:pPr>
    </w:p>
    <w:p>
      <w:pPr>
        <w:ind w:left="980" w:right="980" w:hanging="325"/>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future financial condition or results of operations and our future revenues and expenses, including revenues from profit sharing arrangements and required levels of reserves;</w:t>
      </w:r>
    </w:p>
    <w:p>
      <w:pPr>
        <w:spacing w:after="0" w:line="223"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future levels of operating surplus and levels of distributions as well as our future cash distribution policy;</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potential results of the early termination of the subordination period;</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future charter hire rates and vessel values;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anticipated future acquisition of vessels from Capital Maritime &amp; Trading Corp. (“Capital Maritime” or “CMTC”) or from third parties;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anticipated growth strategies;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access debt, credit and equity markets;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repayment of debt and settling of interest rate swaps;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future refined product and crude oil prices and production;</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planned capital expenditures and availability of capital resources to fund capital expenditures;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future supply of, and demand for, refined products and crude oil;</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increases in domestic oil consumption;</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interest rates;</w:t>
      </w:r>
    </w:p>
    <w:p>
      <w:pPr>
        <w:spacing w:after="0" w:line="278" w:lineRule="exact"/>
        <w:rPr>
          <w:rFonts w:ascii="Arial" w:cs="Arial" w:eastAsia="Arial" w:hAnsi="Arial"/>
          <w:sz w:val="18"/>
          <w:szCs w:val="18"/>
          <w:color w:val="auto"/>
        </w:rPr>
      </w:pPr>
    </w:p>
    <w:p>
      <w:pPr>
        <w:ind w:left="980" w:right="480" w:hanging="325"/>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maintain long-term relationships with major refined product importers and exporters, major crude oil companies, and major commodity traders;</w:t>
      </w:r>
    </w:p>
    <w:p>
      <w:pPr>
        <w:spacing w:after="0" w:line="223"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ability to maximize the use of our vessels, including the re-deployment or disposition of vessels no longer under long-term time charter;</w:t>
      </w:r>
    </w:p>
    <w:p>
      <w:pPr>
        <w:spacing w:after="0" w:line="290" w:lineRule="exact"/>
        <w:rPr>
          <w:rFonts w:ascii="Arial" w:cs="Arial" w:eastAsia="Arial" w:hAnsi="Arial"/>
          <w:sz w:val="17"/>
          <w:szCs w:val="17"/>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leverage to our advantage Capital Maritime’s relationships and reputation in the shipping industry;</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continued ability to enter into long-term, fixed-rate time charters with our tanker charterers;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obtaining tanker projects that we or Capital Maritime bid on;</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timely purchases and deliveries of newbuilding vessels;</w:t>
      </w:r>
    </w:p>
    <w:p>
      <w:pPr>
        <w:sectPr>
          <w:pgSz w:w="11900" w:h="16838" w:orient="portrait"/>
          <w:cols w:equalWidth="0" w:num="1">
            <w:col w:w="11420"/>
          </w:cols>
          <w:pgMar w:left="240" w:top="122" w:right="23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116"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compete successfully for future chartering and newbuilding opportunities;</w:t>
      </w:r>
    </w:p>
    <w:p>
      <w:pPr>
        <w:spacing w:after="0" w:line="278" w:lineRule="exact"/>
        <w:rPr>
          <w:rFonts w:ascii="Arial" w:cs="Arial" w:eastAsia="Arial" w:hAnsi="Arial"/>
          <w:sz w:val="18"/>
          <w:szCs w:val="18"/>
          <w:color w:val="auto"/>
        </w:rPr>
      </w:pPr>
    </w:p>
    <w:p>
      <w:pPr>
        <w:ind w:left="980" w:right="220" w:hanging="325"/>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expected cost of, and our ability to comply with, governmental regulations and maritime self-regulatory organization standards, as well as standard regulations imposed by our charterers applicable to our business;</w:t>
      </w:r>
    </w:p>
    <w:p>
      <w:pPr>
        <w:spacing w:after="0" w:line="223" w:lineRule="exact"/>
        <w:rPr>
          <w:rFonts w:ascii="Arial" w:cs="Arial" w:eastAsia="Arial" w:hAnsi="Arial"/>
          <w:sz w:val="18"/>
          <w:szCs w:val="18"/>
          <w:color w:val="auto"/>
        </w:rPr>
      </w:pPr>
    </w:p>
    <w:p>
      <w:pPr>
        <w:ind w:left="980" w:right="240" w:hanging="325"/>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anticipated general and administrative expenses and our expenses under the management agreement and the administrative services agreement with Capital Ship Management Corp., a subsidiary of Capital Maritime (“Capital Ship Management”) and for reimbursement for fees and costs of our general partner;</w:t>
      </w:r>
    </w:p>
    <w:p>
      <w:pPr>
        <w:spacing w:after="0" w:line="236"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expected impact of heightened environmental and quality concerns of insurance underwriters, regulators and charterers;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anticipated taxation of our partnership and distributions to our unitholders;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estimated future maintenance and replacement capital expenditures;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expected demand in the refined product shipping sector in general and the demand for our medium range vessels in particular;</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retain key employees;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customers’ increasing emphasis on environmental and safety concerns;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future sales of our units in the public market; and</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business strategy and other plans and objectives for future operations.</w:t>
      </w:r>
    </w:p>
    <w:p>
      <w:pPr>
        <w:spacing w:after="0" w:line="200" w:lineRule="exact"/>
        <w:rPr>
          <w:sz w:val="20"/>
          <w:szCs w:val="20"/>
          <w:color w:val="auto"/>
        </w:rPr>
      </w:pPr>
    </w:p>
    <w:p>
      <w:pPr>
        <w:spacing w:after="0" w:line="34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“Risk Factors.”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24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i w:val="1"/>
          <w:iCs w:val="1"/>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 looking statement. You should carefully review and consider the various disclosures included in this Annual Report and in our other filings made with the Securities and Exchange Commission (the “SEC”) that attempt to advise interested parties of the risks and factors that may affect our business,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We have derived the following selected historical financial and other data for the three years ending December 31, 2008, from our audited consolidated and combined financial statements for the years ended December 31, 2008, 2007 and 2006 (the “Financial Statements”) respectively, appearing elsewhere in this Annual Report. The historical financial data presented for the period from August 27, 2003 (inception) to December 31, 2005 have been derived from audited financial statements not required to be included herein and are provided for comparison purposes only. August 27, 2003 refers to the incorporation date of the vessel-owning subsidiary of the M/T Aktoras and is the earliest incorporation date of any of our vessel-owning subsidiaries.</w:t>
      </w:r>
    </w:p>
    <w:p>
      <w:pPr>
        <w:spacing w:after="0" w:line="214"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Specifically, our financial statements for the period from August 27, 2003 (inception) to December 31, 2004, and for the years ended December 31, 2005 and 2006, are not comparable to our Financial Statements for the years ended December 31, 2007 and 2008. Our initial public offering on April 3, 2007, and certain other transactions that occurred during 2007 and 2008, including the delivery or acquisition of ten additional vessels, the new charters our vessels entered into, the agreement we entered into with Capital Ship Management for the provision of management and administrative services to our fleet for a fixed fee and certain new financing and interest rate swap arrangements we entered into, have affected our results of operations. Furthermore, for the year ended December 31, 2006, only seven of the vessels in our current fleet had been delivered to Capital Maritime and only two were in operation for the full year. In addition, all the vessels comprising our fleet at the time of our initial public offering as well as the subsequently acquired M/T Attikos and the M/T Aristofanis were under construction during the periods from August 27, 2003 (inception) to December 31, 2004 and during the year ended December 31, 2005. The M/T Attikos and the M/T Aristofanis were delivered to Capital Maritime in January and June 2005, respectively. Consequently, the below table should be read together with, and is qualified in its entirety by reference to, the Financial Statements and the accompanying notes included elsewhere in this Annual Report. The table should also be read together with “Item 5A: Operating and Financial Review and Prospects—Management's Discussion and Analysis of Financial Condition and Results of Operations”.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after giving retroactive effect to the combination of entities under common control in 2008 as described in Note 1 (Basis of Presentation and General Information) to the Financial Statements included herein. All numbers are in thousands of U.S. Dollars, except numbers of units and earnings per unit.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Period from Aug.</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Ended</w:t>
            </w:r>
          </w:p>
        </w:tc>
        <w:tc>
          <w:tcPr>
            <w:tcW w:w="1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27, 2003 (inception)</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 31, 2008</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 31, 2007</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 31, 2006</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 31, 2005</w:t>
            </w: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 Dec. 31, 2004</w:t>
            </w: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Income Statement Data: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$131,514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5"/>
              </w:rPr>
              <w:t>Vessel operating expenses—related party (3)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25,552</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12,688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1,124</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58,032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(25,448)</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(13,121)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(5,117)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 agreement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income</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 net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$49,263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$30,959</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80" w:type="dxa"/>
            <w:vAlign w:val="bottom"/>
          </w:tcPr>
          <w:p>
            <w:pPr>
              <w:spacing w:after="0"/>
              <w:rPr>
                <w:sz w:val="20"/>
                <w:szCs w:val="20"/>
                <w:color w:val="auto"/>
              </w:rPr>
            </w:pPr>
            <w:r>
              <w:rPr>
                <w:rFonts w:ascii="Arial" w:cs="Arial" w:eastAsia="Arial" w:hAnsi="Arial"/>
                <w:sz w:val="18"/>
                <w:szCs w:val="18"/>
                <w:color w:val="auto"/>
              </w:rPr>
              <w:t>Net (loss) / income attributable to CMTC</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9,388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8,394</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50,767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21,571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General partner's interest in our net income</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 interest in our net income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5"/>
        </w:trPr>
        <w:tc>
          <w:tcPr>
            <w:tcW w:w="3480" w:type="dxa"/>
            <w:vAlign w:val="bottom"/>
          </w:tcPr>
          <w:p>
            <w:pPr>
              <w:spacing w:after="0"/>
              <w:rPr>
                <w:sz w:val="20"/>
                <w:szCs w:val="20"/>
                <w:color w:val="auto"/>
              </w:rPr>
            </w:pPr>
            <w:r>
              <w:rPr>
                <w:rFonts w:ascii="Arial" w:cs="Arial" w:eastAsia="Arial" w:hAnsi="Arial"/>
                <w:sz w:val="18"/>
                <w:szCs w:val="18"/>
                <w:color w:val="auto"/>
              </w:rPr>
              <w:t>Net income allocable to limited partner per:</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40"/>
              <w:spacing w:after="0"/>
              <w:rPr>
                <w:sz w:val="20"/>
                <w:szCs w:val="20"/>
                <w:color w:val="auto"/>
              </w:rPr>
            </w:pPr>
            <w:r>
              <w:rPr>
                <w:rFonts w:ascii="Arial" w:cs="Arial" w:eastAsia="Arial" w:hAnsi="Arial"/>
                <w:sz w:val="18"/>
                <w:szCs w:val="18"/>
                <w:color w:val="auto"/>
              </w:rPr>
              <w:t>Subordinated unit (basic and diluted)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Total unit (basic and diluted)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Weighted-average units outstanding (basic and</w:t>
            </w: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15,379,212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13,512,500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units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8,805,522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8,805,522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units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24,184,734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22,318,022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(at end of period)</w:t>
            </w:r>
            <w:r>
              <w:rPr>
                <w:rFonts w:ascii="Arial" w:cs="Arial" w:eastAsia="Arial" w:hAnsi="Arial"/>
                <w:sz w:val="18"/>
                <w:szCs w:val="18"/>
                <w:b w:val="1"/>
                <w:bCs w:val="1"/>
                <w:color w:val="auto"/>
              </w:rPr>
              <w: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Vessels, net and under construction</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$641,607</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$525,199</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$218,200</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$59,926</w:t>
            </w:r>
          </w:p>
        </w:tc>
        <w:tc>
          <w:tcPr>
            <w:tcW w:w="1520" w:type="dxa"/>
            <w:vAlign w:val="bottom"/>
          </w:tcPr>
          <w:p>
            <w:pPr>
              <w:jc w:val="right"/>
              <w:spacing w:after="0"/>
              <w:rPr>
                <w:sz w:val="20"/>
                <w:szCs w:val="20"/>
                <w:color w:val="auto"/>
              </w:rPr>
            </w:pPr>
            <w:r>
              <w:rPr>
                <w:rFonts w:ascii="Arial" w:cs="Arial" w:eastAsia="Arial" w:hAnsi="Arial"/>
                <w:sz w:val="18"/>
                <w:szCs w:val="18"/>
                <w:color w:val="auto"/>
              </w:rPr>
              <w:t>$26,199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700,154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556,991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228,511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61,692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Total partners’ capital / stockholders’ equity</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172,175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185,181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51,907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25,566</w:t>
            </w:r>
          </w:p>
        </w:tc>
        <w:tc>
          <w:tcPr>
            <w:tcW w:w="1520" w:type="dxa"/>
            <w:vAlign w:val="bottom"/>
          </w:tcPr>
          <w:p>
            <w:pPr>
              <w:jc w:val="right"/>
              <w:spacing w:after="0"/>
              <w:rPr>
                <w:sz w:val="20"/>
                <w:szCs w:val="20"/>
                <w:color w:val="auto"/>
              </w:rPr>
            </w:pPr>
            <w:r>
              <w:rPr>
                <w:rFonts w:ascii="Arial" w:cs="Arial" w:eastAsia="Arial" w:hAnsi="Arial"/>
                <w:sz w:val="18"/>
                <w:szCs w:val="18"/>
                <w:color w:val="auto"/>
              </w:rPr>
              <w:t>20,107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shares/units</w:t>
            </w:r>
          </w:p>
        </w:tc>
        <w:tc>
          <w:tcPr>
            <w:tcW w:w="16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25,323,623</w:t>
            </w:r>
          </w:p>
        </w:tc>
        <w:tc>
          <w:tcPr>
            <w:tcW w:w="16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22,773,492</w:t>
            </w:r>
          </w:p>
        </w:tc>
        <w:tc>
          <w:tcPr>
            <w:tcW w:w="16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4,200</w:t>
            </w:r>
          </w:p>
        </w:tc>
        <w:tc>
          <w:tcPr>
            <w:tcW w:w="16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4,200</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16,011,629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13,512,500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units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8,805,522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8,805,522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Partner units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506,472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455,470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Dividends declared per unit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53,014</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(203,269)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(335,047)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(162,047)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(34,322)</w:t>
            </w:r>
          </w:p>
        </w:tc>
        <w:tc>
          <w:tcPr>
            <w:tcW w:w="1520" w:type="dxa"/>
            <w:vAlign w:val="bottom"/>
          </w:tcPr>
          <w:p>
            <w:pPr>
              <w:jc w:val="right"/>
              <w:spacing w:after="0"/>
              <w:rPr>
                <w:sz w:val="20"/>
                <w:szCs w:val="20"/>
                <w:color w:val="auto"/>
              </w:rPr>
            </w:pPr>
            <w:r>
              <w:rPr>
                <w:rFonts w:ascii="Arial" w:cs="Arial" w:eastAsia="Arial" w:hAnsi="Arial"/>
                <w:sz w:val="18"/>
                <w:szCs w:val="18"/>
                <w:color w:val="auto"/>
              </w:rPr>
              <w:t>(26,199)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153,713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300,713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153,014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___________</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historical earnings per unit for:</w:t>
      </w:r>
    </w:p>
    <w:p>
      <w:pPr>
        <w:spacing w:after="0" w:line="23" w:lineRule="exact"/>
        <w:rPr>
          <w:rFonts w:ascii="Arial" w:cs="Arial" w:eastAsia="Arial" w:hAnsi="Arial"/>
          <w:sz w:val="18"/>
          <w:szCs w:val="18"/>
          <w:color w:val="auto"/>
        </w:rPr>
      </w:pPr>
    </w:p>
    <w:p>
      <w:pPr>
        <w:ind w:left="2020" w:hanging="178"/>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August 27, 2003 (inception) to December 31, 2004,</w:t>
      </w:r>
    </w:p>
    <w:p>
      <w:pPr>
        <w:spacing w:after="0" w:line="8" w:lineRule="exact"/>
        <w:rPr>
          <w:rFonts w:ascii="Arial" w:cs="Arial" w:eastAsia="Arial" w:hAnsi="Arial"/>
          <w:sz w:val="18"/>
          <w:szCs w:val="18"/>
          <w:color w:val="auto"/>
        </w:rPr>
      </w:pPr>
    </w:p>
    <w:p>
      <w:pPr>
        <w:ind w:left="2040" w:hanging="198"/>
        <w:spacing w:after="0"/>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years ended December 31, 2005 and 2006,</w:t>
      </w:r>
    </w:p>
    <w:p>
      <w:pPr>
        <w:spacing w:after="0" w:line="8" w:lineRule="exact"/>
        <w:rPr>
          <w:rFonts w:ascii="Arial" w:cs="Arial" w:eastAsia="Arial" w:hAnsi="Arial"/>
          <w:sz w:val="18"/>
          <w:szCs w:val="18"/>
          <w:color w:val="auto"/>
        </w:rPr>
      </w:pPr>
    </w:p>
    <w:p>
      <w:pPr>
        <w:ind w:left="2020" w:hanging="178"/>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January 1, 2007 to April 3, 2007 for the vessels in our fleet at the time of our initial public offering,</w:t>
      </w:r>
    </w:p>
    <w:p>
      <w:pPr>
        <w:spacing w:after="0" w:line="8" w:lineRule="exact"/>
        <w:rPr>
          <w:rFonts w:ascii="Arial" w:cs="Arial" w:eastAsia="Arial" w:hAnsi="Arial"/>
          <w:sz w:val="18"/>
          <w:szCs w:val="18"/>
          <w:color w:val="auto"/>
        </w:rPr>
      </w:pPr>
    </w:p>
    <w:p>
      <w:pPr>
        <w:jc w:val="both"/>
        <w:ind w:left="1840" w:firstLine="2"/>
        <w:spacing w:after="0" w:line="252" w:lineRule="auto"/>
        <w:tabs>
          <w:tab w:leader="none" w:pos="203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January 1, 2007 to September 23, 2007, March 26, 2008 and April 29, 2008 for the M/T Attikos, the M/T Amore Mio II and the M/T Aristofanis, respectively, giving retroactive impact to the number of common and subordinated units (and the 2% general partner interest) that were issued, is not presented in our selected historical financial data. We do not believe that a presentation of earnings per unit for these periods would be meaningful to our investors as the vessels comprising our current fleet were either under construction or operated as part of Capital Maritime’s fleet with different terms and conditions than those in place after their acquisition by us.</w:t>
      </w:r>
    </w:p>
    <w:p>
      <w:pPr>
        <w:sectPr>
          <w:pgSz w:w="11900" w:h="16838" w:orient="portrait"/>
          <w:cols w:equalWidth="0" w:num="1">
            <w:col w:w="11420"/>
          </w:cols>
          <w:pgMar w:left="240" w:top="122" w:right="239" w:bottom="436"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88265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Vessel voyage expenses primarily consist of commissions, port expenses, canal dues and bunkers.</w:t>
      </w:r>
    </w:p>
    <w:p>
      <w:pPr>
        <w:spacing w:after="0" w:line="23"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April 4, 2007, our vessel operating expenses have consisted primarily of management fees payable to Capital Ship Management Corp., our manager, who provides commercial and technical services such as crewing, repairs and maintenance, insurance, stores, spares and lubricants, as well as administrative services pursuant to management and administrative services agreements.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i w:val="1"/>
          <w:iCs w:val="1"/>
          <w:color w:val="auto"/>
        </w:rPr>
        <w:t>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Additional risks and uncertainties not presently known to us or that we currently deem immaterial also may impair our business operations. In particular, if any of the following risks actually occurs, our business, financial condition or operating results could be materially adversely affected. In that case, we might not be able to pay distributions on our common units, the trading price of our common units could decline, and you could lose all or part of your investment.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protracted global economic slowdown or recession could have a material adverse effect on our business, financial position and results of operations.</w:t>
      </w:r>
    </w:p>
    <w:p>
      <w:pPr>
        <w:spacing w:after="0" w:line="313"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Oil has been one of the world’s primary energy sources for a number of decades. Global economic growth has been strong in recent years which has had a significant impact on shipping demand. However, during the second half of 2008 we started to experience a major economic slowdown which is ongoing and the duration of which is very difficult to forecast and which has, and is expected to continue to have, a significant impact on world trade, including the oil trade. We expect that a protracted economic downturn will adversely effect tanker rates over the coming years as a number of oil consuming countries are either already in or are entering a recession and the global economy is experiencing the lowest growth rates observed over the last decades. This economic downturn is expected to also sharply reduce the demand for oil and refined petroleum products, and also potentially affect tanker demand and vessel values overall. Even though our vessels are chartered under medium- or long-term charters, a continuing negative change in global economic conditions is expected to have a material adverse effect on our business, financial position, results of operations and ability to pay dividends, as well as our future prospects and ability to grow our fleet.</w:t>
      </w:r>
    </w:p>
    <w:p>
      <w:pPr>
        <w:spacing w:after="0" w:line="200" w:lineRule="exact"/>
        <w:rPr>
          <w:sz w:val="20"/>
          <w:szCs w:val="20"/>
          <w:color w:val="auto"/>
        </w:rPr>
      </w:pP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from operations to enable us to pay the quarterly distribution on our common units following the establishment of cash reserves and payment of fees and expenses.</w:t>
      </w:r>
    </w:p>
    <w:p>
      <w:pPr>
        <w:spacing w:after="0" w:line="22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may not have sufficient cash available each quarter to pay the declared quarterly distribution per common unit following establishment of cash reserves and payment of fees and expenses. The amount of cash we can distribute on our common units principally depends upon the amount of cash we generate from our operations, which may fluctuate based on numerous factors generally described under this “Risk Factors” heading, including, among other things:</w:t>
      </w:r>
    </w:p>
    <w:p>
      <w:pPr>
        <w:spacing w:after="0" w:line="24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the charter agreements, including the timely payment of the rates under the agreements;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sustainability of our customers;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additional revenues we generate from our profit sharing arrangements, if any;</w:t>
      </w:r>
    </w:p>
    <w:p>
      <w:pPr>
        <w:spacing w:after="0" w:line="8"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and insurance, following the expiration of our management agreement pursuant to which we pay a fixed daily fee for an initial term of approximately five years from the time we take delivery of each vessel, which includes the expenses for its next scheduled special or intermediate survey, as applicable, and related drydocking;</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unscheduled off-hire days for our fleet and the timing of, and number of days required for, scheduled drydocking of our vessels;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extraordinary costs incurred by our manager while managing our vessels not covered under our fixed fee arrangement which we may have to reimburse our manager for;</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delivery of newbuildings and the beginning of payments under charters relating to those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seaborne transportation of refined oil products and crude oil;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of product and crude oil tankers and specifically the number of newbuildings entering the world tanker fleet each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6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actual amount of cash we will have available for distribution also will depend on other factors, some of which are beyond our control, such as:</w:t>
      </w:r>
    </w:p>
    <w:p>
      <w:pPr>
        <w:spacing w:after="0" w:line="30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vessels, building new vessels, acquiring existing vessels and complying with regulations;</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debt service requirements, including our obligation to pay increased interest costs in certain circumstances, and restrictions on distributions contained in our debt instruments;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covenants under our credit facilities, including our ability to comply with certain ‘asset maintenance’ ratios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make working capital borrowings, including to pay distributions to unitholders; and</w:t>
      </w:r>
    </w:p>
    <w:p>
      <w:pPr>
        <w:spacing w:after="0" w:line="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any cash reserves, including reserves for future maintenance and replacement capital expenditures, working capital and other matters, established by our board of directors in its discretion.</w:t>
      </w:r>
    </w:p>
    <w:p>
      <w:pPr>
        <w:spacing w:after="0" w:line="23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shipping industry is cyclical, which may lead to lower charter hire rates, defaults of our charterers and lower vessel values, resulting in decreased distributions to our unitholders.</w:t>
      </w:r>
    </w:p>
    <w:p>
      <w:pPr>
        <w:spacing w:after="0" w:line="224"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shipping industry is cyclical, which may result in volatility in charter hire rates and vessel values. We may not be able to successfully charter our vessels in the future or renew existing charters at the same or similar rates.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 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24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including:</w:t>
      </w:r>
    </w:p>
    <w:p>
      <w:pPr>
        <w:spacing w:after="0" w:line="2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23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From time to time, we expect to enter into agreements with Capital Maritime or other unaffiliated third parties to purchase additional newbuildings or other vessels (or interests in vessel-owning companies). Between the time we enter into an agreement for such purchase and delivery of the vessel, the market value of similar vessels may decline. The market value of vessels is influenced by the ability of buyers to access bank finance and equity capital and any disruptions to the market and the possible lack of adequate available finance may negatively affect such market values. Despite a decline in market values we would still be required to purchase the vessel at the agreed-upon price.</w:t>
      </w:r>
    </w:p>
    <w:p>
      <w:pPr>
        <w:spacing w:after="0" w:line="2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more difficult to accurately forecast our future results and may make it difficult for investors to evaluate our business and our future prospects, both of which will increase the risk of your investment.</w:t>
      </w:r>
    </w:p>
    <w:p>
      <w:pPr>
        <w:spacing w:after="0" w:line="224"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were formed as an independent limited partnership on January 16, 2007. Only seven of the vessels in our current fleet had been delivered to the relevant vessel-owning subsidiaries as of December 31, 2006, and only two were in operation for the full year then ended. Moreover, as these vessels were operated as part of Capital Maritime’s fleet during the reporting period, the vessels were operated in a different manner than they are currently operated, and thus their historical results may not be indicative of their future results. Because of our limited operating history, we lack extended historical financial and operational data, making it more difficult for an investor to evaluate our business, forecast our future revenues and other operating results, and assess the merits and risks of an investment in our common units. This lack of information will increase the risk of your investment. Moreover, you should consider and evaluate our prospects in light of the risks and uncertainties frequently encountered by companies with a limited operating history. These risks and difficulties include challenges in accurate financial planning as a result of limited historical data and the uncertainties resulting from having had a relatively limited time period in which to implement and evaluate our business strategies as compared to older companies with longer operating histories. Our failure to address these risks and difficulties successfully could materially harm our business and operating results.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w:t>
      </w:r>
    </w:p>
    <w:p>
      <w:pPr>
        <w:spacing w:after="0" w:line="202"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We must make substantial capital expenditures to maintain, over the long term, the operating capacity of our fleet. These maintenance and replacement capital expenditures include capital expenditures associated with drydocking a vessel, modifying an existing vessel or acquiring a new vessel to the extent these expenditures are incurred to maintain the operating capacity of our fleet. These expenditures could increase as a result of changes in:</w:t>
      </w:r>
    </w:p>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regulations, industry and maritime self-regulatory organization standards relating to safety, security or the environment.</w:t>
      </w:r>
    </w:p>
    <w:p>
      <w:pPr>
        <w:spacing w:after="0" w:line="264"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Our significant maintenance and replacement capital expenditures will reduce the amount of cash we have available for distribution to our unitholders. Any costs associated with scheduled drydocking are included in a fixed daily fee of $5,500 per time chartered vessel ($8,500 for the M/T Amore Mio II), that we pay Capital Ship Management under a management agreement, for an initial term of approximately five years from the time we take delivery of each vessel, which includes the expenses for its next scheduled special or intermediate survey, as applicable. In the event our management agreement is not renewed or is materially amended, we may have to separately deduct estimated capital expenditures associated with drydocking from our operating surplus in addition to estimated replacement capital expenditures.</w:t>
      </w:r>
    </w:p>
    <w:p>
      <w:pPr>
        <w:spacing w:after="0" w:line="245"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partnership agreement requires our board of directors to deduct estimated, rather than actual, maintenance and replacement capital expenditures from operating surplus each quarter in an effort to reduce fluctuations in operating surplus. The amount of estimated capital expenditures deducted from operating surplus is subject to review and change by the conflicts committee at least once a year.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which could harm our business and our ability to make cash distributions.</w:t>
      </w:r>
    </w:p>
    <w:p>
      <w:pPr>
        <w:spacing w:after="0" w:line="237"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The seven newbuildings we have acquired since our initial public offering on the Nasdaq Global market on April 3, 2007 (the “IPO”) have all been contracted directly by Capital Maritime and all costs for the construction and delivery of such vessels have been incurred by Capital Maritime. In the future, we may enter into similar arrangements with Capital Maritime or other third parties for the acquisition of newbuildings. If Capital Maritime or any third party sellers we contract with in the future fail to make construction payments for the newbuildings after receiving notice by the shipbuilder following nonpayment on any installment due date, the shipbuilder could rescind the newbuilding purchase contract. As a result of such default, Capital Maritime or the third party seller could lose all or part of the installment payments made prior to such default, and we could either lose access to such newbuilding or any future vessels we contract to acquire or may need to finance such vessels before they begin operating and generating voyage revenues, which could harm our business and reduce our ability to make cash distributions.</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finance the purchase of any additional vessels we acquire in the future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revenue.</w:t>
      </w:r>
    </w:p>
    <w:p>
      <w:pPr>
        <w:spacing w:after="0" w:line="224"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The actual cost of a new product or crude oil tanker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To date, all the newbuildings we have acquired have been contracted directly by Capital Maritime and all costs for the construction and delivery of these vessels have been incurred by Capital Maritime. As of February 28, 2009, we had taken delivery of seven newbuildings and purchased three additional vessels from Capital Maritime. We have financed the purchase of these vessels either with debt, or partly with debt, cash and partly by issuing additional equity securities. If we issue additional common units or other equity securities, your ownership interest in us will be diluted. Please read “—We may issue additional equity securities without your approval, which would dilute your ownership interest” below.</w:t>
      </w:r>
    </w:p>
    <w:p>
      <w:pPr>
        <w:spacing w:after="0" w:line="22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If we elect to expand our fleet in the future by entering into contracts for newbuildings directly with shipyards, we generally will be required to make installment payments prior to their delivery. We typically must pay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 costs by issuing debt or equity securities, we will increase the aggregate amount of interest payments or quarterly distributions we must make prior to generating cash from the operation of the newbuilding.</w:t>
      </w:r>
    </w:p>
    <w:p>
      <w:pPr>
        <w:spacing w:after="0" w:line="229"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To fund the acquisition price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2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ability to obtain bank financing and/or to access the capital markets for future equity offerings may be limited by prevailing economic conditions.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w:t>
      </w:r>
    </w:p>
    <w:p>
      <w:pPr>
        <w:spacing w:after="0" w:line="20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Given the prevailing market and economic conditions, including today’s financial turmoil affecting the world’s debt, credit and capital markets, the ability of banks and credit institutions to finance new projects, including the acquisition of new vessels in the future, is uncertain. In addition, our ability to obtain bank financing or to access the capital markets for future offerings may be limited by our financial condition at the time of any such financing or offering, as well as by adverse market conditions resulting from, among other things, general economic conditions, weakness in the financial markets and contingencies and uncertainties that are beyond our control. The restrictions imposed by our credit facilities, including the obligation to comply with certain asset maintenance and other ratios may further restrict our ability to access available financing. Our failure to obtain the funds for necessary future capital expenditures could have a material adverse effect on our business, results of operations and financial condition and on our ability to make cash distributions. In addition to a major global economic slowdown, we have been facing, and continue to face, a severe deterioration in the banking and credit world resulting in potentially higher interest costs and overall limited availability of liquidity. As a result, the prevailing market and economic conditions may affect our ability to complete any future purchases of vessels from Capital Maritime or from third parties.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levels may limit our flexibility in obtaining additional financing and in pursuing other business opportunities.</w:t>
      </w:r>
    </w:p>
    <w:p>
      <w:pPr>
        <w:spacing w:after="0" w:line="279"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We entered into a $370.0 million revolving credit facility on March 22, 2007, which was amended on September 19, 2007 and June 11, 2008 (our “existing credit facility”), and a further $350.0 million revolving credit facility on March 19, 2008 (our “new credit facility” and together with our “existing credit facility”, our “credit facilities”). As of December 31, 2008, we had drawn $366.5 million under our existing credit facility and $107.5 million under our new credit facility, and had $3.5 and $242.5 million available, respectively. For more information regarding the terms of our credit facilities, please read “Management’s Discussion and Analysis of Financial Condition and Results of Operations—Liquidity and Capital Resources—Borrowings—Revolving Credit Facilities” below. Our level of debt could have important consequences to us, including the following:</w:t>
      </w:r>
    </w:p>
    <w:p>
      <w:pPr>
        <w:spacing w:after="0" w:line="231"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interest payments and, following the end of the relevant non-amortizing periods, principal payments on our debt, reducing the funds that would otherwise be available for operations, future business opportunities and distributions to unitholders;</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debt level will make us more vulnerable to competitive pressures, or to a downturn in our business or in the economy in general, than our competitors with less debt;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may be forced to take actions such as reducing or eliminating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credit facilities contain, and we expect that any future credit facilities we may enter into will contain, restrictive covenants, which may limit our business and financing activities, including our ability to make distributions.</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operating and financial restrictions and covenants in our credit facilities and in any future credit facility we enter into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2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pledge or encumber the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the vessels, including the fixed daily fee payable under the management agreement.</w:t>
      </w:r>
    </w:p>
    <w:p>
      <w:pPr>
        <w:spacing w:after="0" w:line="239"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Our credit facilities also require us to comply with the ISM Code and to maintain valid safety management certificates and documents of compliance at all times.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credit facilities require us to:</w:t>
      </w:r>
    </w:p>
    <w:p>
      <w:pPr>
        <w:spacing w:after="0" w:line="279"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minimum free consolidated liquidity (50% of which may be in the form of undrawn commitments under the relevant credit facility) of at least $500,000 per financed vessel;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a ratio of EBITDA (as defined in each credit facility) to interest expense of at least 2.00 to 1.00 on a trailing four-quarter basis; and</w:t>
      </w:r>
    </w:p>
    <w:p>
      <w:pPr>
        <w:spacing w:after="0" w:line="20"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defined in each credit facility) of our total fleet, current or future, of no more than 0.725 to 1.00 (which means that the fair market value of the vessels in our fleet must equal 138% of the aggregate amount outstanding under each credit facility).</w:t>
      </w:r>
    </w:p>
    <w:p>
      <w:pPr>
        <w:spacing w:after="0" w:line="24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We are also required to maintain an aggregate fair market value of our financed vessels equal to 125% of the aggregate amount outstanding under each credit facility.</w:t>
      </w:r>
    </w:p>
    <w:p>
      <w:pPr>
        <w:spacing w:after="0" w:line="224"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market or other economic conditions deteriorate, our ability to comply with these covenants may be impaired. If we are in breach of any of the restrictions, covenants, ratios or tests in our credit facilities, especially if we trigger a cross-default currently contained in our credit facilities or any interest rate swap agreements we have entered into pursuant to their terms,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Decreases in asset values due to circumstances outside of our control may limit our ability to make further draw-downs under our credit facilities which may limit our ability to purchase additional vessels in the future. In addition, if asset values decrease significantly, we may have to pre-pay part of our outstanding debt in order to remain in compliance with covenants under our credit facilities.</w:t>
      </w:r>
    </w:p>
    <w:p>
      <w:pPr>
        <w:spacing w:after="0" w:line="218"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Our credit facilities require that we maintain an aggregate fair market value of the vessels in our fleet equal to approximately 138% of the aggregate amount outstanding under each credit facility. Any contemplated vessel acquisitions will have to be at levels that do not impair the required ratios. The current severe economic slowdown has had an adverse effect on tanker asset values which is likely to persist if the economic slowdown continues.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As a result, such decreases could have a material adverse effect on our business, results of operations and financial condition and our ability to make cash distributions.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138% of the aggregate amount outstanding under each of our credit facilities.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Events of default under our credit facilities include:</w:t>
      </w:r>
    </w:p>
    <w:p>
      <w:pPr>
        <w:spacing w:after="0" w:line="2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vessel-owning subsidiaries or any of the assets of the vessel-owning subsidiaries and failure to maintain proper insurance;</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 or of the indebtedness of our subsidiaries of $750,000 or greater;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8"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8"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units cease to be listed on the Nasdaq Global Market or on any other recognized securities exchange;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of our interest rate swap agreements or an event of default thereunder that is not remedied within five business days;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invalidity of a security document in any material respect or if any security document ceases to provide a perfected first priority security interest; or</w:t>
      </w:r>
    </w:p>
    <w:p>
      <w:pPr>
        <w:spacing w:after="0" w:line="31" w:lineRule="exact"/>
        <w:rPr>
          <w:rFonts w:ascii="Arial" w:cs="Arial" w:eastAsia="Arial" w:hAnsi="Arial"/>
          <w:sz w:val="16"/>
          <w:szCs w:val="16"/>
          <w:color w:val="auto"/>
        </w:rPr>
      </w:pPr>
    </w:p>
    <w:p>
      <w:pPr>
        <w:ind w:left="660" w:hanging="328"/>
        <w:spacing w:after="0" w:line="28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21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anticipate that any subsequent refinancing of our current debt or any new debt could have similar or more onerous restrictions. For more information regarding our financing arrangements, please read "Item 5A: Operating and Financial Review and Prospects —Management's Discussion and Analysis of Financial Condition and Results of Operations" below.</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224"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We have derived, and believe that we will continue to derive, all of our revenues and cash flow from a limited number of customers. For the year ended December 31, 2008, BP Shipping Limited and Morgan Stanley Capital Group Inc. accounted for 54% and 33% of our revenues, respectively. For the year ended December 31, 2007, these customers accounted for 58% and 24% of our revenues, respectively. For the year ended December 31, 2006, BP Shipping Limited, Canterbury Tankers Inc, Shell International Trading &amp; Shipping Company Ltd. and Morgan Stanley Capital Group Inc. accounted for 42%, 20%, 20% and 18% of our revenues, respectively. In March and April 2008, we took delivery of the M/T Amore Mio II and the M/T Aristofanis, which are chartered to BP Shipping Limited and Shell International Trading &amp; Shipping Company Ltd., respectively, and in January, June and August 2008 we took delivery of three newbuildings, the M/T Alexandros II, the M/T Aristotelis II and the M/T Aris II, chartered to subsidiaries of Overseas Shipholding Group Inc., increasing the number of our customers for 2008 to five. We could lose a customer or the benefits of a charter if:</w:t>
      </w:r>
    </w:p>
    <w:p>
      <w:pPr>
        <w:spacing w:after="0" w:line="218"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faces financial difficulties forcing it to declare bankruptcy or making it impossible for it to perform its obligations under the charter, including the payment of the agreed rates in a timely manner;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tries to re-negotiate the terms of the charter agreement due to prevailing economic and market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2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Please read “Item 4B: Business Overview—Our Charters” below for further information on our customers.</w:t>
      </w:r>
    </w:p>
    <w:p>
      <w:pPr>
        <w:spacing w:after="0" w:line="279"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w:t>
      </w:r>
    </w:p>
    <w:p>
      <w:pPr>
        <w:spacing w:after="0" w:line="218"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22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Delays in deliveries of newbuildings, our decision to cancel or our inability to otherwise complete the acquisitions of any newbuildings we may decide to acquire in the future, could harm our operating results and lead to the termination of any related charters.</w:t>
      </w:r>
    </w:p>
    <w:p>
      <w:pPr>
        <w:spacing w:after="0" w:line="20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Any newbuildings we may contract to acquire or order in the future could be delayed, not completed or canceled, which would delay or eliminate our expected receipt of revenues under any charters for such vessels. The shipbuilder or third party seller could fail to deliver the newbuilding vessel or any other vessels we acquire or order as may be agreed, or Capital Maritime, or relevant third party, could cancel a purchase or a newbuilding contract because the shipbuilder has not met its obligations, including its obligation to maintain agreed refund guarantees in place for our benefit. For prolonged delays, the customer may terminate the time charter.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receipt of newbuildings could be delayed, canceled, or otherwise not completed because of:</w:t>
      </w:r>
    </w:p>
    <w:p>
      <w:pPr>
        <w:spacing w:after="0" w:line="2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bankruptcy or other financial or liquidity problems of the shipbuilder;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economic disturbances in the country or region where the vessel is being built;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 or catastrophic event, such as a major earthquake or fire;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shipbuilder failing to deliver the vessel in accordance with our vessel specifications;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requests for changes to the original vessel specifications;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finance the purchase of the vessel;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deterioration in Capital Maritime’s relations with the relevant shipbuilder;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requisite permits or approvals.</w:t>
      </w:r>
    </w:p>
    <w:p>
      <w:pPr>
        <w:spacing w:after="0" w:line="26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If delivery of any vessel we contract to acquire in the future is materially delayed, it could adversely affect our results of operations and financial condition and our ability to make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Capital Maritime and its affiliates to assist us in operating and expanding our business.</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Pursuant to a management agreement and an administrative services agreement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 Party Transactions—Management Agreement” and “—Administrative Services Agreement” below. Our operational success and ability to execute our growth strategy will depend significantly upon Capital Ship Management’s satisfactory performance of these services. Our business will be harmed if Capital Ship Management fails to perform these services satisfactorily, if Capital Ship Management cancels or materially amends either of these agreements, or if Capital Ship Management stops providing these services to us. We may also in the future contract with Capital Maritime for it to have newbuildings constructed on our behalf and to incur the construction-related financing. We would purchase the vessels on or after delivery based on an agreed-upon price.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or relationships, it may harm our ability to:</w:t>
      </w:r>
    </w:p>
    <w:p>
      <w:pPr>
        <w:spacing w:after="0" w:line="23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6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on continued growth in demand for refined products and crude oil and the continued demand for seaborne transportation of refined products and crude oil.</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growth strategy focuses on expansion in the refined product tanker and crude oil shipping sector. Accordingly, our growth depends on continued growth in world and regional demand for refined products and crude oil and the transportation of refined products and crude oil by sea, which could be negatively affected by a number of factors, including:</w:t>
      </w:r>
    </w:p>
    <w:p>
      <w:pPr>
        <w:spacing w:after="0" w:line="23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economic and financial developments globally, including actual and projected global economic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8"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new, alternative energy sources; and</w:t>
      </w:r>
    </w:p>
    <w:p>
      <w:pPr>
        <w:spacing w:after="0" w:line="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spacing w:after="0" w:line="239" w:lineRule="exact"/>
        <w:rPr>
          <w:sz w:val="20"/>
          <w:szCs w:val="20"/>
          <w:color w:val="auto"/>
        </w:rPr>
      </w:pPr>
    </w:p>
    <w:p>
      <w:pPr>
        <w:jc w:val="both"/>
        <w:ind w:firstLine="710"/>
        <w:spacing w:after="0" w:line="259" w:lineRule="auto"/>
        <w:rPr>
          <w:sz w:val="20"/>
          <w:szCs w:val="20"/>
          <w:color w:val="auto"/>
        </w:rPr>
      </w:pPr>
      <w:r>
        <w:rPr>
          <w:rFonts w:ascii="Arial" w:cs="Arial" w:eastAsia="Arial" w:hAnsi="Arial"/>
          <w:sz w:val="18"/>
          <w:szCs w:val="18"/>
          <w:color w:val="auto"/>
        </w:rPr>
        <w:t>The refining industry may respond to the economic downturn and demand weakness by reducing operating rates and by reducing or cancelling certain investment expansion plans, including plans for additional refining capacity. Reduced demand for refined products and crude oil and the shipping of refined products or crude oil or the increased availability of pipelines used to transport refined products or crude oil, would have a material adverse effect on our future growth and could harm our business, results of operations and financial condition.</w:t>
      </w:r>
    </w:p>
    <w:p>
      <w:pPr>
        <w:spacing w:after="0" w:line="2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expand relationships with existing customers and obtain new customers, for which we will face substantial competition.</w:t>
      </w:r>
    </w:p>
    <w:p>
      <w:pPr>
        <w:spacing w:after="0" w:line="224"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Medium- to long-term time charters and bareboat charters have the potential to provide income at pre-determined rates over more extended periods of time. However, the process for obtaining longer term time charters and bareboat charters is highly competitive and generally involves a lengthy, intensive and continuous screening and vetting process and the submission of competitive bids that often extends for several months. In addition to the quality, age and suitability of the vessel, longer term shipping contracts tend to be awarded based upon a variety of other factors relating to the vessel operator further described below under “Our vessels’ present and future employment could be adversely affected by an inability to clear the oil majors’ risk assessment process”.</w:t>
      </w:r>
    </w:p>
    <w:p>
      <w:pPr>
        <w:spacing w:after="0" w:line="2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addition to having to meet the stringent requirements set out by charterers, it is likely that we will also face substantial competition from a number of competitors who may have greater financial resources, stronger reputation or experience than we do when we try to recharter our vessels. It is also likely that we will face increased numbers of competitors entering into our transportation sectors, including in the ice class sector. Increased competition may cause greater price competition, especially for medium- to long-term charters.</w:t>
      </w:r>
    </w:p>
    <w:p>
      <w:pPr>
        <w:spacing w:after="0" w:line="240"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As a result of these factors, we may be unable to expand our relationships with existing customers or obtain new customers for medium- to long-term time charters or bareboat charters on a profitable basis, if at all. Even if we are successful in employing our vessels under longer term time charters or bareboat charters, our vessels will not be available for trading in the spot market during an upturn in the tanker market cycle, when spot trading may be more profitable. If we cannot successfully employ our vessels in profitable time charters our results of operations and operating cash flow could be adversely affected.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vessels’ present and future employment could be adversely affected by an inability to clear the oil majors’ risk assessment process.</w:t>
      </w:r>
    </w:p>
    <w:p>
      <w:pPr>
        <w:spacing w:after="0" w:line="290"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2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8"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(the “IMO”), a United Nations agency that issues international trade standards for shipping;</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construction management experience, including the ability to procure on-time delivery of new vessels according to customer specifications;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willingness to accept operational risks pursuant to the charter, such as allowing termination of the charter for force majeure events;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6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Should Capital Maritime and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and implementing our growth strategy through acquisitions may harm our business, financial condition and operating results.</w:t>
      </w:r>
    </w:p>
    <w:p>
      <w:pPr>
        <w:spacing w:after="0" w:line="224"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Our growth strategy focuses on a gradual expansion of our fleet. Any acquisition of a vessel may not be profitable to us at or after the time we acquire it and may not generate cash flow sufficient to justify our investment. In addition, our growth strategy exposes us to risks that may harm our business, financial condition and operating results, including risks that we, or Capital Ship Management, our manager, as the case may be, may:</w:t>
      </w:r>
    </w:p>
    <w:p>
      <w:pPr>
        <w:spacing w:after="0" w:line="21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unable to hire, train or retain qualified shore and seafaring personnel to manage and operate our growing business and fleet;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 to meet the covenants under our loans regarding the fair market value of our vessels;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vessels acquired;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other significant charges, such as impairment of goodwill or other intangible assets, asset devaluation or restructuring charges.</w:t>
      </w:r>
    </w:p>
    <w:p>
      <w:pPr>
        <w:spacing w:after="0" w:line="264"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vessels that currently make up our fleet, as well as the six vessels we may purchase from Capital Maritime under our omnibus agreement, have been, or will be, built in accordance with custom designs from three different shipyards, and the vessels from each respective shipyard are the same in all material respects. As a result, any latent defect discovered in one vessel will likely affect all of our vessels.</w:t>
      </w:r>
    </w:p>
    <w:p>
      <w:pPr>
        <w:spacing w:after="0" w:line="202"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The vessels that make up our fleet, with the exception of the M/T Amore Mio II, as well as the six vessels in Capital Maritime’s fleet for which we have been granted a right of first offer, are, or will be, based on standard designs from Hyundai MIPO Dockyard Co., Ltd., South Korea, STX Shipbuilding Co., Ltd., South Korea and Baima Shipyard, China, and have been customized by Capital Maritime, in some cases in consultation with the charterers of the vessel, and are, or will be, uniform in all material respects. All vessels have the same or similar equipment. As a result, any latent design defect discovered in one of our vessels will likely affect all of our other vessels in that class. As a result, any equipment defect discovered may affect all of our vessels. Any disruptions in the operation of our vessels resulting from defects could adversely affect our receipt of revenues under the charters for the vessels affected.</w:t>
      </w:r>
    </w:p>
    <w:p>
      <w:pPr>
        <w:spacing w:after="0" w:line="217" w:lineRule="exact"/>
        <w:rPr>
          <w:sz w:val="20"/>
          <w:szCs w:val="20"/>
          <w:color w:val="auto"/>
        </w:rPr>
      </w:pPr>
    </w:p>
    <w:p>
      <w:pPr>
        <w:jc w:val="both"/>
        <w:spacing w:after="0" w:line="380" w:lineRule="auto"/>
        <w:rPr>
          <w:sz w:val="20"/>
          <w:szCs w:val="20"/>
          <w:color w:val="auto"/>
        </w:rPr>
      </w:pPr>
      <w:r>
        <w:rPr>
          <w:rFonts w:ascii="Arial" w:cs="Arial" w:eastAsia="Arial" w:hAnsi="Arial"/>
          <w:sz w:val="15"/>
          <w:szCs w:val="15"/>
          <w:b w:val="1"/>
          <w:bCs w:val="1"/>
          <w:i w:val="1"/>
          <w:iCs w:val="1"/>
          <w:color w:val="auto"/>
        </w:rPr>
        <w:t>Certain design features in our vessels have been modified by Capital Maritime to enhance the commercial capability of our vessels and have not yet been tested. As a result, we may encounter unforeseen expenses, complications, delays and other unknown factors which could adversely affect our revenues.</w:t>
      </w:r>
    </w:p>
    <w:p>
      <w:pPr>
        <w:spacing w:after="0" w:line="15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Capital Maritime has modified certain design features in our vessels which have not yet been tested and as a result, they may not operate as intended. If these modifications fail to enhance the commercial capability of our vessels as intended or interfere with the operation of our vessels, we could face expensive and time-consuming design modifications, delays in the operation of our vessels, damaged customer relationships and harm to our reputation. Any disruptions in the operation of our vessels resulting from the design modifications could adversely affect our receipt of revenues under the charters for the vessels affected.</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Terrorist attacks, increased acts of piracy, hostilities or war could lead to further economic instability, increased costs and disruption of our business.</w:t>
      </w:r>
    </w:p>
    <w:p>
      <w:pPr>
        <w:spacing w:after="0" w:line="31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Terrorist attacks, such as the attacks that occurred in the United States on September 11, 2001, the bombings in Spain on March 11, 2004, the bombings in London on July 7, 2005, increased acts of piracy and hijacking of vessels off the coast of Somalia and the Gulf of Aden, the ongoing conflicts in Iraq and Afghanistan and other current and future conflicts may adversely affect our business, operating results, financial condition, ability to raise capital and future growth. Continuing hostilities in the Middle East may lead to additional armed conflicts or to further acts of terrorism and civil disturbance in the United States or elsewhere, which may contribute further to economic instability and disruption of oil production and distribution, which could result in reduced demand for our services. If any of our vessels is hijacked it would adversely affect our receipt of revenues as well as lead to increased costs in order to achieve the release of the vessel.</w:t>
      </w:r>
    </w:p>
    <w:p>
      <w:pPr>
        <w:spacing w:after="0" w:line="24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Terrorist attacks, war or other events beyond our control that adversely affect the distribution, production or transportation of oil and other refined products to be shipped by us could entitle our customers to terminate our charter contracts, which would harm our cash flow and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expose us to political and governmental instability, which could harm our business.</w:t>
      </w:r>
    </w:p>
    <w:p>
      <w:pPr>
        <w:spacing w:after="0" w:line="279"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In particular, we derive a substantial portion of our revenues from shipping oil and oil products from politically unstable regions. Past political efforts to disrupt shipping in these regions, particularly in the Arabian Gulf, have included attacks on ships and mining of waterways. In addition to acts of terrorism, trading in this and other regions has also been subject, in limited instances, to piracy.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2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bad weather;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piracy;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6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 accident involving any of our vessels could result in any of the following:</w:t>
      </w:r>
    </w:p>
    <w:p>
      <w:pPr>
        <w:spacing w:after="0" w:line="278"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damage, including potential liabilities or costs to recover any spilled oil or other petroleum products and to restore the eco-system where the spill occurred;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death or injury to persons, loss of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6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Any of these results could have a material adverse effect on our business, financial condition and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7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operation of ocean-going vessels in international trade is inherently risky. All risks may not be adequately insured against, and any particular claim may not be paid. We do not currently maintain off-hire insurance, which would cover the loss of revenue during extended vessel off-hire periods, such as those that occur during an unscheduled drydocking due to damage to the vessel from accidents. Accordingly, any extended vessel off-hire, due to an accident or otherwise, could have a material adverse effect on our business and our ability to pay distributions to our unitholders. Any claims covered by insurance would be subject to deductibles, and since it is possible that a large number of claims may be brought,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219"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Overseas Shipholding Group Inc. Under the terms of these charters, the charterer provides for the insurance of the vessel and as a result these vessels may not be adequately insured and/or in some cases may be self-insured. Any uninsured or underinsured loss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244"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which may significantly limit our operations or increase our expenses.</w:t>
      </w:r>
    </w:p>
    <w:p>
      <w:pPr>
        <w:spacing w:after="0" w:line="224"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 Our compliance with these requirements can be costly.</w:t>
      </w:r>
    </w:p>
    <w:p>
      <w:pPr>
        <w:spacing w:after="0" w:line="224"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These requirements can affect the resale value or useful lives of our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in the event that there is a release of petroleum or other hazardous substances from our vessels or otherwise in connection with our operations. We could also become subject to personal injury or property damage claims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could incur significant costs, including cleanup costs, fines, penalties, third-party claims and natural resource damages, as the result of an oil spill or other liabilities under environmental laws. The United States Oil Pollution Act of 1990 (“OPA 90”) affects all vessel owners shipping oil or petroleum products to, from or within the United States. OPA 90 allows for potentially unlimited liability without regard to fault of owners, operators and bareboat charterers of vessels for oil pollution in U.S. waters. Similarly, the International Convention on Civil Liability for Oil Pollution Damage, 1969, as amended, which has been adopted by most countries outside of the U.S., imposes liability for oil pollution in international waters. OPA 90 expressly permits individual states to impose their own liability regimes with regard to hazardous materials and oil pollution incidents occurring within their boundaries. Coastal states in the U.S. have enacted pollution prevention liability and response laws, many providing for unlimited liability.</w:t>
      </w:r>
    </w:p>
    <w:p>
      <w:pPr>
        <w:spacing w:after="0" w:line="230"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In addition to complying with OPA 90, relevant U.S. Coast Guard regulations, IMO regulations, such as Annex IV and Annex VI to the International Convention for the Prevention of Pollution from Ships (“MARPOL”), EU directives and other existing laws and regulations and those that may be adopted, shipowners may incur significant additional costs in meeting new maintenance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245" w:lineRule="exact"/>
        <w:rPr>
          <w:sz w:val="20"/>
          <w:szCs w:val="20"/>
          <w:color w:val="auto"/>
        </w:rPr>
      </w:pPr>
    </w:p>
    <w:p>
      <w:pPr>
        <w:ind w:right="200" w:firstLine="647"/>
        <w:spacing w:after="0" w:line="275" w:lineRule="auto"/>
        <w:rPr>
          <w:sz w:val="20"/>
          <w:szCs w:val="20"/>
          <w:color w:val="auto"/>
        </w:rPr>
      </w:pPr>
      <w:r>
        <w:rPr>
          <w:rFonts w:ascii="Arial" w:cs="Arial" w:eastAsia="Arial" w:hAnsi="Arial"/>
          <w:sz w:val="17"/>
          <w:szCs w:val="17"/>
          <w:color w:val="auto"/>
        </w:rPr>
        <w:t>For example, amendments to revise the regulations of MARPOL regarding the prevention of air pollution from ships were approved by the Marine Environment Protection Committee (“MEPC”) and formally adopted at MEPC 58th session held in October 2008. The amendments establish a series of progressive standards to further limit the sulphur content in fuel oil, which would be phased in through 2020, and new tiers of nitrogen oxide (“NOx”) emission standards for new marine diesel engines, depending on their date of installation. The amendments are expected to enter into force under the tacit acceptance procedure in July 2010, or on some other date determined by the MEPC.</w:t>
      </w:r>
    </w:p>
    <w:p>
      <w:pPr>
        <w:spacing w:after="0" w:line="22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Further legislation, or amendments to existing legislation, applicable to international and national maritime trade is expected over the coming years in areas such as ship recycling, sewage systems, emission control (including emissions of greenhouse gases), ballast treatment and handling, etc. Currently, legislation and regulations that would require more stringent controls of air emissions from ocean-going vessels are pending at the federal and state level in the U.S. Such legislation or regulations may require additional capital expenditures or operating expenses (such as increased costs for low-sulfur fuel) in order for us to maintain our vessels’ compliance with international and/or national regulations.</w:t>
      </w:r>
    </w:p>
    <w:p>
      <w:pPr>
        <w:spacing w:after="0" w:line="229"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In addition, various jurisdictions are considering regulating the management of ballast water to prevent the introduction of non-indigenous species considered to be invasive. For example, the IMO has adopted the International Convention for the Control and Management of Ships' Ballast Water and Sediments (the “BWM Convention”), which calls for a phased introduction of mandatory ballast water exchange requirements, to be replaced in time with mandatory concentration limits. The BWM Convention will enter into force 12 months after it has been adopted by 30 states, the combined merchant fleets of which represent not less than 35% of the gross tonnage of the world's merchant shipping tonnage. As of January 31, 2009, 17 states, representing about 15.35% of the world’s merchant shipping tonnage, have ratified the BWM Convention. In the United States, ballast water management legislation has been enacted in several states, and federal legislation is currently pending in the U.S. Congress. In addition, the U.S. Environmental Protection Agency has also adopted a rule which requires commercial vessels to obtain a “Vessel General Permit” from the U.S. Coast Guard in compliance with the Federal Water Pollution Control Act (the "Clean Water Act") regulating the discharge of ballast water and other discharges into U.S. waters. Significant expenditures for the installation of additional equipment or new systems on board our vessels may be required in order to comply with new regulations regarding ballast water management which may come into effect.</w:t>
      </w:r>
    </w:p>
    <w:p>
      <w:pPr>
        <w:spacing w:after="0" w:line="23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Other requirements may also come into force regarding the protection of endangered species which could lead to changes in the routes our vessels follow or in trading patterns generally and thus to additional capital expenditures. Furthermore, new environmental regulations are expected to come into effect following the agreement and execution of a G8 environmental agreement.</w:t>
      </w:r>
    </w:p>
    <w:p>
      <w:pPr>
        <w:spacing w:after="0" w:line="23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Additionally,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read “Item 4B: Business Overview—Regulation” below for a more detailed discussion of the regulations applicable to our vessels.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history operating as a publicly traded entity.</w:t>
      </w:r>
    </w:p>
    <w:p>
      <w:pPr>
        <w:spacing w:after="0" w:line="279" w:lineRule="exact"/>
        <w:rPr>
          <w:sz w:val="20"/>
          <w:szCs w:val="20"/>
          <w:color w:val="auto"/>
        </w:rPr>
      </w:pPr>
    </w:p>
    <w:p>
      <w:pPr>
        <w:jc w:val="both"/>
        <w:ind w:firstLine="647"/>
        <w:spacing w:after="0" w:line="284" w:lineRule="auto"/>
        <w:rPr>
          <w:sz w:val="20"/>
          <w:szCs w:val="20"/>
          <w:color w:val="auto"/>
        </w:rPr>
      </w:pPr>
      <w:r>
        <w:rPr>
          <w:rFonts w:ascii="Arial" w:cs="Arial" w:eastAsia="Arial" w:hAnsi="Arial"/>
          <w:sz w:val="16"/>
          <w:szCs w:val="16"/>
          <w:color w:val="auto"/>
        </w:rPr>
        <w:t>We completed our IPO on the Nasdaq Global Market on April 3, 2007 and have a limited history operating as a publicly traded entity. As a publicly traded limited partnership, we are required to comply with the SEC’s reporting requirements and with corporate governance and related requirements of the U.S. Sarbanes-Oxley Act, the SEC and the Nasdaq Global Market, on which our common units are listed. Section 404 of the Sarbanes−Oxley Act (“SOX 404”) requires that we evaluate and determine the effectiveness of our internal control over financial reporting on an annual basis. If we have a material weakness in our internal control over financial reporting, we may not detect errors on a timely basis and our financial statements may be materially misstated. We have and will continue to have to dedicate a significant amount of time and resources to ensure compliance with the regulatory requirements of Section</w:t>
      </w:r>
    </w:p>
    <w:p>
      <w:pPr>
        <w:spacing w:after="0" w:line="3" w:lineRule="exact"/>
        <w:rPr>
          <w:sz w:val="20"/>
          <w:szCs w:val="20"/>
          <w:color w:val="auto"/>
        </w:rPr>
      </w:pPr>
    </w:p>
    <w:p>
      <w:pPr>
        <w:jc w:val="both"/>
        <w:ind w:firstLine="8"/>
        <w:spacing w:after="0" w:line="251" w:lineRule="auto"/>
        <w:tabs>
          <w:tab w:leader="none" w:pos="3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We have incurred and will continue to incur significant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crew employment agreements manning agents enter into on behalf of Capital Maritime or any of its affiliates, including Capital Ship Management, our manager, may not prevent labor interruptions and the failure to renegotiate these agreements successfully in the future may disrupt our operations and adversely affect our cash flows.</w:t>
      </w:r>
    </w:p>
    <w:p>
      <w:pPr>
        <w:spacing w:after="0" w:line="23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crew employment agreements that manning agents enter into on behalf of Capital Maritime or any of its affiliates, including Capital Ship Management, our manager, may not prevent labor interruptions and are subject to renegotiation in the future. Any labor interruptions, including due to a failure to renegotiate employment agreements with our crew members successfully could disrupt our operations and could adversely affect our business,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27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Pursuant to the omnibus agreement that we and Capital Maritime have entered into, Capital Maritime and its controlled affiliates (other than us, our general partner and our subsidiaries) generally will agree not to acquire, own or operate medium- range tankers under time charters of two or more years without the consent of our general partner. The omnibus agreement, however, contains significant exceptions that may allow Capital Maritime or any of its controlled affiliates to compete with us, which could harm our business. Please read “Item 7B: Related Party Transactions—Omnibus Agreement— Noncompetition”.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30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Common unitholders elect only four of the seven members of our board of directors and holders of subordinated units do not elect any members of the board. We do not currently have any outstanding subordinated units. The elected directors will be elected on a staggered basis and will serve for three-year terms. Our general partner in its sole discretion has the right to appoint the remaining three directors and to set the terms for which those directors will serve. The partnership agreement also contains provisions limiting the ability of unitholders to call meetings or to acquire information about our operations, as well as other provisions limiting the unitholders’ ability to influence the manner or direction of management. Unitholders will have no right to elect our general partner and our general partner may not be removed except by a vote of the holders of at least 66⅔% of the outstanding units, including any units owned by our general partner and its affiliates, voting together as a single class and a majority vote of our board of directors.</w:t>
      </w:r>
    </w:p>
    <w:p>
      <w:pPr>
        <w:spacing w:after="0" w:line="233"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an affiliate of our general partner, Capital Maritime is not subject to this limitation. Capital Maritime owns a 46.6% interest in us, including 11,304,651 common units and a 2% interest in us through its ownership of our general partner.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general partner and its other affiliates own a controlling interest in us and have conflicts of interest and limited fiduciary and contractual duties, which may permit them to favor their own interests to your detriment.</w:t>
      </w:r>
    </w:p>
    <w:p>
      <w:pPr>
        <w:spacing w:after="0" w:line="224"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Following the early termination of the subordination period and the conversion of the subordinated units to common on a one-for-one basis on February 14, 2008, Capital Maritime owns a 46.6% interest in us, including 11,304,651 common units and a 2% interest in us through its ownership of our general partner. The common units owned by Capital Maritime have the same rights as our other outstanding common units. Our general partner effectively controls our day-to-day affairs consistent with policies and procedures adopted by and subject to the direction of our board of directors. Our general partner and its affiliates and our directors have a fiduciary duty to manage us in a manner beneficial to us and our unitholders. However,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“—Our partnership agreement limits the fiduciary duties of our general partner and our directors to our unitholders and restricts the remedies available to unitholders for actions taken by our general partner or our directors” below. These conflicts include, among others, the following situations:</w:t>
      </w:r>
    </w:p>
    <w:p>
      <w:pPr>
        <w:spacing w:after="0" w:line="238" w:lineRule="exact"/>
        <w:rPr>
          <w:sz w:val="20"/>
          <w:szCs w:val="20"/>
          <w:color w:val="auto"/>
        </w:rPr>
      </w:pPr>
    </w:p>
    <w:p>
      <w:pPr>
        <w:jc w:val="both"/>
        <w:ind w:left="66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executive officers of our general partner and three of our directors also serve as executive officers and/or directors of Capital Maritime;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8"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our outstanding units if it and its affiliates own more than 80% of our common units.</w:t>
      </w:r>
    </w:p>
    <w:p>
      <w:pPr>
        <w:spacing w:after="0" w:line="28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Although a majority of our directors will over time be elected by common unitholders, our general partner will likely have substantial influence on decisions made by our board of directors. Please read “Item 7B: Related Party Transactions” below.</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vote of a majority of our common unitholders is required to amend the terms of our partnership agreement. Following the early termination of the subordination period and the conversion of the subordinated units to common units on a one-for-one basis, Capital Maritime owns 45.6% of our common units and can significantly impact any vote under the terms of our partnership agreement which may allow Capital Maritime to favor its interests and may significantly affect your rights under the partnership agreement. In addition, Capital Maritime is not subject to the limitations on voting rights imposed on our other limited partners.</w:t>
      </w:r>
    </w:p>
    <w:p>
      <w:pPr>
        <w:spacing w:after="0" w:line="245"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Following such conversion, Capital Maritime owns a 46.6% interest in us, including 11,304,651common units and a 2% interest in us through its ownership of our general partner. The common units owned by Capital Maritime have the same rights as our other outstanding common units.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Prior to such conversion, certain actions, including the approval of any amendments to the terms of the partnership agreement, required the approval of a majority of each of the common and subordinated units, voting separately, or in certain cases a higher percentage of common units. Following termination of the subordination period a majority of common units (or in certain cases a higher percentage), of which Capital Maritime owns 45.6%, will be required in order to amend the terms of the partnership agreement or to reach certain decisions or actions, including:</w:t>
      </w:r>
    </w:p>
    <w:p>
      <w:pPr>
        <w:spacing w:after="0" w:line="22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adjusted operating surplus;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cash distribution policy;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the obligation to pay the minimum quarterly distribution;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of the general partner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of the incentive distribution rights;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the board to sell, exchange or otherwise dispose of all or substantially all of our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resolution of conflicts of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to the partnership agreement.</w:t>
      </w:r>
    </w:p>
    <w:p>
      <w:pPr>
        <w:spacing w:after="0" w:line="26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In addition, prior to such conversion, any shortfall in the payment of the quarterly distribution was borne first by the owners of the subordinated units. Following such conversion the risk will be borne by our common unitholders, including Capital Maritime, equally.</w:t>
      </w:r>
    </w:p>
    <w:p>
      <w:pPr>
        <w:spacing w:after="0" w:line="224"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other than our general partner or its affiliates, their transferees and persons who acquire units with the prior approval of our board of directors owns beneficially 5% or more of any class of units then outstanding, any such units owned by that person or group in excess of 4.9% may not be voted on any matter and that the voting rights of any such unitholders in excess of 4.9% will be redistributed pro rata among the other unitholders holding less than 4.9% of the voting power of all classes of units entitled to vote. See “—Unitholders have limited voting rights and our partnership agreement restricts the voting rights of unitholders owning 5% or more of our units” above for more information. As an affiliate of our general partner, Capital Maritime is not subject to this limitation. Further to the above, Capital Maritime, which holds 11,304,651 common units representing 45.6% of our common units and is our largest unitholder, may propose amendments to the partnership agreement that may favor its interests over yours and which may change or limit your rights under the partnership agreement.</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expect to rely solely on officers of our general partner, who face conflicts in the allocation of their time to our business.</w:t>
      </w:r>
    </w:p>
    <w:p>
      <w:pPr>
        <w:spacing w:after="0" w:line="224"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We do not currently expect our board of directors to exercise its power to appoint officers of Capital Product Partners L.P., and as a result, we expect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partnership agreement contains provisions that reduce the standards to which our general partner and directors would otherwise be held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 law. For example, our partnership agreement:</w:t>
      </w:r>
    </w:p>
    <w:p>
      <w:pPr>
        <w:spacing w:after="0" w:line="264" w:lineRule="exact"/>
        <w:rPr>
          <w:sz w:val="20"/>
          <w:szCs w:val="20"/>
          <w:color w:val="auto"/>
        </w:rPr>
      </w:pPr>
    </w:p>
    <w:p>
      <w:pPr>
        <w:jc w:val="both"/>
        <w:ind w:left="660" w:hanging="328"/>
        <w:spacing w:after="0" w:line="26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7"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ectPr>
          <w:pgSz w:w="11900" w:h="16838" w:orient="portrait"/>
          <w:cols w:equalWidth="0" w:num="1">
            <w:col w:w="11420"/>
          </w:cols>
          <w:pgMar w:left="240" w:top="121" w:right="239" w:bottom="4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438"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left="660" w:hanging="328"/>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22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Fees and cost reimbursements, which Capital Ship Management will determine for services provided to us and certain of our subsidiaries, will be substantial, may fluctuate, and will reduce our cash available for distribution to you. Such fees and cost reimbursements may increase as the vessel costs environment increases and due to other unforeseen events, and may change upon the expiration of the management and administrative agreements currently in place.</w:t>
      </w:r>
    </w:p>
    <w:p>
      <w:pPr>
        <w:spacing w:after="0" w:line="240"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We pay a fixed daily fee for an initial term of approximately five years from the time we take delivery of each vessel for services provided to us by Capital Ship Management, and we reimburse Capital Ship Management for all expenses it incurs on our behalf. The fixed daily fee to be paid to Capital Ship Management includes all costs incurred in providing certain commercial and technical management services to us, including vessel maintenance, crewing, purchasing and insurance and also includes the expenses for each vessel’s next scheduled special or intermediate survey, as applicable, and related drydocking. In addition to the fixed daily fees payable under the management agreement, Capital Ship Management is entitled to supplementary remuneration for extraordinary fees and costs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For the year ended 31, December 2008, such fees amounted to approximately $1.0 million. Such costs may further increase to reflect unforeseen events and the continuing inflationary vessel costs environment. In addition, Capital Ship Management provides us with administrative services, including audit, legal, banking, investor relations, information technology and insurance services, pursuant to an administrative services agreement with an initial term of five years from the date of our initial public offering, and we reimburse Capital Ship Management for all costs and expenses reasonably incurred by it in connection with the provision of those services. Costs for these services are not fixed and may fluctuate depending on our requirements.</w:t>
      </w:r>
    </w:p>
    <w:p>
      <w:pPr>
        <w:spacing w:after="0" w:line="220"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Going forward, when we acquire new vessels or when the respective management agreements for our vessels expire, we will have to enter into new agreements with Capital Ship Management or a third party for the provision of the above services. It is possible that any such new agreement may not be on the same or similar terms as our existing agreements, and that the level of our operating costs may change following any such renewal. Any increase in the costs and expenses associated with the provision of these services by our manager in the future, such as the costs of crews for our time chartered vessels and insurance, will lead to an increase in the fees we will have to pay to Capital Ship Management under any new agreements we enter into. The payment of fees to Capital Ship Management and reimbursement of expenses to Capital Ship Management could adversely affect our ability to pay cash distributions.</w:t>
      </w:r>
    </w:p>
    <w:p>
      <w:pPr>
        <w:spacing w:after="0" w:line="2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decreased, all of which could diminish the trading price of our units.</w:t>
      </w:r>
    </w:p>
    <w:p>
      <w:pPr>
        <w:spacing w:after="0" w:line="20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224" w:lineRule="exact"/>
        <w:rPr>
          <w:sz w:val="20"/>
          <w:szCs w:val="20"/>
          <w:color w:val="auto"/>
        </w:rPr>
      </w:pPr>
    </w:p>
    <w:p>
      <w:pPr>
        <w:jc w:val="both"/>
        <w:ind w:left="660" w:hanging="328"/>
        <w:spacing w:after="0" w:line="26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unitholders will be unable to remove our general partner without its consent because our general partner and its affiliates own sufficient units to be able to prevent its removal. The vote of the holders of at least 66 2/3% of all outstanding units voting together as a single class and a majority vote of our board of directors is required to remove the general partner. As of February 28, 2009, Capital Maritime owned a 46.6% interest in us, including 11,304,651common units and a 2% interest in us through its ownership of our general partner.</w:t>
      </w:r>
    </w:p>
    <w:p>
      <w:pPr>
        <w:spacing w:after="0" w:line="1" w:lineRule="exact"/>
        <w:rPr>
          <w:rFonts w:ascii="Arial" w:cs="Arial" w:eastAsia="Arial" w:hAnsi="Arial"/>
          <w:sz w:val="17"/>
          <w:szCs w:val="17"/>
          <w:color w:val="auto"/>
        </w:rPr>
      </w:pPr>
    </w:p>
    <w:p>
      <w:pPr>
        <w:ind w:left="660" w:right="2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Common unitholders elect only four of the seven members of our board of directors. Our general partner in its sole discretion has the right to appoint the remaining three directors. Subordinated unitholders do not elect any directors. We do not currently have any outstanding subordinated units.</w:t>
      </w:r>
    </w:p>
    <w:p>
      <w:pPr>
        <w:ind w:left="66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Election of the four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ind w:left="660" w:hanging="328"/>
        <w:spacing w:after="0" w:line="32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3" w:lineRule="exact"/>
        <w:rPr>
          <w:rFonts w:ascii="Arial" w:cs="Arial" w:eastAsia="Arial" w:hAnsi="Arial"/>
          <w:sz w:val="18"/>
          <w:szCs w:val="18"/>
          <w:color w:val="auto"/>
        </w:rPr>
      </w:pPr>
    </w:p>
    <w:p>
      <w:pPr>
        <w:ind w:left="660" w:right="4420" w:hanging="328"/>
        <w:spacing w:after="0" w:line="62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substantial latitude in issuing equity securities without unitholder approval. The effect of these provisions may be to diminish the price at which our units will trade.</w:t>
      </w: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7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units in the public market could cause the price of our units to fall.</w:t>
      </w:r>
    </w:p>
    <w:p>
      <w:pPr>
        <w:spacing w:after="0" w:line="27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We have granted registration rights to Capital Maritime and certain affiliates of Capital Maritime. These unitholders have the right, subject to some conditions, to require us to file registration statements covering any of our common, subordinated or other equity securities owned by them at such time or to include those securities in registration statements that we may file for ourselves or other unitholders. As of February 28, 2009 Capital Maritime owned 11,304,651 common units registered under our Registration Statement on Form F-3 dated August 29, 2008, as amended, and certain incentive distribution rights. By exercising their registration rights or selling a large number of units or other securities, as the case may be, these unitholders could cause the price of our units to decline.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may, without the approval of our unitholders, issue an unlimited number of additional units or other equity securities, including securities to Capital Maritime. In particular, we have financed a portion of the purchase price of the two non-contracted vessels we acquired from Capital Maritime during the first half of 2008 through the issuance of additional common units to Capital Maritime. The issuance by us of additional units or other equity securities of equal or senior rank will have the following effects:</w:t>
      </w:r>
    </w:p>
    <w:p>
      <w:pPr>
        <w:spacing w:after="0" w:line="24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8"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33"/>
        </w:numPr>
        <w:rPr>
          <w:rFonts w:ascii="Arial" w:cs="Arial" w:eastAsia="Arial" w:hAnsi="Arial"/>
          <w:sz w:val="28"/>
          <w:szCs w:val="28"/>
          <w:color w:val="auto"/>
          <w:vertAlign w:val="superscript"/>
        </w:rPr>
      </w:pPr>
      <w:r>
        <w:rPr>
          <w:rFonts w:ascii="Arial" w:cs="Arial" w:eastAsia="Arial" w:hAnsi="Arial"/>
          <w:sz w:val="15"/>
          <w:szCs w:val="15"/>
          <w:color w:val="auto"/>
        </w:rPr>
        <w:t>the relative voting strength of each previously outstanding unit may be diminished; and</w:t>
      </w:r>
    </w:p>
    <w:p>
      <w:pPr>
        <w:spacing w:after="0" w:line="55"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the market price of the units may decline.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establishing cash reserves, our board of directors may reduce the amount of cash available for distribution to you.</w:t>
      </w:r>
    </w:p>
    <w:p>
      <w:pPr>
        <w:spacing w:after="0" w:line="279"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Our partnership agreement requires our general partner to deduct from operating surplus cash reserves that it determines are necessary to fund our future operating expenditures. These reserves will also affect the amount of cash available for distribution to our unitholders. Our board of directors may also establish reserves for distributions on any future subordinated units, but only if those reserves will not prevent us from distributing the full quarterly distribution, plus any arrearages, on the common units for the following four quarters. We currently do not have any subordinated units outstanding. As described above in “—Risks Inherent in Our Business—We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 our partnership agreement requires our board of directors each quarter to deduct from operating surplus estimated maintenance and replacement capital expenditures, as opposed to actual expenditures, which could reduce the amount of available cash for distribution. The amount of estimated maintenance and replacement capital expenditures deducted from operating surplus is subject to review and change by our board of directors at least once a year, provided that any change must be approved by the conflicts committee of our board of directors.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27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22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As a result of an exceptional dividend distribution of $1.05 per unit made on February 13, 2009 to unitholders of record on February 10, 2009, and in accordance with the terms of our partnership agreement, all of our outstanding subordinated units were automatically converted into common units on a one-for-one basis as of February 14, 2009. As of February 28, 2009 Capital Maritime, an affiliate of our general partner, owned a 46.6% interest in us, including 11,304,651common units and a 2% interest in us through its ownership of our general partner.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7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 Please read “The Partnership Agreement—Limited Liability” for a discussion of the implications of the limitations on liability to a unitholder.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partnership agreement will allow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Operating and Financial Review and Prospects—Liquidity and Capital Resources—Borrowings”.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279"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of our units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7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Under some circumstances, unitholders may have to repay amounts wrongfully returned or distributed to them. Under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organized as a limited partnership under the laws of the Republic of The Marshall Islands, which does not have a well developed body of partnership law.</w:t>
      </w:r>
    </w:p>
    <w:p>
      <w:pPr>
        <w:spacing w:after="0" w:line="224"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fairly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limited partnership formed in the United States.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237"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Our business is operated primarily from our office in Greece. As a result, it may be difficult or impossible for you to effect service of process within the United States upon us, our directors, our general partner, our subsidiaries or the directors and officers of our general partner or enforce against us or them judgments obtained in United States courts if you believe that your rights have been infringed under securities laws or otherwise, including judgments predicated upon the civil liability provisions of the securities laws of the United States or any state of the United States. Even if you are successful in bringing an action of this kind there is uncertainty as to whether the courts of The Marshall Islands and of other jurisdictions would (1) recognize or enforce against us, our directors,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83"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In addition to the following risk factors, you should read “Item 10E: Taxation” for a more complete discussion of the expected material U.S. federal and non-U.S. income tax considerations relating to us and the ownership and disposition of our units.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64"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A foreign entity taxed as a corporation for U.S. federal income tax purposes will be treated as a “passive foreign investment company” (a “PFIC”), for U.S. federal income tax purposes if at least 75.0% of its gross income for any taxable year consists of certain types of “passive income”, or at least 50.0%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244"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Based on our current and projected method of operation we do not believe that we have been a PFIC nor do we expect to become a PFIC with respect to any future taxable year. We intend to treat our income from time chartering activities as non-passive income, and the vessels engaged in those activities as non-passive assets, for PFIC purposes. However, no assurance can be given that the Internal Revenue Service (the “IRS”) will accept this position. Certain vessels in our fleet are engaged in activities that may be characterized as passive for PFIC purposes and the income from that portion of our fleet may be treated as passive income for PFIC purposes. See “Item 10E: Taxation—PFIC Status and Significant Tax Consequences”.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preferential tax rates applicable to qualified dividend income are temporary, and the enactment of previously proposed legislation could affect whether dividends paid by us constitute qualified dividend income eligible for the preferential rate.</w:t>
      </w:r>
    </w:p>
    <w:p>
      <w:pPr>
        <w:spacing w:after="0" w:line="22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Certain of our distributions may be treated as qualified dividend income eligible for preferential rates of U.S. federal income tax to U.S. individual unitholders (and certain other U.S. unitholders). In the absence of legislation extending the term for these preferential tax rates, all dividends received by such U.S. taxpayers in tax years beginning on January 1, 2011 or later will be taxed at ordinary graduated tax rates. Please read “Item 10E: Taxation—U.S. Federal Income Taxation of U.S. Holders—Distributions”.</w:t>
      </w:r>
    </w:p>
    <w:p>
      <w:pPr>
        <w:spacing w:after="0" w:line="240"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In addition, previously proposed legislation would deny the preferential rate of U.S. federal income tax currently imposed on qualified dividend income with respect to dividends received from a non-U.S. corporation, unless the non-U.S. corporation either is eligible for benefits of a comprehensive income tax treaty with the United States or is created or organized under the laws of a foreign country that has a comprehensive income tax system. Because the Marshall Islands has not entered into a comprehensive income tax treaty with the United States and imposes only limited taxes on entities organized under its laws, it is unlikely that we could satisfy either of these requirements. Consequently, if this legislation were enacted the preferential tax rates of federal income tax discussed under “Item 10E: Taxation—U.S. Federal Income Taxation of U.S. Holders—Distributions” herein may no longer be applicable to distributions received from us. As of the date hereof, it is not possible to predict with any certainty whether this previously proposed legislation will be reintroduced and enacted.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279"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Under the Internal Revenue Code of 1986, as amended (the “Code”), 50% of the gross shipping income of a vessel-owning or chartering corporation that is attributable to transportation that both begins or ends, but that does not begin and end, in the U.S.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 structure such as ours. Although we have elected to be treated as a corporation for U.S. federal income tax purposes, for corporate law purposes we are organized as a limited partnership under Marshall Islands law and our general partner swill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23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If we or our subsidiaries are not entitled to this exemption under Section 883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3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79"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intend that our affairs and the business of each of our controlled affiliates will be conducted and operated in a manner that minimizes income taxes imposed upon us and these controlled affiliates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to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244"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the acquisition, holding, disposition or redemption of our units. However, the question of whether either we or any of our controlled affiliates will be treated as carrying on business in any country, including Greece, will largely be a question of fact determined through an analysis of contractual arrangements, including the management agreement and the administrative services agreement we will enter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Partnership.</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Partnership</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We are a limited partnership incorporated as Capital Product Partners L.P. under the laws of the Marshall Islands on January 16, 2007 by Capital Maritime, an international shipping company with a long history of operating and investing in the shipping markets. Our fleet currently consists of 18 double-hull, high specification tankers including one of the largest Ice Class 1A medium range (“MR”) product tanker fleets in the world based on number of vessels and carrying capacity. We maintain our principal executive headquarters at 3 Iassonos Street, Piraeus, 18537 Greece and our telephone number is +30 210 4584 950.</w:t>
      </w:r>
    </w:p>
    <w:p>
      <w:pPr>
        <w:spacing w:after="0" w:line="245"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On April 3, 2007, we completed our IPO of 13,512,500 common units at a price of $21.50 per unit. At the time of the IPO, Capital Maritime transferred all of the shares of eight wholly owned subsidiaries, each of which owned a newly built, double hull MR product tanker, to us and we entered into an agreement with Capital Ship Management, a subsidiary of Capital Maritime, to provide management and technical services in connection with these and future vessels. Since the IPO we have taken delivery of seven newbuildings, which we had contracted to acquire at the time of the IPO, and we have also acquired three additional, non-contracted, vessels from Capital Maritime, greatly increasing the size of our fleet in terms of both number of vessels and carrying capacity. The additional vessels were purchased in part by issuing equity to Capital Maritime. Capital Maritime has also granted us a right of first offer for any MR tankers in its fleet under charter for two or more years, giving us the opportunity to purchase up to an additional six vessels in the future. We intend to continue to make strategic acquisitions and to take advantage of our relationship with Capital Maritime in a prudent manner that is accretive to our unitholders and to long-term distribution growth.</w:t>
      </w:r>
    </w:p>
    <w:p>
      <w:pPr>
        <w:spacing w:after="0" w:line="23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Following such conversion, Capital Maritime owns a 46.6% interest in us, including 11,304,651 common units and a 2% interest in us through its ownership of our general partner, Capital GP L.L.C. The common units owned by Capital Maritime have the same rights as our other outstanding common units.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8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Our 18 vessels trade on a worldwide basis and are capable of carrying crude oil, refined oil products, such as gasoline, diesel, fuel oil and jet fuel, as well as edible oils and certain chemicals such as ethanol and comply not only with the strict regulatory standards that are currently in place but also with the stricter regulatory standards that are currently expected to be implemented. We charter our vessels under medium to long-term time and bareboat charters (two to 10 years, with an average remaining term of approximately 4.3 years as of February 28, 2009) to large charterers such as BP Shipping Limited, Morgan Stanley Capital Group Inc., Trafigura Beheer B.V., Shell International Trading &amp; Shipping Company Ltd. and subsidiaries of Overseas Shipholding Group Inc. All our charters provide for the receipt of a fixed base rate for the life of the charter, and in the case of 10 of our 12 time charters, also provide for profit sharing arrangements in excess of the base rate. Please see “Profit Sharing Arrangements” below for a detailed description of how profit sharing is calculated.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current severe economic downturn the duration and long term effects of which it is not possible to predict our primary business objective remains to increase quarterly distributions per unit over time subject to shipping, charter and financial market developments. In order to achieve this objective we execute the following business strategies:</w:t>
      </w:r>
    </w:p>
    <w:p>
      <w:pPr>
        <w:spacing w:after="0" w:line="237" w:lineRule="exact"/>
        <w:rPr>
          <w:sz w:val="20"/>
          <w:szCs w:val="20"/>
          <w:color w:val="auto"/>
        </w:rPr>
      </w:pPr>
    </w:p>
    <w:p>
      <w:pPr>
        <w:jc w:val="both"/>
        <w:ind w:left="980" w:hanging="325"/>
        <w:spacing w:after="0" w:line="293"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grow our cash flows. </w:t>
      </w:r>
      <w:r>
        <w:rPr>
          <w:rFonts w:ascii="Arial" w:cs="Arial" w:eastAsia="Arial" w:hAnsi="Arial"/>
          <w:sz w:val="16"/>
          <w:szCs w:val="16"/>
          <w:color w:val="auto"/>
        </w:rPr>
        <w:t>We believe that the medium to long-term, fixed-rate nature of our charters, our profit sharing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agreement with Capital Ship Management for the commercial and technical management of our vessels, which provides for a fixed management fee for an initial term of approximately five years from when we take delivery of each vessel and includes the expenses for its next scheduled special or intermediate survey, as applicable, and related drydocking, will provide a stable base of revenue and predictable expenses that will result in stable cash flows in the medium to long-term. Subject to prevailing shipping, charter and financial market conditions we may make potential future acquisitions from Capital Maritime or third parties, which could lead to the growth of our base revenues.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ind w:left="980" w:hanging="325"/>
        <w:spacing w:after="0" w:line="269"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grow our fleet. </w:t>
      </w:r>
      <w:r>
        <w:rPr>
          <w:rFonts w:ascii="Arial" w:cs="Arial" w:eastAsia="Arial" w:hAnsi="Arial"/>
          <w:sz w:val="17"/>
          <w:szCs w:val="17"/>
          <w:color w:val="auto"/>
        </w:rPr>
        <w:t>Despite the severe deterioration currently faced in the banking and credit worlds affecting liquidity, 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evaluate potential acquisitions of additional vessels and to take advantage of our unique relationship with Capital Maritime and, subject to prevailing shipping, charter and financial market conditions, make strategic acquisitions in the medium to long term in a prudent manner that is accretive to our unitholders and to long-term distribution growth. Our board has determined, however, that in the current market and financial conditions there are limited opportunities for vessel acquisitions that our accretive to our unitholders. Since the IPO, we have taken delivery of seven newbuildings and have also acquired three additional vessels from Capital Maritime. Furthermore, pursuant to our omnibus agreement with Capital Maritime, we have the opportunity to purchase six sister vessels currently in Capital Maritime’s fleet, but only in the event those vessels are fixed under medium to long-term charters Capital Maritime also has a newbuilding program in place and we will continue to evaluate opportunities to acquire both newbuildings and second-hand vessels, if and when they are chartered for more than two years, from Capital Maritime and from third parties as we seek to grow our fleet.</w:t>
      </w:r>
    </w:p>
    <w:p>
      <w:pPr>
        <w:spacing w:after="0" w:line="237" w:lineRule="exact"/>
        <w:rPr>
          <w:rFonts w:ascii="Arial" w:cs="Arial" w:eastAsia="Arial" w:hAnsi="Arial"/>
          <w:sz w:val="17"/>
          <w:szCs w:val="17"/>
          <w:color w:val="auto"/>
        </w:rPr>
      </w:pPr>
    </w:p>
    <w:p>
      <w:pPr>
        <w:jc w:val="both"/>
        <w:ind w:left="980" w:hanging="325"/>
        <w:spacing w:after="0" w:line="293"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our relationship with Capital Maritime and expand our charters with recognized charterers</w:t>
      </w:r>
      <w:r>
        <w:rPr>
          <w:rFonts w:ascii="Arial" w:cs="Arial" w:eastAsia="Arial" w:hAnsi="Arial"/>
          <w:sz w:val="16"/>
          <w:szCs w:val="16"/>
          <w:color w:val="auto"/>
        </w:rPr>
        <w:t>. We believe that we can leverage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relationship with Capital Maritime and its ability to meet the rigorous vetting processes of leading oil companies in order to attract new customers. We also plan to increase the number of vessels we charter to our existing charterers as well as enter into charter agreements with new customers in order to maintain a portfolio of charters that is diverse from a customer, geography and maturity perspective. Following our IPO, we have acquired three non-contracted vessels from Capital Maritime which were under time charters with Trafigura Beheer B.V., BP Shipping Limited and Shell International Trading &amp; Shipping Ltd. and have also delivered three vessels to Overseas Shipholding Group.</w:t>
      </w:r>
    </w:p>
    <w:p>
      <w:pPr>
        <w:spacing w:after="0" w:line="217" w:lineRule="exact"/>
        <w:rPr>
          <w:rFonts w:ascii="Arial" w:cs="Arial" w:eastAsia="Arial" w:hAnsi="Arial"/>
          <w:sz w:val="16"/>
          <w:szCs w:val="16"/>
          <w:color w:val="auto"/>
        </w:rPr>
      </w:pPr>
    </w:p>
    <w:p>
      <w:pPr>
        <w:jc w:val="both"/>
        <w:ind w:left="980" w:hanging="325"/>
        <w:spacing w:after="0" w:line="25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and build on our ability to meet rigorous industry and regulatory safety standards. </w:t>
      </w:r>
      <w:r>
        <w:rPr>
          <w:rFonts w:ascii="Arial" w:cs="Arial" w:eastAsia="Arial" w:hAnsi="Arial"/>
          <w:sz w:val="18"/>
          <w:szCs w:val="18"/>
          <w:color w:val="auto"/>
        </w:rPr>
        <w:t>Capital Ship Management, an affiliate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partner that manages our vessels, has an excellent vessel safety record, is capable of fully complying with rigorous health, safety and environmental protection standards, and is committed to providing our customers with a high level of customer service and support. We believe that in order for us to be successful in growing our business in the future, we will need to maintain our excellent vessel safety record and maintain and build on our high level of customer service and support.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83"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224" w:lineRule="exact"/>
        <w:rPr>
          <w:sz w:val="20"/>
          <w:szCs w:val="20"/>
          <w:color w:val="auto"/>
        </w:rPr>
      </w:pPr>
    </w:p>
    <w:p>
      <w:pPr>
        <w:jc w:val="both"/>
        <w:ind w:left="980" w:hanging="325"/>
        <w:spacing w:after="0" w:line="273"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Stable and growing cash flows based on medium to long-term charters. </w:t>
      </w:r>
      <w:r>
        <w:rPr>
          <w:rFonts w:ascii="Arial" w:cs="Arial" w:eastAsia="Arial" w:hAnsi="Arial"/>
          <w:sz w:val="17"/>
          <w:szCs w:val="17"/>
          <w:color w:val="auto"/>
        </w:rPr>
        <w:t>We believe that the medium-to long-term, fixed-rate nature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charters, our profit sharing arrangements and our fixed-rate management agreement provide a stable base of revenues and predictable expenses that result in stable cash flows. Our existing fleet has experienced significant growth since our IPO, both in terms of carrying capacity and number of vessels. In addition, the potential opportunity to purchase up to an additional six sister vessels and a number of modern crude and product double-hull tankers of various sizes from Capital Maritime, subject to prevailing shipping, charter and financial market conditions provides visible opportunity for future growth in our revenue, operating income and net income.</w:t>
      </w:r>
    </w:p>
    <w:p>
      <w:pPr>
        <w:spacing w:after="0" w:line="230" w:lineRule="exact"/>
        <w:rPr>
          <w:rFonts w:ascii="Arial" w:cs="Arial" w:eastAsia="Arial" w:hAnsi="Arial"/>
          <w:sz w:val="17"/>
          <w:szCs w:val="17"/>
          <w:color w:val="auto"/>
        </w:rPr>
      </w:pPr>
    </w:p>
    <w:p>
      <w:pPr>
        <w:jc w:val="both"/>
        <w:ind w:left="980" w:hanging="325"/>
        <w:spacing w:after="0" w:line="271"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relationship with Capital Maritime. </w:t>
      </w:r>
      <w:r>
        <w:rPr>
          <w:rFonts w:ascii="Arial" w:cs="Arial" w:eastAsia="Arial" w:hAnsi="Arial"/>
          <w:sz w:val="17"/>
          <w:szCs w:val="17"/>
          <w:color w:val="auto"/>
        </w:rPr>
        <w:t>We believe our relationship with Capital Maritime and its affiliates provides numerous benefits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key to our long-term growth and success, including Capital Maritime’s reputation within the shipping industry and its network of strong relationships with many of the world’s leading oil companies, commodity traders and shipping companies. We also benefit from Capital Maritime’s expertise in technical fleet management and its ability to meet the rigorous vetting processes of some of the world’s most selective major international oil companies, including BP p.l.c., Royal Dutch Shell plc, StatoilHydro ASA, Chevron Corporation, ExxonMobil Corporation and Total S.A. We believe we are well-positioned not only to retain existing customers, such as BP Shipping Limited, Morgan Stanley Capital Group Inc., Trafigura Beheer B.V., Shell International Trading &amp; Shipping Company Ltd. and Overseas Shipholding Group Inc., but also to enter into agreements with other large charterers and oil companies.</w:t>
      </w:r>
    </w:p>
    <w:p>
      <w:pPr>
        <w:spacing w:after="0" w:line="230" w:lineRule="exact"/>
        <w:rPr>
          <w:rFonts w:ascii="Arial" w:cs="Arial" w:eastAsia="Arial" w:hAnsi="Arial"/>
          <w:sz w:val="17"/>
          <w:szCs w:val="17"/>
          <w:color w:val="auto"/>
        </w:rPr>
      </w:pPr>
    </w:p>
    <w:p>
      <w:pPr>
        <w:jc w:val="both"/>
        <w:ind w:left="980" w:hanging="325"/>
        <w:spacing w:after="0" w:line="271"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position in the product tanker market, with a modern, capable fleet, built to high specifications. </w:t>
      </w:r>
      <w:r>
        <w:rPr>
          <w:rFonts w:ascii="Arial" w:cs="Arial" w:eastAsia="Arial" w:hAnsi="Arial"/>
          <w:sz w:val="17"/>
          <w:szCs w:val="17"/>
          <w:color w:val="auto"/>
        </w:rPr>
        <w:t>Our fleet of 18 tankers includes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largest Ice Class 1A MR fleet in the world based on number of vessels and carrying capacity. The IMO II/III and Ice Class 1A classification notations of most of our vessels provide a high degree of flexibility as to what cargoes our charterers can choose to trade as they employ our fleet. We also believe that the range in size and the geographic flexibility of our fleet are attractive to our charterers, allowing them to consider a variety of trade routes and cargoes. In addition, with an average age of approximately 3.0 years as of February 28, 2009, our fleet is one of the youngest fleets of its size in the world. Finally, we believe our vessels’ compliance with existing and expected regulatory standards, the high technical specifications of our vessels and our fleet’s flexibility to transport a wide variety of refined products and crude oil across a wide range of trade routes is attractive to our existing and potential charterers.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both"/>
        <w:ind w:left="980" w:hanging="325"/>
        <w:spacing w:after="0" w:line="25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strength and flexibility. </w:t>
      </w:r>
      <w:r>
        <w:rPr>
          <w:rFonts w:ascii="Arial" w:cs="Arial" w:eastAsia="Arial" w:hAnsi="Arial"/>
          <w:sz w:val="18"/>
          <w:szCs w:val="18"/>
          <w:color w:val="auto"/>
        </w:rPr>
        <w:t>At the time of the IPO we entered into a non-amortizing revolving credit facility that provided us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to pay, in full or in part, the purchase price of the pre-contracted vessels delivered to us to date, as well as the M/T Attikos. On March 19, 2008 we entered into a new 10-year revolving credit facility of up to $350.0 million, which is non-amortizing until March 2013, further enhancing our financial flexibility to realize new vessel acquisitions from Capital Maritime and third parties. We may use this facility to finance up to 50% of the purchase price of any potential future purchases of modern tanker vessels from Capital Maritime or any third parties. To date, we have used $107.5 million of this facility to fund part of the acquisition price of the M/T Amore Mio II, the M/T Aristofanis, the M/T Aristotelis II and the M/T Aris II, all from Capital Maritime. We currently have $246.0 million in undrawn amounts available under our credit facilities.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83"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We provide marine transportation services under medium-to long-term time charters or bareboat charters with counterparties that we believe are creditworthy. Currently, our customers are:</w:t>
      </w:r>
    </w:p>
    <w:p>
      <w:pPr>
        <w:spacing w:after="0" w:line="224" w:lineRule="exact"/>
        <w:rPr>
          <w:sz w:val="20"/>
          <w:szCs w:val="20"/>
          <w:color w:val="auto"/>
        </w:rPr>
      </w:pPr>
    </w:p>
    <w:p>
      <w:pPr>
        <w:jc w:val="both"/>
        <w:ind w:left="980" w:hanging="325"/>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BP Shipping Limited</w:t>
      </w:r>
      <w:r>
        <w:rPr>
          <w:rFonts w:ascii="Arial" w:cs="Arial" w:eastAsia="Arial" w:hAnsi="Arial"/>
          <w:sz w:val="18"/>
          <w:szCs w:val="18"/>
          <w:color w:val="auto"/>
        </w:rPr>
        <w:t>, the shipping affiliate of BP p.l.c., one of the world’s largest producers of crude oil and natural gas. BP p.l.c.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exploration and production interests in 26 countries and as of December 31, 2007, BP p.l.c. had proved reserves of 17.8 billion barrels of oil and gas equivalent. BP Shipping provides all logistics for the marketing of BP’s oil and gas cargoes.</w:t>
      </w:r>
    </w:p>
    <w:p>
      <w:pPr>
        <w:spacing w:after="0" w:line="2" w:lineRule="exact"/>
        <w:rPr>
          <w:rFonts w:ascii="Arial" w:cs="Arial" w:eastAsia="Arial" w:hAnsi="Arial"/>
          <w:sz w:val="18"/>
          <w:szCs w:val="18"/>
          <w:color w:val="auto"/>
        </w:rPr>
      </w:pPr>
    </w:p>
    <w:p>
      <w:pPr>
        <w:ind w:left="980" w:hanging="325"/>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Morgan Stanley Capital Group Inc.</w:t>
      </w:r>
      <w:r>
        <w:rPr>
          <w:rFonts w:ascii="Arial" w:cs="Arial" w:eastAsia="Arial" w:hAnsi="Arial"/>
          <w:sz w:val="18"/>
          <w:szCs w:val="18"/>
          <w:color w:val="auto"/>
        </w:rPr>
        <w:t>, the commodities division of Morgan Stanley, the international investment bank, is a leading commodities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firm in the energy and metals markets, encompassing both physical and derivative capabilities.</w:t>
      </w:r>
    </w:p>
    <w:p>
      <w:pPr>
        <w:ind w:left="980" w:right="200" w:hanging="325"/>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2008 Overseas Shipholding Group Inc.’s operating fleet consisted of 158 vessels, 37 of which were under construction, aggregating 15.8 million dwt.</w:t>
      </w:r>
    </w:p>
    <w:p>
      <w:pPr>
        <w:ind w:left="980" w:hanging="325"/>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Trafigura Beheer B.V.</w:t>
      </w:r>
      <w:r>
        <w:rPr>
          <w:rFonts w:ascii="Arial" w:cs="Arial" w:eastAsia="Arial" w:hAnsi="Arial"/>
          <w:sz w:val="18"/>
          <w:szCs w:val="18"/>
          <w:color w:val="auto"/>
        </w:rPr>
        <w:t>, based in The Netherlands and founded in 1993, is one of the world’s largest independent oil traders with access to multi-billion credit facilities and investments in industrial assets around the world of more than $700.0 million.</w:t>
      </w:r>
    </w:p>
    <w:p>
      <w:pPr>
        <w:jc w:val="both"/>
        <w:ind w:left="980" w:hanging="325"/>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Shell International Trading &amp; Shipping Company Ltd.</w:t>
      </w:r>
      <w:r>
        <w:rPr>
          <w:rFonts w:ascii="Arial" w:cs="Arial" w:eastAsia="Arial" w:hAnsi="Arial"/>
          <w:sz w:val="18"/>
          <w:szCs w:val="18"/>
          <w:color w:val="auto"/>
        </w:rPr>
        <w:t>, a subsidiary of Royal Dutch Shell plc., is the principal trading and shipping business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Royal Dutch/Shell Group. It trades millions of barrels crude oil and oil products and moves cargoes on some 100 deep-sea tankers and gas carriers around the world on a daily basis.</w:t>
      </w:r>
    </w:p>
    <w:p>
      <w:pPr>
        <w:spacing w:after="0" w:line="24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BP Shipping Limited and Morgan Stanley Capital Group Inc. accounted for 54% and 33% of our revenues respectively for the year ended December 31, 2008. For the year ended December 31, 2007, these customers accounted for 58% and 24% of our revenues, respectively and for the year ended December 31, 2006 they accounted for 42% and 18% of our revenues, respectively. The loss of any significant customer or a substantial decline in the amount of services requested by a significant customer could harm our business, financial condition and results of operations.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greatly increased in terms of both number of vessels and carrying capacity and currently consists of 18 vessels comprising:</w:t>
      </w:r>
    </w:p>
    <w:p>
      <w:pPr>
        <w:spacing w:after="0" w:line="224" w:lineRule="exact"/>
        <w:rPr>
          <w:sz w:val="20"/>
          <w:szCs w:val="20"/>
          <w:color w:val="auto"/>
        </w:rPr>
      </w:pPr>
    </w:p>
    <w:p>
      <w:pPr>
        <w:jc w:val="both"/>
        <w:ind w:left="1300" w:hanging="321"/>
        <w:spacing w:after="0" w:line="286"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Twelve newly-built, Ice Class 1A, IMO II/III double-hull, MR chemical/product tanker sister vessels ranging in size from 36,000 dwt to 48,000 dwt, constructed by Hyundai MIPO Dockyard Co., Ltd. to high specifications, representing one of the largest such fleets in the world based on number of vessels and carrying capacity and delivered to us between April and September 2007;</w:t>
      </w:r>
    </w:p>
    <w:p>
      <w:pPr>
        <w:spacing w:after="0" w:line="218" w:lineRule="exact"/>
        <w:rPr>
          <w:rFonts w:ascii="Arial" w:cs="Arial" w:eastAsia="Arial" w:hAnsi="Arial"/>
          <w:sz w:val="17"/>
          <w:szCs w:val="17"/>
          <w:color w:val="auto"/>
        </w:rPr>
      </w:pPr>
    </w:p>
    <w:p>
      <w:pPr>
        <w:jc w:val="both"/>
        <w:ind w:left="1300" w:hanging="321"/>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Three newly-built, 51,000 dwt, IMO II/III, double-hull, MR chemical/product tanker sister vessels constructed by STX Shipbuilding Co., Ltd. under bareboat charter to a charterer who has the option to purchase each vessel at the end of the eighth, ninth or tenth year of each charter delivered to us between January and August 2008;</w:t>
      </w:r>
    </w:p>
    <w:p>
      <w:pPr>
        <w:spacing w:after="0" w:line="236" w:lineRule="exact"/>
        <w:rPr>
          <w:rFonts w:ascii="Arial" w:cs="Arial" w:eastAsia="Arial" w:hAnsi="Arial"/>
          <w:sz w:val="18"/>
          <w:szCs w:val="18"/>
          <w:color w:val="auto"/>
        </w:rPr>
      </w:pPr>
    </w:p>
    <w:p>
      <w:pPr>
        <w:ind w:left="1300" w:right="460" w:hanging="321"/>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Two 12,000 dwt, double-hull, small product tanker sister vessels purchased from Capital Maritime in September 2007 and April 2008, respectively; and</w:t>
      </w:r>
    </w:p>
    <w:p>
      <w:pPr>
        <w:spacing w:after="0" w:line="223" w:lineRule="exact"/>
        <w:rPr>
          <w:rFonts w:ascii="Arial" w:cs="Arial" w:eastAsia="Arial" w:hAnsi="Arial"/>
          <w:sz w:val="18"/>
          <w:szCs w:val="18"/>
          <w:color w:val="auto"/>
        </w:rPr>
      </w:pPr>
    </w:p>
    <w:p>
      <w:pPr>
        <w:ind w:left="1300" w:hanging="321"/>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160,000 dwt, 2001-built, double-hull Suezmax tanker purchased from Capital Maritime in March 2008.</w:t>
      </w:r>
    </w:p>
    <w:p>
      <w:pPr>
        <w:spacing w:after="0" w:line="279" w:lineRule="exact"/>
        <w:rPr>
          <w:sz w:val="20"/>
          <w:szCs w:val="20"/>
          <w:color w:val="auto"/>
        </w:rPr>
      </w:pPr>
    </w:p>
    <w:p>
      <w:pPr>
        <w:ind w:right="840" w:firstLine="647"/>
        <w:spacing w:after="0" w:line="277" w:lineRule="auto"/>
        <w:rPr>
          <w:sz w:val="20"/>
          <w:szCs w:val="20"/>
          <w:color w:val="auto"/>
        </w:rPr>
      </w:pPr>
      <w:r>
        <w:rPr>
          <w:rFonts w:ascii="Arial" w:cs="Arial" w:eastAsia="Arial" w:hAnsi="Arial"/>
          <w:sz w:val="18"/>
          <w:szCs w:val="18"/>
          <w:color w:val="auto"/>
        </w:rPr>
        <w:t>As of February 28, 2009, the average age of our fleet was approximately 3.0 years and the average remaining term under our charters was approximately 4.3 years.</w:t>
      </w:r>
    </w:p>
    <w:p>
      <w:pPr>
        <w:spacing w:after="0" w:line="224"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Sister vessels are vessels of similar specifications and size typically built at the same shipyard. All of the vessels are or were designed, constructed, inspected and tested in accordance with the rules and regulations of either Det Norske Veritas (“DNV”) or the American Bureau of Shipping (“ABS”) and are under time or bareboat charters commencing at the time of their delivery.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Additional Vessels from Capital Maritime</w:t>
      </w:r>
    </w:p>
    <w:p>
      <w:pPr>
        <w:spacing w:after="0" w:line="279"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Pursuant to our omnibus agreement with Capital Maritime, Capital Maritime has granted us a right of first offer for any MR tankers in its fleet under charter for two or more years giving us the opportunity to purchase up to an additional six vessels comprised of two 37,000 dwt Ice Class 1A MR chemical/product tanker sister vessels and four 51,000 dwt MR IMO II/III chemical/product tanker sister vessels in the future. Capital Maritime is, however, under no obligation to fix any of these vessels under charters of two or more years. The vessels are currently under charter for less than two years or are yet to be chartered as they are under construction. Please read "Item 7B: Related Party Transactions" for a detailed description of our omnibus agreement with Capital Maritime.</w:t>
      </w:r>
    </w:p>
    <w:p>
      <w:pPr>
        <w:spacing w:after="0" w:line="227" w:lineRule="exact"/>
        <w:rPr>
          <w:sz w:val="20"/>
          <w:szCs w:val="20"/>
          <w:color w:val="auto"/>
        </w:rPr>
      </w:pPr>
    </w:p>
    <w:p>
      <w:pPr>
        <w:jc w:val="both"/>
        <w:ind w:firstLine="647"/>
        <w:spacing w:after="0" w:line="281" w:lineRule="auto"/>
        <w:rPr>
          <w:sz w:val="20"/>
          <w:szCs w:val="20"/>
          <w:color w:val="auto"/>
        </w:rPr>
      </w:pPr>
      <w:r>
        <w:rPr>
          <w:rFonts w:ascii="Arial" w:cs="Arial" w:eastAsia="Arial" w:hAnsi="Arial"/>
          <w:sz w:val="18"/>
          <w:szCs w:val="18"/>
          <w:color w:val="auto"/>
        </w:rPr>
        <w:t>In addition, Capital Maritime currently owns or has on order a number of modern</w:t>
      </w:r>
      <w:r>
        <w:rPr>
          <w:rFonts w:ascii="Arial" w:cs="Arial" w:eastAsia="Arial" w:hAnsi="Arial"/>
          <w:sz w:val="18"/>
          <w:szCs w:val="18"/>
          <w:b w:val="1"/>
          <w:bCs w:val="1"/>
          <w:color w:val="auto"/>
        </w:rPr>
        <w:t>,</w:t>
      </w:r>
      <w:r>
        <w:rPr>
          <w:rFonts w:ascii="Arial" w:cs="Arial" w:eastAsia="Arial" w:hAnsi="Arial"/>
          <w:sz w:val="18"/>
          <w:szCs w:val="18"/>
          <w:color w:val="auto"/>
        </w:rPr>
        <w:t xml:space="preserve"> double-hull product and crude oil tankers of different sizes which we may potentially acquire in the event those vessels were fixed under charters of two or more years.</w:t>
      </w:r>
    </w:p>
    <w:p>
      <w:pPr>
        <w:spacing w:after="0" w:line="221"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table below provides summary information as of February 28, 2009 about the vessels in our fleet and the vessels we may have the opportunity to acquire from Capital Maritime, as well as their delivery date or expected delivery date to us and their employment, including earliest possible redelivery dates of the vessels and the relevant charter rates. The table also includes the approximate expected termination date of the management agreement with Capital Ship Management with respect to each vessel. Sister vessels are denoted by the same letter in the tables.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line="4"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OUR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7820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82066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Year</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Sister</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Built/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9"/>
              </w:rPr>
              <w:t>OPEX</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6"/>
              </w:rPr>
              <w:t>Management</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Duration/</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3"/>
              </w:rPr>
              <w:t>Expiry of</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3"/>
              </w:rPr>
              <w:t>Vessels Delivery</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3"/>
              </w:rPr>
              <w:t>(per</w:t>
            </w:r>
          </w:p>
        </w:tc>
        <w:tc>
          <w:tcPr>
            <w:tcW w:w="1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Agreement</w:t>
            </w: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Charter</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3"/>
              </w:rPr>
              <w:t>Charter</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6"/>
              </w:rPr>
              <w:t>Daily Charter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Profit</w:t>
            </w: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Vessel Name</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Date</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DWT</w:t>
            </w:r>
          </w:p>
        </w:tc>
        <w:tc>
          <w:tcPr>
            <w:tcW w:w="72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day)</w:t>
            </w:r>
          </w:p>
        </w:tc>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Expiration</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Type (2)</w:t>
            </w:r>
          </w:p>
        </w:tc>
        <w:tc>
          <w:tcPr>
            <w:tcW w:w="92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(3)</w:t>
            </w:r>
          </w:p>
        </w:tc>
        <w:tc>
          <w:tcPr>
            <w:tcW w:w="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6"/>
              </w:rPr>
              <w:t>Rate (Net) (4)</w:t>
            </w: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3"/>
              </w:rPr>
              <w:t>Sharing Charterer (5) Description</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80" w:type="dxa"/>
            <w:vAlign w:val="bottom"/>
            <w:gridSpan w:val="4"/>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spacing w:after="0"/>
              <w:rPr>
                <w:sz w:val="23"/>
                <w:szCs w:val="23"/>
                <w:color w:val="auto"/>
              </w:rPr>
            </w:pPr>
          </w:p>
        </w:tc>
        <w:tc>
          <w:tcPr>
            <w:tcW w:w="98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VESSELS CURRENTLY IN OUR FLEET</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Initial Fleet – Delivered To Us At Time of the IPO</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Atlantas (6)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Jan-Apr 2011</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8-year BC</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Mar-2014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$15,000(7)</w:t>
            </w:r>
          </w:p>
        </w:tc>
        <w:tc>
          <w:tcPr>
            <w:tcW w:w="7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8"/>
                <w:szCs w:val="18"/>
                <w:color w:val="auto"/>
              </w:rPr>
              <w:t>Aktoras (6)</w:t>
            </w:r>
          </w:p>
        </w:tc>
        <w:tc>
          <w:tcPr>
            <w:tcW w:w="520" w:type="dxa"/>
            <w:vAlign w:val="bottom"/>
          </w:tcPr>
          <w:p>
            <w:pPr>
              <w:jc w:val="center"/>
              <w:spacing w:after="0"/>
              <w:rPr>
                <w:sz w:val="20"/>
                <w:szCs w:val="20"/>
                <w:color w:val="auto"/>
              </w:rPr>
            </w:pPr>
            <w:r>
              <w:rPr>
                <w:rFonts w:ascii="Arial" w:cs="Arial" w:eastAsia="Arial" w:hAnsi="Arial"/>
                <w:sz w:val="18"/>
                <w:szCs w:val="18"/>
                <w:color w:val="auto"/>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240" w:type="dxa"/>
            <w:vAlign w:val="bottom"/>
          </w:tcPr>
          <w:p>
            <w:pPr>
              <w:jc w:val="right"/>
              <w:spacing w:after="0"/>
              <w:rPr>
                <w:sz w:val="20"/>
                <w:szCs w:val="20"/>
                <w:color w:val="auto"/>
              </w:rPr>
            </w:pPr>
            <w:r>
              <w:rPr>
                <w:rFonts w:ascii="Arial" w:cs="Arial" w:eastAsia="Arial" w:hAnsi="Arial"/>
                <w:sz w:val="18"/>
                <w:szCs w:val="18"/>
                <w:color w:val="auto"/>
              </w:rPr>
              <w:t>Apr-Jul 2011</w:t>
            </w:r>
          </w:p>
        </w:tc>
        <w:tc>
          <w:tcPr>
            <w:tcW w:w="940" w:type="dxa"/>
            <w:vAlign w:val="bottom"/>
          </w:tcPr>
          <w:p>
            <w:pPr>
              <w:ind w:left="160"/>
              <w:spacing w:after="0"/>
              <w:rPr>
                <w:sz w:val="20"/>
                <w:szCs w:val="20"/>
                <w:color w:val="auto"/>
              </w:rPr>
            </w:pPr>
            <w:r>
              <w:rPr>
                <w:rFonts w:ascii="Arial" w:cs="Arial" w:eastAsia="Arial" w:hAnsi="Arial"/>
                <w:sz w:val="18"/>
                <w:szCs w:val="18"/>
                <w:color w:val="auto"/>
                <w:w w:val="93"/>
              </w:rPr>
              <w:t>8-year BC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Jun-2014</w:t>
            </w:r>
          </w:p>
        </w:tc>
        <w:tc>
          <w:tcPr>
            <w:tcW w:w="1320" w:type="dxa"/>
            <w:vAlign w:val="bottom"/>
          </w:tcPr>
          <w:p>
            <w:pPr>
              <w:jc w:val="right"/>
              <w:spacing w:after="0"/>
              <w:rPr>
                <w:sz w:val="20"/>
                <w:szCs w:val="20"/>
                <w:color w:val="auto"/>
              </w:rPr>
            </w:pPr>
            <w:r>
              <w:rPr>
                <w:rFonts w:ascii="Arial" w:cs="Arial" w:eastAsia="Arial" w:hAnsi="Arial"/>
                <w:sz w:val="18"/>
                <w:szCs w:val="18"/>
                <w:color w:val="auto"/>
              </w:rPr>
              <w:t>$15,000(7)</w:t>
            </w:r>
          </w:p>
        </w:tc>
        <w:tc>
          <w:tcPr>
            <w:tcW w:w="700" w:type="dxa"/>
            <w:vAlign w:val="bottom"/>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BP</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1"/>
              </w:rPr>
              <w:t>Ice Class 1A</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Aiolos (6)</w:t>
            </w:r>
          </w:p>
        </w:tc>
        <w:tc>
          <w:tcPr>
            <w:tcW w:w="5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rPr>
              <w:t>A</w:t>
            </w:r>
          </w:p>
        </w:tc>
        <w:tc>
          <w:tcPr>
            <w:tcW w:w="7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2007</w:t>
            </w: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40"/>
              <w:spacing w:after="0" w:line="175" w:lineRule="exact"/>
              <w:rPr>
                <w:sz w:val="20"/>
                <w:szCs w:val="20"/>
                <w:color w:val="auto"/>
              </w:rPr>
            </w:pPr>
            <w:r>
              <w:rPr>
                <w:rFonts w:ascii="Arial" w:cs="Arial" w:eastAsia="Arial" w:hAnsi="Arial"/>
                <w:sz w:val="18"/>
                <w:szCs w:val="18"/>
                <w:color w:val="auto"/>
              </w:rPr>
              <w:t>36,725</w:t>
            </w:r>
          </w:p>
        </w:tc>
        <w:tc>
          <w:tcPr>
            <w:tcW w:w="720" w:type="dxa"/>
            <w:vAlign w:val="bottom"/>
            <w:tcBorders>
              <w:bottom w:val="single" w:sz="8" w:color="CCEEFF"/>
            </w:tcBorders>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$250</w:t>
            </w:r>
          </w:p>
        </w:tc>
        <w:tc>
          <w:tcPr>
            <w:tcW w:w="1240" w:type="dxa"/>
            <w:vAlign w:val="bottom"/>
            <w:tcBorders>
              <w:bottom w:val="single" w:sz="8" w:color="CCEEFF"/>
            </w:tcBorders>
            <w:shd w:val="clear" w:color="auto" w:fill="CCEEFF"/>
          </w:tcPr>
          <w:p>
            <w:pPr>
              <w:ind w:left="120"/>
              <w:spacing w:after="0" w:line="175" w:lineRule="exact"/>
              <w:rPr>
                <w:sz w:val="20"/>
                <w:szCs w:val="20"/>
                <w:color w:val="auto"/>
              </w:rPr>
            </w:pPr>
            <w:r>
              <w:rPr>
                <w:rFonts w:ascii="Arial" w:cs="Arial" w:eastAsia="Arial" w:hAnsi="Arial"/>
                <w:sz w:val="18"/>
                <w:szCs w:val="18"/>
                <w:color w:val="auto"/>
                <w:w w:val="96"/>
              </w:rPr>
              <w:t>Nov-Feb 2012</w:t>
            </w:r>
          </w:p>
        </w:tc>
        <w:tc>
          <w:tcPr>
            <w:tcW w:w="940" w:type="dxa"/>
            <w:vAlign w:val="bottom"/>
            <w:tcBorders>
              <w:bottom w:val="single" w:sz="8" w:color="CCEEFF"/>
            </w:tcBorders>
            <w:shd w:val="clear" w:color="auto" w:fill="CCEEFF"/>
          </w:tcPr>
          <w:p>
            <w:pPr>
              <w:ind w:left="160"/>
              <w:spacing w:after="0" w:line="175" w:lineRule="exact"/>
              <w:rPr>
                <w:sz w:val="20"/>
                <w:szCs w:val="20"/>
                <w:color w:val="auto"/>
              </w:rPr>
            </w:pPr>
            <w:r>
              <w:rPr>
                <w:rFonts w:ascii="Arial" w:cs="Arial" w:eastAsia="Arial" w:hAnsi="Arial"/>
                <w:sz w:val="18"/>
                <w:szCs w:val="18"/>
                <w:color w:val="auto"/>
                <w:w w:val="93"/>
              </w:rPr>
              <w:t>8-year BC</w:t>
            </w:r>
          </w:p>
        </w:tc>
        <w:tc>
          <w:tcPr>
            <w:tcW w:w="980" w:type="dxa"/>
            <w:vAlign w:val="bottom"/>
            <w:tcBorders>
              <w:bottom w:val="single" w:sz="8" w:color="CCEEFF"/>
            </w:tcBorders>
            <w:gridSpan w:val="2"/>
            <w:shd w:val="clear" w:color="auto" w:fill="CCEEFF"/>
          </w:tcPr>
          <w:p>
            <w:pPr>
              <w:jc w:val="right"/>
              <w:ind w:right="180"/>
              <w:spacing w:after="0" w:line="175" w:lineRule="exact"/>
              <w:rPr>
                <w:sz w:val="20"/>
                <w:szCs w:val="20"/>
                <w:color w:val="auto"/>
              </w:rPr>
            </w:pPr>
            <w:r>
              <w:rPr>
                <w:rFonts w:ascii="Arial" w:cs="Arial" w:eastAsia="Arial" w:hAnsi="Arial"/>
                <w:sz w:val="18"/>
                <w:szCs w:val="18"/>
                <w:color w:val="auto"/>
              </w:rPr>
              <w:t>Feb-2015</w:t>
            </w:r>
          </w:p>
        </w:tc>
        <w:tc>
          <w:tcPr>
            <w:tcW w:w="132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$15,000(7)</w:t>
            </w:r>
          </w:p>
        </w:tc>
        <w:tc>
          <w:tcPr>
            <w:tcW w:w="7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BP</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8"/>
                <w:szCs w:val="18"/>
                <w:color w:val="auto"/>
              </w:rPr>
              <w:t>Agisilaos</w:t>
            </w:r>
          </w:p>
        </w:tc>
        <w:tc>
          <w:tcPr>
            <w:tcW w:w="520" w:type="dxa"/>
            <w:vAlign w:val="bottom"/>
          </w:tcPr>
          <w:p>
            <w:pPr>
              <w:jc w:val="center"/>
              <w:spacing w:after="0" w:line="175" w:lineRule="exact"/>
              <w:rPr>
                <w:sz w:val="20"/>
                <w:szCs w:val="20"/>
                <w:color w:val="auto"/>
              </w:rPr>
            </w:pPr>
            <w:r>
              <w:rPr>
                <w:rFonts w:ascii="Arial" w:cs="Arial" w:eastAsia="Arial" w:hAnsi="Arial"/>
                <w:sz w:val="18"/>
                <w:szCs w:val="18"/>
                <w:color w:val="auto"/>
              </w:rPr>
              <w:t>A</w:t>
            </w:r>
          </w:p>
        </w:tc>
        <w:tc>
          <w:tcPr>
            <w:tcW w:w="700" w:type="dxa"/>
            <w:vAlign w:val="bottom"/>
          </w:tcPr>
          <w:p>
            <w:pPr>
              <w:jc w:val="center"/>
              <w:spacing w:after="0" w:line="175" w:lineRule="exact"/>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8"/>
                <w:szCs w:val="18"/>
                <w:color w:val="auto"/>
              </w:rPr>
              <w:t>36,760</w:t>
            </w:r>
          </w:p>
        </w:tc>
        <w:tc>
          <w:tcPr>
            <w:tcW w:w="72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$5,500</w:t>
            </w:r>
          </w:p>
        </w:tc>
        <w:tc>
          <w:tcPr>
            <w:tcW w:w="1240" w:type="dxa"/>
            <w:vAlign w:val="bottom"/>
          </w:tcPr>
          <w:p>
            <w:pPr>
              <w:jc w:val="right"/>
              <w:spacing w:after="0" w:line="175" w:lineRule="exact"/>
              <w:rPr>
                <w:sz w:val="20"/>
                <w:szCs w:val="20"/>
                <w:color w:val="auto"/>
              </w:rPr>
            </w:pPr>
            <w:r>
              <w:rPr>
                <w:rFonts w:ascii="Arial" w:cs="Arial" w:eastAsia="Arial" w:hAnsi="Arial"/>
                <w:sz w:val="18"/>
                <w:szCs w:val="18"/>
                <w:color w:val="auto"/>
              </w:rPr>
              <w:t>May-Aug 2011</w:t>
            </w:r>
          </w:p>
        </w:tc>
        <w:tc>
          <w:tcPr>
            <w:tcW w:w="940" w:type="dxa"/>
            <w:vAlign w:val="bottom"/>
          </w:tcPr>
          <w:p>
            <w:pPr>
              <w:jc w:val="right"/>
              <w:spacing w:after="0" w:line="175" w:lineRule="exact"/>
              <w:rPr>
                <w:sz w:val="20"/>
                <w:szCs w:val="20"/>
                <w:color w:val="auto"/>
              </w:rPr>
            </w:pPr>
            <w:r>
              <w:rPr>
                <w:rFonts w:ascii="Arial" w:cs="Arial" w:eastAsia="Arial" w:hAnsi="Arial"/>
                <w:sz w:val="18"/>
                <w:szCs w:val="18"/>
                <w:color w:val="auto"/>
                <w:w w:val="92"/>
              </w:rPr>
              <w:t>3.6-year TC</w:t>
            </w:r>
          </w:p>
        </w:tc>
        <w:tc>
          <w:tcPr>
            <w:tcW w:w="980" w:type="dxa"/>
            <w:vAlign w:val="bottom"/>
            <w:gridSpan w:val="2"/>
          </w:tcPr>
          <w:p>
            <w:pPr>
              <w:jc w:val="right"/>
              <w:ind w:right="180"/>
              <w:spacing w:after="0" w:line="175" w:lineRule="exact"/>
              <w:rPr>
                <w:sz w:val="20"/>
                <w:szCs w:val="20"/>
                <w:color w:val="auto"/>
              </w:rPr>
            </w:pPr>
            <w:r>
              <w:rPr>
                <w:rFonts w:ascii="Arial" w:cs="Arial" w:eastAsia="Arial" w:hAnsi="Arial"/>
                <w:sz w:val="18"/>
                <w:szCs w:val="18"/>
                <w:color w:val="auto"/>
              </w:rPr>
              <w:t>Mar-2010</w:t>
            </w:r>
          </w:p>
        </w:tc>
        <w:tc>
          <w:tcPr>
            <w:tcW w:w="1320" w:type="dxa"/>
            <w:vAlign w:val="bottom"/>
          </w:tcPr>
          <w:p>
            <w:pPr>
              <w:jc w:val="right"/>
              <w:spacing w:after="0" w:line="175" w:lineRule="exact"/>
              <w:rPr>
                <w:sz w:val="20"/>
                <w:szCs w:val="20"/>
                <w:color w:val="auto"/>
              </w:rPr>
            </w:pPr>
            <w:r>
              <w:rPr>
                <w:rFonts w:ascii="Arial" w:cs="Arial" w:eastAsia="Arial" w:hAnsi="Arial"/>
                <w:sz w:val="18"/>
                <w:szCs w:val="18"/>
                <w:color w:val="auto"/>
              </w:rPr>
              <w:t>$19,750(8)(9)</w:t>
            </w:r>
          </w:p>
        </w:tc>
        <w:tc>
          <w:tcPr>
            <w:tcW w:w="700" w:type="dxa"/>
            <w:vAlign w:val="bottom"/>
          </w:tcPr>
          <w:p>
            <w:pPr>
              <w:jc w:val="center"/>
              <w:spacing w:after="0" w:line="175" w:lineRule="exact"/>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1"/>
              </w:rPr>
              <w:t>BP</w:t>
            </w:r>
          </w:p>
        </w:tc>
        <w:tc>
          <w:tcPr>
            <w:tcW w:w="980" w:type="dxa"/>
            <w:vAlign w:val="bottom"/>
          </w:tcPr>
          <w:p>
            <w:pPr>
              <w:jc w:val="center"/>
              <w:spacing w:after="0" w:line="175" w:lineRule="exact"/>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41"/>
        </w:trPr>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Chemical/</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Arionas</w:t>
            </w:r>
          </w:p>
        </w:tc>
        <w:tc>
          <w:tcPr>
            <w:tcW w:w="5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rPr>
              <w:t>A</w:t>
            </w:r>
          </w:p>
        </w:tc>
        <w:tc>
          <w:tcPr>
            <w:tcW w:w="7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2006</w:t>
            </w: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40"/>
              <w:spacing w:after="0" w:line="175" w:lineRule="exact"/>
              <w:rPr>
                <w:sz w:val="20"/>
                <w:szCs w:val="20"/>
                <w:color w:val="auto"/>
              </w:rPr>
            </w:pPr>
            <w:r>
              <w:rPr>
                <w:rFonts w:ascii="Arial" w:cs="Arial" w:eastAsia="Arial" w:hAnsi="Arial"/>
                <w:sz w:val="18"/>
                <w:szCs w:val="18"/>
                <w:color w:val="auto"/>
              </w:rPr>
              <w:t>36,725</w:t>
            </w:r>
          </w:p>
        </w:tc>
        <w:tc>
          <w:tcPr>
            <w:tcW w:w="720" w:type="dxa"/>
            <w:vAlign w:val="bottom"/>
            <w:tcBorders>
              <w:bottom w:val="single" w:sz="8" w:color="CCEEFF"/>
            </w:tcBorders>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$5,500</w:t>
            </w:r>
          </w:p>
        </w:tc>
        <w:tc>
          <w:tcPr>
            <w:tcW w:w="124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Aug-Nov 2011</w:t>
            </w:r>
          </w:p>
        </w:tc>
        <w:tc>
          <w:tcPr>
            <w:tcW w:w="94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w w:val="92"/>
              </w:rPr>
              <w:t>3.6-year TC</w:t>
            </w:r>
          </w:p>
        </w:tc>
        <w:tc>
          <w:tcPr>
            <w:tcW w:w="980" w:type="dxa"/>
            <w:vAlign w:val="bottom"/>
            <w:tcBorders>
              <w:bottom w:val="single" w:sz="8" w:color="CCEEFF"/>
            </w:tcBorders>
            <w:gridSpan w:val="2"/>
            <w:shd w:val="clear" w:color="auto" w:fill="CCEEFF"/>
          </w:tcPr>
          <w:p>
            <w:pPr>
              <w:jc w:val="right"/>
              <w:ind w:right="180"/>
              <w:spacing w:after="0" w:line="175" w:lineRule="exact"/>
              <w:rPr>
                <w:sz w:val="20"/>
                <w:szCs w:val="20"/>
                <w:color w:val="auto"/>
              </w:rPr>
            </w:pPr>
            <w:r>
              <w:rPr>
                <w:rFonts w:ascii="Arial" w:cs="Arial" w:eastAsia="Arial" w:hAnsi="Arial"/>
                <w:sz w:val="18"/>
                <w:szCs w:val="18"/>
                <w:color w:val="auto"/>
              </w:rPr>
              <w:t>Jun-2010</w:t>
            </w:r>
          </w:p>
        </w:tc>
        <w:tc>
          <w:tcPr>
            <w:tcW w:w="1320" w:type="dxa"/>
            <w:vAlign w:val="bottom"/>
            <w:tcBorders>
              <w:bottom w:val="single" w:sz="8" w:color="CCEEFF"/>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$19,750(8)(10)</w:t>
            </w:r>
          </w:p>
        </w:tc>
        <w:tc>
          <w:tcPr>
            <w:tcW w:w="70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ü</w:t>
            </w:r>
          </w:p>
        </w:tc>
        <w:tc>
          <w:tcPr>
            <w:tcW w:w="1020" w:type="dxa"/>
            <w:vAlign w:val="bottom"/>
            <w:tcBorders>
              <w:bottom w:val="single" w:sz="8" w:color="CCEEFF"/>
              <w:right w:val="single" w:sz="8" w:color="auto"/>
            </w:tcBorders>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BP</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w w:val="99"/>
              </w:rPr>
              <w:t>Dec-2011-Mar-</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Axios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47,872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tcPr>
          <w:p>
            <w:pPr>
              <w:jc w:val="right"/>
              <w:spacing w:after="0"/>
              <w:rPr>
                <w:sz w:val="20"/>
                <w:szCs w:val="20"/>
                <w:color w:val="auto"/>
              </w:rPr>
            </w:pPr>
            <w:r>
              <w:rPr>
                <w:rFonts w:ascii="Arial" w:cs="Arial" w:eastAsia="Arial" w:hAnsi="Arial"/>
                <w:sz w:val="18"/>
                <w:szCs w:val="18"/>
                <w:color w:val="auto"/>
              </w:rPr>
              <w:t>2012</w:t>
            </w:r>
          </w:p>
        </w:tc>
        <w:tc>
          <w:tcPr>
            <w:tcW w:w="940" w:type="dxa"/>
            <w:vAlign w:val="bottom"/>
          </w:tcPr>
          <w:p>
            <w:pPr>
              <w:ind w:left="180"/>
              <w:spacing w:after="0"/>
              <w:rPr>
                <w:sz w:val="20"/>
                <w:szCs w:val="20"/>
                <w:color w:val="auto"/>
              </w:rPr>
            </w:pPr>
            <w:r>
              <w:rPr>
                <w:rFonts w:ascii="Arial" w:cs="Arial" w:eastAsia="Arial" w:hAnsi="Arial"/>
                <w:sz w:val="18"/>
                <w:szCs w:val="18"/>
                <w:color w:val="auto"/>
                <w:w w:val="92"/>
              </w:rPr>
              <w:t>3-year TC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Jan-2010</w:t>
            </w:r>
          </w:p>
        </w:tc>
        <w:tc>
          <w:tcPr>
            <w:tcW w:w="1320" w:type="dxa"/>
            <w:vAlign w:val="bottom"/>
          </w:tcPr>
          <w:p>
            <w:pPr>
              <w:jc w:val="right"/>
              <w:spacing w:after="0"/>
              <w:rPr>
                <w:sz w:val="20"/>
                <w:szCs w:val="20"/>
                <w:color w:val="auto"/>
              </w:rPr>
            </w:pPr>
            <w:r>
              <w:rPr>
                <w:rFonts w:ascii="Arial" w:cs="Arial" w:eastAsia="Arial" w:hAnsi="Arial"/>
                <w:sz w:val="18"/>
                <w:szCs w:val="18"/>
                <w:color w:val="auto"/>
              </w:rPr>
              <w:t>$20,500(8)</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BP</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Avax</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 2010</w:t>
            </w:r>
          </w:p>
        </w:tc>
        <w:tc>
          <w:tcPr>
            <w:tcW w:w="1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3-year TC May-2010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Assos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47,872</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tcPr>
          <w:p>
            <w:pPr>
              <w:jc w:val="right"/>
              <w:spacing w:after="0"/>
              <w:rPr>
                <w:sz w:val="20"/>
                <w:szCs w:val="20"/>
                <w:color w:val="auto"/>
              </w:rPr>
            </w:pPr>
            <w:r>
              <w:rPr>
                <w:rFonts w:ascii="Arial" w:cs="Arial" w:eastAsia="Arial" w:hAnsi="Arial"/>
                <w:sz w:val="18"/>
                <w:szCs w:val="18"/>
                <w:color w:val="auto"/>
              </w:rPr>
              <w:t>Feb-May 2011</w:t>
            </w:r>
          </w:p>
        </w:tc>
        <w:tc>
          <w:tcPr>
            <w:tcW w:w="940" w:type="dxa"/>
            <w:vAlign w:val="bottom"/>
          </w:tcPr>
          <w:p>
            <w:pPr>
              <w:ind w:left="180"/>
              <w:spacing w:after="0"/>
              <w:rPr>
                <w:sz w:val="20"/>
                <w:szCs w:val="20"/>
                <w:color w:val="auto"/>
              </w:rPr>
            </w:pPr>
            <w:r>
              <w:rPr>
                <w:rFonts w:ascii="Arial" w:cs="Arial" w:eastAsia="Arial" w:hAnsi="Arial"/>
                <w:sz w:val="18"/>
                <w:szCs w:val="18"/>
                <w:color w:val="auto"/>
                <w:w w:val="92"/>
              </w:rPr>
              <w:t>3-year TC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Oct-2009</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MS</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DWT: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327,307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18"/>
                <w:szCs w:val="18"/>
                <w:color w:val="auto"/>
              </w:rPr>
            </w:pPr>
          </w:p>
        </w:tc>
        <w:tc>
          <w:tcPr>
            <w:tcW w:w="62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88"/>
              </w:rPr>
              <w:t>Vessels Purchased from Capital Maritime since the IPO</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May-</w:t>
            </w: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Atrotos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Feb-May 2012</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3-year TC</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Apr-2010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MS</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1"/>
              </w:rPr>
              <w:t>Ice Class 1A</w:t>
            </w:r>
          </w:p>
        </w:tc>
        <w:tc>
          <w:tcPr>
            <w:tcW w:w="0" w:type="dxa"/>
            <w:vAlign w:val="bottom"/>
          </w:tcPr>
          <w:p>
            <w:pPr>
              <w:spacing w:after="0"/>
              <w:rPr>
                <w:sz w:val="1"/>
                <w:szCs w:val="1"/>
                <w:color w:val="auto"/>
              </w:rPr>
            </w:pPr>
          </w:p>
        </w:tc>
      </w:tr>
      <w:tr>
        <w:trPr>
          <w:trHeight w:val="80"/>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Akeraios</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B</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8"/>
              </w:rPr>
              <w:t>Jul-2007</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47,781</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May-Aug 2012</w:t>
            </w:r>
          </w:p>
        </w:tc>
        <w:tc>
          <w:tcPr>
            <w:tcW w:w="940" w:type="dxa"/>
            <w:vAlign w:val="bottom"/>
            <w:vMerge w:val="restart"/>
          </w:tcPr>
          <w:p>
            <w:pPr>
              <w:ind w:left="180"/>
              <w:spacing w:after="0"/>
              <w:rPr>
                <w:sz w:val="20"/>
                <w:szCs w:val="20"/>
                <w:color w:val="auto"/>
              </w:rPr>
            </w:pPr>
            <w:r>
              <w:rPr>
                <w:rFonts w:ascii="Arial" w:cs="Arial" w:eastAsia="Arial" w:hAnsi="Arial"/>
                <w:sz w:val="18"/>
                <w:szCs w:val="18"/>
                <w:color w:val="auto"/>
                <w:w w:val="92"/>
              </w:rPr>
              <w:t>3-year TC</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Jun-2010</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MS</w:t>
            </w: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80"/>
        </w:trPr>
        <w:tc>
          <w:tcPr>
            <w:tcW w:w="16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Sept-</w:t>
            </w:r>
          </w:p>
        </w:tc>
        <w:tc>
          <w:tcPr>
            <w:tcW w:w="6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20" w:type="dxa"/>
            <w:vAlign w:val="bottom"/>
            <w:tcBorders>
              <w:right w:val="single" w:sz="8" w:color="auto"/>
            </w:tcBorders>
            <w:shd w:val="clear" w:color="auto" w:fill="CCEEFF"/>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6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Chemical/</w:t>
            </w:r>
          </w:p>
        </w:tc>
        <w:tc>
          <w:tcPr>
            <w:tcW w:w="0" w:type="dxa"/>
            <w:vAlign w:val="bottom"/>
          </w:tcPr>
          <w:p>
            <w:pPr>
              <w:spacing w:after="0"/>
              <w:rPr>
                <w:sz w:val="1"/>
                <w:szCs w:val="1"/>
                <w:color w:val="auto"/>
              </w:rPr>
            </w:pPr>
          </w:p>
        </w:tc>
      </w:tr>
      <w:tr>
        <w:trPr>
          <w:trHeight w:val="94"/>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Anemos I</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47,782</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Jul-Oct 2012</w:t>
            </w:r>
          </w:p>
        </w:tc>
        <w:tc>
          <w:tcPr>
            <w:tcW w:w="192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3-year TC Aug-2010</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MS</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920" w:type="dxa"/>
            <w:vAlign w:val="bottom"/>
            <w:gridSpan w:val="3"/>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gridSpan w:val="2"/>
            <w:vMerge w:val="restart"/>
          </w:tcPr>
          <w:p>
            <w:pPr>
              <w:jc w:val="right"/>
              <w:ind w:right="20"/>
              <w:spacing w:after="0" w:line="201" w:lineRule="exact"/>
              <w:rPr>
                <w:sz w:val="20"/>
                <w:szCs w:val="20"/>
                <w:color w:val="auto"/>
              </w:rPr>
            </w:pPr>
            <w:r>
              <w:rPr>
                <w:rFonts w:ascii="Arial" w:cs="Arial" w:eastAsia="Arial" w:hAnsi="Arial"/>
                <w:sz w:val="18"/>
                <w:szCs w:val="18"/>
                <w:color w:val="auto"/>
              </w:rPr>
              <w:t>Sept-</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640" w:type="dxa"/>
            <w:vAlign w:val="bottom"/>
          </w:tcPr>
          <w:p>
            <w:pPr>
              <w:ind w:left="20"/>
              <w:spacing w:after="0"/>
              <w:rPr>
                <w:sz w:val="20"/>
                <w:szCs w:val="20"/>
                <w:color w:val="auto"/>
              </w:rPr>
            </w:pPr>
            <w:r>
              <w:rPr>
                <w:rFonts w:ascii="Arial" w:cs="Arial" w:eastAsia="Arial" w:hAnsi="Arial"/>
                <w:sz w:val="18"/>
                <w:szCs w:val="18"/>
                <w:color w:val="auto"/>
              </w:rPr>
              <w:t>Apostolos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47,782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tcPr>
          <w:p>
            <w:pPr>
              <w:jc w:val="right"/>
              <w:spacing w:after="0"/>
              <w:rPr>
                <w:sz w:val="20"/>
                <w:szCs w:val="20"/>
                <w:color w:val="auto"/>
              </w:rPr>
            </w:pPr>
            <w:r>
              <w:rPr>
                <w:rFonts w:ascii="Arial" w:cs="Arial" w:eastAsia="Arial" w:hAnsi="Arial"/>
                <w:sz w:val="18"/>
                <w:szCs w:val="18"/>
                <w:color w:val="auto"/>
              </w:rPr>
              <w:t>Jul-Oct 2012</w:t>
            </w:r>
          </w:p>
        </w:tc>
        <w:tc>
          <w:tcPr>
            <w:tcW w:w="1920" w:type="dxa"/>
            <w:vAlign w:val="bottom"/>
            <w:gridSpan w:val="3"/>
          </w:tcPr>
          <w:p>
            <w:pPr>
              <w:ind w:left="180"/>
              <w:spacing w:after="0"/>
              <w:rPr>
                <w:sz w:val="20"/>
                <w:szCs w:val="20"/>
                <w:color w:val="auto"/>
              </w:rPr>
            </w:pPr>
            <w:r>
              <w:rPr>
                <w:rFonts w:ascii="Arial" w:cs="Arial" w:eastAsia="Arial" w:hAnsi="Arial"/>
                <w:sz w:val="18"/>
                <w:szCs w:val="18"/>
                <w:color w:val="auto"/>
              </w:rPr>
              <w:t>3-year TC Aug-2010</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MS</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6"/>
              </w:rPr>
              <w:t>2.2-2.3-yr</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980" w:type="dxa"/>
            <w:vAlign w:val="bottom"/>
            <w:tcBorders>
              <w:lef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109"/>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Attikos (11)</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2005</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Sept-Nov 2012</w:t>
            </w:r>
          </w:p>
        </w:tc>
        <w:tc>
          <w:tcPr>
            <w:tcW w:w="19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TC Sept-2009</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700" w:type="dxa"/>
            <w:vAlign w:val="bottom"/>
            <w:shd w:val="clear" w:color="auto" w:fill="CCEEFF"/>
          </w:tcPr>
          <w:p>
            <w:pPr>
              <w:spacing w:after="0"/>
              <w:rPr>
                <w:sz w:val="9"/>
                <w:szCs w:val="9"/>
                <w:color w:val="auto"/>
              </w:rPr>
            </w:pP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Trafigura</w:t>
            </w:r>
          </w:p>
        </w:tc>
        <w:tc>
          <w:tcPr>
            <w:tcW w:w="980" w:type="dxa"/>
            <w:vAlign w:val="bottom"/>
            <w:tcBorders>
              <w:lef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bottom w:val="single" w:sz="8" w:color="CCEEFF"/>
            </w:tcBorders>
            <w:vMerge w:val="continue"/>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CCEEFF"/>
            </w:tcBorders>
            <w:gridSpan w:val="2"/>
            <w:vMerge w:val="continue"/>
            <w:shd w:val="clear" w:color="auto" w:fill="CCEEFF"/>
          </w:tcPr>
          <w:p>
            <w:pPr>
              <w:spacing w:after="0"/>
              <w:rPr>
                <w:sz w:val="9"/>
                <w:szCs w:val="9"/>
                <w:color w:val="auto"/>
              </w:rPr>
            </w:pPr>
          </w:p>
        </w:tc>
        <w:tc>
          <w:tcPr>
            <w:tcW w:w="640" w:type="dxa"/>
            <w:vAlign w:val="bottom"/>
            <w:tcBorders>
              <w:bottom w:val="single" w:sz="8" w:color="CCEEFF"/>
            </w:tcBorders>
            <w:gridSpan w:val="2"/>
            <w:vMerge w:val="continue"/>
            <w:shd w:val="clear" w:color="auto" w:fill="CCEEFF"/>
          </w:tcPr>
          <w:p>
            <w:pPr>
              <w:spacing w:after="0"/>
              <w:rPr>
                <w:sz w:val="9"/>
                <w:szCs w:val="9"/>
                <w:color w:val="auto"/>
              </w:rPr>
            </w:pPr>
          </w:p>
        </w:tc>
        <w:tc>
          <w:tcPr>
            <w:tcW w:w="720" w:type="dxa"/>
            <w:vAlign w:val="bottom"/>
            <w:tcBorders>
              <w:bottom w:val="single" w:sz="8" w:color="CCEEFF"/>
            </w:tcBorders>
            <w:gridSpan w:val="2"/>
            <w:vMerge w:val="continue"/>
            <w:shd w:val="clear" w:color="auto" w:fill="CCEEFF"/>
          </w:tcPr>
          <w:p>
            <w:pPr>
              <w:spacing w:after="0"/>
              <w:rPr>
                <w:sz w:val="9"/>
                <w:szCs w:val="9"/>
                <w:color w:val="auto"/>
              </w:rPr>
            </w:pPr>
          </w:p>
        </w:tc>
        <w:tc>
          <w:tcPr>
            <w:tcW w:w="1240" w:type="dxa"/>
            <w:vAlign w:val="bottom"/>
            <w:tcBorders>
              <w:bottom w:val="single" w:sz="8" w:color="CCEEFF"/>
            </w:tcBorders>
            <w:vMerge w:val="continue"/>
            <w:shd w:val="clear" w:color="auto" w:fill="CCEEFF"/>
          </w:tcPr>
          <w:p>
            <w:pPr>
              <w:spacing w:after="0"/>
              <w:rPr>
                <w:sz w:val="9"/>
                <w:szCs w:val="9"/>
                <w:color w:val="auto"/>
              </w:rPr>
            </w:pPr>
          </w:p>
        </w:tc>
        <w:tc>
          <w:tcPr>
            <w:tcW w:w="1920" w:type="dxa"/>
            <w:vAlign w:val="bottom"/>
            <w:tcBorders>
              <w:bottom w:val="single" w:sz="8" w:color="CCEEFF"/>
            </w:tcBorders>
            <w:gridSpan w:val="3"/>
            <w:vMerge w:val="continue"/>
            <w:shd w:val="clear" w:color="auto" w:fill="CCEEFF"/>
          </w:tcPr>
          <w:p>
            <w:pPr>
              <w:spacing w:after="0"/>
              <w:rPr>
                <w:sz w:val="9"/>
                <w:szCs w:val="9"/>
                <w:color w:val="auto"/>
              </w:rPr>
            </w:pP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980" w:type="dxa"/>
            <w:vAlign w:val="bottom"/>
            <w:tcBorders>
              <w:left w:val="single" w:sz="8" w:color="auto"/>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left w:val="single" w:sz="8" w:color="auto"/>
            </w:tcBorders>
          </w:tcPr>
          <w:p>
            <w:pPr>
              <w:jc w:val="center"/>
              <w:spacing w:after="0" w:line="195" w:lineRule="exact"/>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8"/>
                <w:szCs w:val="18"/>
                <w:color w:val="auto"/>
              </w:rPr>
              <w:t>Alexandros II (12)</w:t>
            </w: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Dec-2012-Mar</w:t>
            </w: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1"/>
              </w:rPr>
              <w:t>Chem./Prod.</w:t>
            </w:r>
          </w:p>
        </w:tc>
        <w:tc>
          <w:tcPr>
            <w:tcW w:w="0" w:type="dxa"/>
            <w:vAlign w:val="bottom"/>
          </w:tcPr>
          <w:p>
            <w:pPr>
              <w:spacing w:after="0"/>
              <w:rPr>
                <w:sz w:val="1"/>
                <w:szCs w:val="1"/>
                <w:color w:val="auto"/>
              </w:rPr>
            </w:pPr>
          </w:p>
        </w:tc>
      </w:tr>
      <w:tr>
        <w:trPr>
          <w:trHeight w:val="217"/>
        </w:trPr>
        <w:tc>
          <w:tcPr>
            <w:tcW w:w="1640" w:type="dxa"/>
            <w:vAlign w:val="bottom"/>
          </w:tcPr>
          <w:p>
            <w:pPr>
              <w:ind w:left="180"/>
              <w:spacing w:after="0"/>
              <w:rPr>
                <w:sz w:val="20"/>
                <w:szCs w:val="20"/>
                <w:color w:val="auto"/>
              </w:rPr>
            </w:pPr>
            <w:r>
              <w:rPr>
                <w:rFonts w:ascii="Arial" w:cs="Arial" w:eastAsia="Arial" w:hAnsi="Arial"/>
                <w:sz w:val="18"/>
                <w:szCs w:val="18"/>
                <w:color w:val="auto"/>
              </w:rPr>
              <w:t>(13)</w:t>
            </w:r>
          </w:p>
        </w:tc>
        <w:tc>
          <w:tcPr>
            <w:tcW w:w="520" w:type="dxa"/>
            <w:vAlign w:val="bottom"/>
          </w:tcPr>
          <w:p>
            <w:pPr>
              <w:jc w:val="center"/>
              <w:spacing w:after="0"/>
              <w:rPr>
                <w:sz w:val="20"/>
                <w:szCs w:val="20"/>
                <w:color w:val="auto"/>
              </w:rPr>
            </w:pPr>
            <w:r>
              <w:rPr>
                <w:rFonts w:ascii="Arial" w:cs="Arial" w:eastAsia="Arial" w:hAnsi="Arial"/>
                <w:sz w:val="18"/>
                <w:szCs w:val="18"/>
                <w:color w:val="auto"/>
              </w:rPr>
              <w:t>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Jan-2008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51,258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240" w:type="dxa"/>
            <w:vAlign w:val="bottom"/>
          </w:tcPr>
          <w:p>
            <w:pPr>
              <w:jc w:val="right"/>
              <w:spacing w:after="0"/>
              <w:rPr>
                <w:sz w:val="20"/>
                <w:szCs w:val="20"/>
                <w:color w:val="auto"/>
              </w:rPr>
            </w:pPr>
            <w:r>
              <w:rPr>
                <w:rFonts w:ascii="Arial" w:cs="Arial" w:eastAsia="Arial" w:hAnsi="Arial"/>
                <w:sz w:val="18"/>
                <w:szCs w:val="18"/>
                <w:color w:val="auto"/>
              </w:rPr>
              <w:t>2013</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10-year BC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Dec-2017</w:t>
            </w:r>
          </w:p>
        </w:tc>
        <w:tc>
          <w:tcPr>
            <w:tcW w:w="1320" w:type="dxa"/>
            <w:vAlign w:val="bottom"/>
          </w:tcPr>
          <w:p>
            <w:pPr>
              <w:jc w:val="right"/>
              <w:spacing w:after="0"/>
              <w:rPr>
                <w:sz w:val="20"/>
                <w:szCs w:val="20"/>
                <w:color w:val="auto"/>
              </w:rPr>
            </w:pPr>
            <w:r>
              <w:rPr>
                <w:rFonts w:ascii="Arial" w:cs="Arial" w:eastAsia="Arial" w:hAnsi="Arial"/>
                <w:sz w:val="18"/>
                <w:szCs w:val="18"/>
                <w:color w:val="auto"/>
              </w:rPr>
              <w:t>$13,000</w:t>
            </w:r>
          </w:p>
        </w:tc>
        <w:tc>
          <w:tcPr>
            <w:tcW w:w="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OSG</w:t>
            </w:r>
          </w:p>
        </w:tc>
        <w:tc>
          <w:tcPr>
            <w:tcW w:w="980" w:type="dxa"/>
            <w:vAlign w:val="bottom"/>
            <w:tcBorders>
              <w:left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Amore Mio II (14)</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159,982</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Mar-Apr 2013</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3-year TC</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Jan-2011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80" w:type="dxa"/>
            <w:vAlign w:val="bottom"/>
            <w:tcBorders>
              <w:left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Crude Oil</w:t>
            </w:r>
          </w:p>
        </w:tc>
        <w:tc>
          <w:tcPr>
            <w:tcW w:w="0" w:type="dxa"/>
            <w:vAlign w:val="bottom"/>
          </w:tcPr>
          <w:p>
            <w:pPr>
              <w:spacing w:after="0"/>
              <w:rPr>
                <w:sz w:val="1"/>
                <w:szCs w:val="1"/>
                <w:color w:val="auto"/>
              </w:rPr>
            </w:pPr>
          </w:p>
        </w:tc>
      </w:tr>
      <w:tr>
        <w:trPr>
          <w:trHeight w:val="209"/>
        </w:trPr>
        <w:tc>
          <w:tcPr>
            <w:tcW w:w="1640" w:type="dxa"/>
            <w:vAlign w:val="bottom"/>
          </w:tcPr>
          <w:p>
            <w:pPr>
              <w:ind w:left="20"/>
              <w:spacing w:after="0"/>
              <w:rPr>
                <w:sz w:val="20"/>
                <w:szCs w:val="20"/>
                <w:color w:val="auto"/>
              </w:rPr>
            </w:pPr>
            <w:r>
              <w:rPr>
                <w:rFonts w:ascii="Arial" w:cs="Arial" w:eastAsia="Arial" w:hAnsi="Arial"/>
                <w:sz w:val="18"/>
                <w:szCs w:val="18"/>
                <w:color w:val="auto"/>
              </w:rPr>
              <w:t>Aristofanis (15)</w:t>
            </w: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240" w:type="dxa"/>
            <w:vAlign w:val="bottom"/>
          </w:tcPr>
          <w:p>
            <w:pPr>
              <w:ind w:left="140"/>
              <w:spacing w:after="0"/>
              <w:rPr>
                <w:sz w:val="20"/>
                <w:szCs w:val="20"/>
                <w:color w:val="auto"/>
              </w:rPr>
            </w:pPr>
            <w:r>
              <w:rPr>
                <w:rFonts w:ascii="Arial" w:cs="Arial" w:eastAsia="Arial" w:hAnsi="Arial"/>
                <w:sz w:val="18"/>
                <w:szCs w:val="18"/>
                <w:color w:val="auto"/>
                <w:w w:val="98"/>
              </w:rPr>
              <w:t>Mar-Apr 2013</w:t>
            </w:r>
          </w:p>
        </w:tc>
        <w:tc>
          <w:tcPr>
            <w:tcW w:w="940" w:type="dxa"/>
            <w:vAlign w:val="bottom"/>
          </w:tcPr>
          <w:p>
            <w:pPr>
              <w:ind w:left="180"/>
              <w:spacing w:after="0"/>
              <w:rPr>
                <w:sz w:val="20"/>
                <w:szCs w:val="20"/>
                <w:color w:val="auto"/>
              </w:rPr>
            </w:pPr>
            <w:r>
              <w:rPr>
                <w:rFonts w:ascii="Arial" w:cs="Arial" w:eastAsia="Arial" w:hAnsi="Arial"/>
                <w:sz w:val="18"/>
                <w:szCs w:val="18"/>
                <w:color w:val="auto"/>
                <w:w w:val="92"/>
              </w:rPr>
              <w:t>2-year TC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Mar-2010</w:t>
            </w:r>
          </w:p>
        </w:tc>
        <w:tc>
          <w:tcPr>
            <w:tcW w:w="1320" w:type="dxa"/>
            <w:vAlign w:val="bottom"/>
          </w:tcPr>
          <w:p>
            <w:pPr>
              <w:jc w:val="right"/>
              <w:spacing w:after="0"/>
              <w:rPr>
                <w:sz w:val="20"/>
                <w:szCs w:val="20"/>
                <w:color w:val="auto"/>
              </w:rPr>
            </w:pPr>
            <w:r>
              <w:rPr>
                <w:rFonts w:ascii="Arial" w:cs="Arial" w:eastAsia="Arial" w:hAnsi="Arial"/>
                <w:sz w:val="18"/>
                <w:szCs w:val="18"/>
                <w:color w:val="auto"/>
              </w:rPr>
              <w:t>$12,952</w:t>
            </w:r>
          </w:p>
        </w:tc>
        <w:tc>
          <w:tcPr>
            <w:tcW w:w="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9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Aristotelis II (12)(13)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Jun-2008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Mar-Jun 2013</w:t>
            </w:r>
          </w:p>
        </w:tc>
        <w:tc>
          <w:tcPr>
            <w:tcW w:w="1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10-year BC May-2018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OSG</w:t>
            </w:r>
          </w:p>
        </w:tc>
        <w:tc>
          <w:tcPr>
            <w:tcW w:w="9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201"/>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Aris II (12)(13)</w:t>
            </w:r>
          </w:p>
        </w:tc>
        <w:tc>
          <w:tcPr>
            <w:tcW w:w="520" w:type="dxa"/>
            <w:vAlign w:val="bottom"/>
          </w:tcPr>
          <w:p>
            <w:pPr>
              <w:spacing w:after="0"/>
              <w:rPr>
                <w:sz w:val="17"/>
                <w:szCs w:val="17"/>
                <w:color w:val="auto"/>
              </w:rPr>
            </w:pPr>
          </w:p>
        </w:tc>
        <w:tc>
          <w:tcPr>
            <w:tcW w:w="7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Aug-</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51,218</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Borders>
              <w:lef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Chem./Prod.</w:t>
            </w:r>
          </w:p>
        </w:tc>
        <w:tc>
          <w:tcPr>
            <w:tcW w:w="0" w:type="dxa"/>
            <w:vAlign w:val="bottom"/>
          </w:tcPr>
          <w:p>
            <w:pPr>
              <w:spacing w:after="0"/>
              <w:rPr>
                <w:sz w:val="1"/>
                <w:szCs w:val="1"/>
                <w:color w:val="auto"/>
              </w:rPr>
            </w:pPr>
          </w:p>
        </w:tc>
      </w:tr>
      <w:tr>
        <w:trPr>
          <w:trHeight w:val="217"/>
        </w:trPr>
        <w:tc>
          <w:tcPr>
            <w:tcW w:w="1640" w:type="dxa"/>
            <w:vAlign w:val="bottom"/>
            <w:vMerge w:val="continue"/>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640" w:type="dxa"/>
            <w:vAlign w:val="bottom"/>
            <w:gridSpan w:val="2"/>
            <w:vMerge w:val="continue"/>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240" w:type="dxa"/>
            <w:vAlign w:val="bottom"/>
          </w:tcPr>
          <w:p>
            <w:pPr>
              <w:jc w:val="right"/>
              <w:spacing w:after="0"/>
              <w:rPr>
                <w:sz w:val="20"/>
                <w:szCs w:val="20"/>
                <w:color w:val="auto"/>
              </w:rPr>
            </w:pPr>
            <w:r>
              <w:rPr>
                <w:rFonts w:ascii="Arial" w:cs="Arial" w:eastAsia="Arial" w:hAnsi="Arial"/>
                <w:sz w:val="18"/>
                <w:szCs w:val="18"/>
                <w:color w:val="auto"/>
              </w:rPr>
              <w:t>May-Aug 2013</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10-year BC</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Jul-2018</w:t>
            </w:r>
          </w:p>
        </w:tc>
        <w:tc>
          <w:tcPr>
            <w:tcW w:w="1320" w:type="dxa"/>
            <w:vAlign w:val="bottom"/>
          </w:tcPr>
          <w:p>
            <w:pPr>
              <w:jc w:val="right"/>
              <w:spacing w:after="0"/>
              <w:rPr>
                <w:sz w:val="20"/>
                <w:szCs w:val="20"/>
                <w:color w:val="auto"/>
              </w:rPr>
            </w:pPr>
            <w:r>
              <w:rPr>
                <w:rFonts w:ascii="Arial" w:cs="Arial" w:eastAsia="Arial" w:hAnsi="Arial"/>
                <w:sz w:val="18"/>
                <w:szCs w:val="18"/>
                <w:color w:val="auto"/>
              </w:rPr>
              <w:t>$13,000</w:t>
            </w:r>
          </w:p>
        </w:tc>
        <w:tc>
          <w:tcPr>
            <w:tcW w:w="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OSG</w:t>
            </w:r>
          </w:p>
        </w:tc>
        <w:tc>
          <w:tcPr>
            <w:tcW w:w="980" w:type="dxa"/>
            <w:vAlign w:val="bottom"/>
            <w:tcBorders>
              <w:lef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Fleet DWT: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856,122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 w:right="3160" w:firstLine="3150"/>
        <w:spacing w:after="0" w:line="281" w:lineRule="auto"/>
        <w:rPr>
          <w:sz w:val="20"/>
          <w:szCs w:val="20"/>
          <w:color w:val="auto"/>
        </w:rPr>
      </w:pPr>
      <w:r>
        <w:rPr>
          <w:rFonts w:ascii="Arial" w:cs="Arial" w:eastAsia="Arial" w:hAnsi="Arial"/>
          <w:sz w:val="18"/>
          <w:szCs w:val="18"/>
          <w:b w:val="1"/>
          <w:bCs w:val="1"/>
          <w:u w:val="single" w:color="auto"/>
          <w:color w:val="auto"/>
        </w:rPr>
        <w:t xml:space="preserve">VESSELS WE MAY PURCHASE FROM CAPITAL MARITIME </w:t>
      </w:r>
      <w:r>
        <w:rPr>
          <w:rFonts w:ascii="Arial" w:cs="Arial" w:eastAsia="Arial" w:hAnsi="Arial"/>
          <w:sz w:val="18"/>
          <w:szCs w:val="18"/>
          <w:b w:val="1"/>
          <w:bCs w:val="1"/>
          <w:i w:val="1"/>
          <w:iCs w:val="1"/>
          <w:color w:val="auto"/>
        </w:rPr>
        <w:t>May Purchase if Under Long-Term Charter (With Expected Delivery Date to Capital Maritime)</w:t>
      </w:r>
    </w:p>
    <w:p>
      <w:pPr>
        <w:sectPr>
          <w:pgSz w:w="11900" w:h="16842" w:orient="portrait"/>
          <w:cols w:equalWidth="0" w:num="1">
            <w:col w:w="11420"/>
          </w:cols>
          <w:pgMar w:left="240" w:top="122" w:right="239" w:bottom="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Aristidis</w:t>
            </w:r>
          </w:p>
        </w:tc>
        <w:tc>
          <w:tcPr>
            <w:tcW w:w="460" w:type="dxa"/>
            <w:vAlign w:val="bottom"/>
          </w:tcPr>
          <w:p>
            <w:pPr>
              <w:ind w:left="200"/>
              <w:spacing w:after="0"/>
              <w:rPr>
                <w:sz w:val="20"/>
                <w:szCs w:val="20"/>
                <w:color w:val="auto"/>
              </w:rPr>
            </w:pPr>
            <w:r>
              <w:rPr>
                <w:rFonts w:ascii="Arial" w:cs="Arial" w:eastAsia="Arial" w:hAnsi="Arial"/>
                <w:sz w:val="18"/>
                <w:szCs w:val="18"/>
                <w:color w:val="auto"/>
              </w:rPr>
              <w:t>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Jan-2006</w:t>
            </w:r>
          </w:p>
        </w:tc>
        <w:tc>
          <w:tcPr>
            <w:tcW w:w="7560" w:type="dxa"/>
            <w:vAlign w:val="bottom"/>
            <w:gridSpan w:val="2"/>
          </w:tcPr>
          <w:p>
            <w:pPr>
              <w:jc w:val="right"/>
              <w:ind w:right="6960"/>
              <w:spacing w:after="0"/>
              <w:rPr>
                <w:sz w:val="20"/>
                <w:szCs w:val="20"/>
                <w:color w:val="auto"/>
              </w:rPr>
            </w:pPr>
            <w:r>
              <w:rPr>
                <w:rFonts w:ascii="Arial" w:cs="Arial" w:eastAsia="Arial" w:hAnsi="Arial"/>
                <w:sz w:val="18"/>
                <w:szCs w:val="18"/>
                <w:color w:val="auto"/>
              </w:rPr>
              <w:t>36,680</w:t>
            </w:r>
          </w:p>
        </w:tc>
        <w:tc>
          <w:tcPr>
            <w:tcW w:w="0" w:type="dxa"/>
            <w:vAlign w:val="bottom"/>
          </w:tcPr>
          <w:p>
            <w:pPr>
              <w:spacing w:after="0"/>
              <w:rPr>
                <w:sz w:val="1"/>
                <w:szCs w:val="1"/>
                <w:color w:val="auto"/>
              </w:rPr>
            </w:pPr>
          </w:p>
        </w:tc>
      </w:tr>
      <w:tr>
        <w:trPr>
          <w:trHeight w:val="215"/>
        </w:trPr>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Mar-</w:t>
            </w:r>
          </w:p>
        </w:tc>
        <w:tc>
          <w:tcPr>
            <w:tcW w:w="60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Alkiviadis</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w:t>
            </w:r>
          </w:p>
        </w:tc>
        <w:tc>
          <w:tcPr>
            <w:tcW w:w="7560" w:type="dxa"/>
            <w:vAlign w:val="bottom"/>
            <w:gridSpan w:val="2"/>
            <w:shd w:val="clear" w:color="auto" w:fill="CCEEFF"/>
          </w:tcPr>
          <w:p>
            <w:pPr>
              <w:jc w:val="right"/>
              <w:ind w:right="696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Nov-</w:t>
            </w:r>
          </w:p>
        </w:tc>
        <w:tc>
          <w:tcPr>
            <w:tcW w:w="60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Agamemnon II</w:t>
            </w:r>
          </w:p>
        </w:tc>
        <w:tc>
          <w:tcPr>
            <w:tcW w:w="460" w:type="dxa"/>
            <w:vAlign w:val="bottom"/>
          </w:tcPr>
          <w:p>
            <w:pPr>
              <w:ind w:left="200"/>
              <w:spacing w:after="0"/>
              <w:rPr>
                <w:sz w:val="20"/>
                <w:szCs w:val="20"/>
                <w:color w:val="auto"/>
              </w:rPr>
            </w:pPr>
            <w:r>
              <w:rPr>
                <w:rFonts w:ascii="Arial" w:cs="Arial" w:eastAsia="Arial" w:hAnsi="Arial"/>
                <w:sz w:val="18"/>
                <w:szCs w:val="18"/>
                <w:color w:val="auto"/>
              </w:rPr>
              <w:t>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7560" w:type="dxa"/>
            <w:vAlign w:val="bottom"/>
            <w:gridSpan w:val="2"/>
          </w:tcPr>
          <w:p>
            <w:pPr>
              <w:jc w:val="right"/>
              <w:ind w:right="6960"/>
              <w:spacing w:after="0"/>
              <w:rPr>
                <w:sz w:val="20"/>
                <w:szCs w:val="20"/>
                <w:color w:val="auto"/>
              </w:rPr>
            </w:pPr>
            <w:r>
              <w:rPr>
                <w:rFonts w:ascii="Arial" w:cs="Arial" w:eastAsia="Arial" w:hAnsi="Arial"/>
                <w:sz w:val="18"/>
                <w:szCs w:val="18"/>
                <w:color w:val="auto"/>
              </w:rPr>
              <w:t>51,328</w:t>
            </w:r>
          </w:p>
        </w:tc>
        <w:tc>
          <w:tcPr>
            <w:tcW w:w="0" w:type="dxa"/>
            <w:vAlign w:val="bottom"/>
          </w:tcPr>
          <w:p>
            <w:pPr>
              <w:spacing w:after="0"/>
              <w:rPr>
                <w:sz w:val="1"/>
                <w:szCs w:val="1"/>
                <w:color w:val="auto"/>
              </w:rPr>
            </w:pPr>
          </w:p>
        </w:tc>
      </w:tr>
      <w:tr>
        <w:trPr>
          <w:trHeight w:val="201"/>
        </w:trPr>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Apr-</w:t>
            </w:r>
          </w:p>
        </w:tc>
        <w:tc>
          <w:tcPr>
            <w:tcW w:w="600" w:type="dxa"/>
            <w:vAlign w:val="bottom"/>
            <w:shd w:val="clear" w:color="auto" w:fill="CCEEFF"/>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Ayrton III</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w:t>
            </w:r>
          </w:p>
        </w:tc>
        <w:tc>
          <w:tcPr>
            <w:tcW w:w="7560" w:type="dxa"/>
            <w:vAlign w:val="bottom"/>
            <w:gridSpan w:val="2"/>
            <w:shd w:val="clear" w:color="auto" w:fill="CCEEFF"/>
          </w:tcPr>
          <w:p>
            <w:pPr>
              <w:jc w:val="right"/>
              <w:ind w:right="69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May-</w:t>
            </w:r>
          </w:p>
        </w:tc>
        <w:tc>
          <w:tcPr>
            <w:tcW w:w="60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Adonis II</w:t>
            </w:r>
          </w:p>
        </w:tc>
        <w:tc>
          <w:tcPr>
            <w:tcW w:w="460" w:type="dxa"/>
            <w:vAlign w:val="bottom"/>
          </w:tcPr>
          <w:p>
            <w:pPr>
              <w:ind w:left="200"/>
              <w:spacing w:after="0"/>
              <w:rPr>
                <w:sz w:val="20"/>
                <w:szCs w:val="20"/>
                <w:color w:val="auto"/>
              </w:rPr>
            </w:pPr>
            <w:r>
              <w:rPr>
                <w:rFonts w:ascii="Arial" w:cs="Arial" w:eastAsia="Arial" w:hAnsi="Arial"/>
                <w:sz w:val="18"/>
                <w:szCs w:val="18"/>
                <w:color w:val="auto"/>
              </w:rPr>
              <w:t>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7560" w:type="dxa"/>
            <w:vAlign w:val="bottom"/>
            <w:gridSpan w:val="2"/>
          </w:tcPr>
          <w:p>
            <w:pPr>
              <w:jc w:val="right"/>
              <w:ind w:right="69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01"/>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Asterix II</w:t>
            </w:r>
          </w:p>
        </w:tc>
        <w:tc>
          <w:tcPr>
            <w:tcW w:w="4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June-</w:t>
            </w:r>
          </w:p>
        </w:tc>
        <w:tc>
          <w:tcPr>
            <w:tcW w:w="7560" w:type="dxa"/>
            <w:vAlign w:val="bottom"/>
            <w:gridSpan w:val="2"/>
            <w:vMerge w:val="restart"/>
            <w:shd w:val="clear" w:color="auto" w:fill="CCEEFF"/>
          </w:tcPr>
          <w:p>
            <w:pPr>
              <w:jc w:val="right"/>
              <w:ind w:right="69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7"/>
        </w:trPr>
        <w:tc>
          <w:tcPr>
            <w:tcW w:w="16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w:t>
            </w:r>
          </w:p>
        </w:tc>
        <w:tc>
          <w:tcPr>
            <w:tcW w:w="7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DWT:</w:t>
            </w:r>
          </w:p>
        </w:tc>
        <w:tc>
          <w:tcPr>
            <w:tcW w:w="4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277,729</w:t>
            </w:r>
          </w:p>
        </w:tc>
        <w:tc>
          <w:tcPr>
            <w:tcW w:w="6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0"/>
        <w:spacing w:after="0" w:line="311" w:lineRule="auto"/>
        <w:rPr>
          <w:sz w:val="20"/>
          <w:szCs w:val="20"/>
          <w:color w:val="auto"/>
        </w:rPr>
      </w:pPr>
      <w:r>
        <w:rPr>
          <w:rFonts w:ascii="Arial" w:cs="Arial" w:eastAsia="Arial" w:hAnsi="Arial"/>
          <w:sz w:val="16"/>
          <w:szCs w:val="16"/>
          <w:color w:val="auto"/>
        </w:rPr>
        <w:t>Ice Class 1A IMO II/III Chem./ Prod.</w:t>
      </w:r>
    </w:p>
    <w:p>
      <w:pPr>
        <w:spacing w:after="0" w:line="200" w:lineRule="exact"/>
        <w:rPr>
          <w:sz w:val="20"/>
          <w:szCs w:val="20"/>
          <w:color w:val="auto"/>
        </w:rPr>
      </w:pPr>
    </w:p>
    <w:p>
      <w:pPr>
        <w:spacing w:after="0" w:line="272" w:lineRule="exact"/>
        <w:rPr>
          <w:sz w:val="20"/>
          <w:szCs w:val="20"/>
          <w:color w:val="auto"/>
        </w:rPr>
      </w:pPr>
    </w:p>
    <w:p>
      <w:pPr>
        <w:jc w:val="center"/>
        <w:ind w:left="-19" w:right="100"/>
        <w:spacing w:after="0" w:line="311" w:lineRule="auto"/>
        <w:rPr>
          <w:sz w:val="20"/>
          <w:szCs w:val="20"/>
          <w:color w:val="auto"/>
        </w:rPr>
      </w:pPr>
      <w:r>
        <w:rPr>
          <w:rFonts w:ascii="Arial" w:cs="Arial" w:eastAsia="Arial" w:hAnsi="Arial"/>
          <w:sz w:val="16"/>
          <w:szCs w:val="16"/>
          <w:color w:val="auto"/>
        </w:rPr>
        <w:t>IMO II/III Chemical/ Product</w:t>
      </w:r>
    </w:p>
    <w:p>
      <w:pPr>
        <w:spacing w:after="0" w:line="1160" w:lineRule="exact"/>
        <w:rPr>
          <w:sz w:val="20"/>
          <w:szCs w:val="20"/>
          <w:color w:val="auto"/>
        </w:rPr>
      </w:pPr>
    </w:p>
    <w:p>
      <w:pPr>
        <w:sectPr>
          <w:pgSz w:w="11900" w:h="16842" w:orient="portrait"/>
          <w:cols w:equalWidth="0" w:num="2">
            <w:col w:w="10440" w:space="0"/>
            <w:col w:w="980"/>
          </w:cols>
          <w:pgMar w:left="240" w:top="122" w:right="239" w:bottom="0" w:gutter="0" w:footer="0" w:header="0"/>
          <w:type w:val="continuous"/>
        </w:sectPr>
      </w:pPr>
    </w:p>
    <w:p>
      <w:pPr>
        <w:ind w:left="500" w:hanging="492"/>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Sister vessels, vessels of similar specifications and size typically built at the same shipyard, are denoted in the tables by the same letter as follows: (A),</w:t>
      </w:r>
    </w:p>
    <w:p>
      <w:pPr>
        <w:spacing w:after="0" w:line="31" w:lineRule="exact"/>
        <w:rPr>
          <w:rFonts w:ascii="Arial" w:cs="Arial" w:eastAsia="Arial" w:hAnsi="Arial"/>
          <w:sz w:val="16"/>
          <w:szCs w:val="16"/>
          <w:color w:val="auto"/>
        </w:rPr>
      </w:pPr>
    </w:p>
    <w:p>
      <w:pPr>
        <w:ind w:left="500" w:right="220"/>
        <w:spacing w:after="0" w:line="250" w:lineRule="auto"/>
        <w:rPr>
          <w:rFonts w:ascii="Arial" w:cs="Arial" w:eastAsia="Arial" w:hAnsi="Arial"/>
          <w:sz w:val="16"/>
          <w:szCs w:val="16"/>
          <w:color w:val="auto"/>
        </w:rPr>
      </w:pPr>
      <w:r>
        <w:rPr>
          <w:rFonts w:ascii="Arial" w:cs="Arial" w:eastAsia="Arial" w:hAnsi="Arial"/>
          <w:sz w:val="18"/>
          <w:szCs w:val="18"/>
          <w:color w:val="auto"/>
        </w:rPr>
        <w:t>(B): these vessels were built by Hyundai MIPO Dockyard Co., Ltd., South Korea, (C): these vessels were built by Baima Shipyard, China, (D): these vessels were built by STX Shipbuilding Co., Ltd., South Korea.</w:t>
      </w: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8"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Earliest possible redelivery date. The charters for the M/T Attikos and the M/T Aristofanis, expire on the date of expiration. The redelivery period for the M/T Agisilaos is between March 1 and 29, 2010 and for the M/T Arionas is between June 3 and 30, 2010. For all other charters, the redelivery date is +/–30 days at the charterer’s option.</w:t>
      </w:r>
    </w:p>
    <w:p>
      <w:pPr>
        <w:jc w:val="both"/>
        <w:ind w:left="500" w:right="46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rates quoted above are the net rates after we or our charterers have paid any relevant commissions on the base rate. The BP time and bareboat charters are subject to 1.25% commissions. The Trafigura time charter is subject to 2.5% commissions. The Shell time charter is subject to 2.25% commissions. With the exception of the M/T Assos, where 1.25% commission is deducted from the gross profit share amount, we do not pay any commissions in connection with the MS time charters.</w:t>
      </w:r>
    </w:p>
    <w:p>
      <w:pPr>
        <w:ind w:left="500" w:hanging="492"/>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BP: BP Shipping Limited. MS: Morgan Stanley Capital Group Inc. OSG: certain subsidiaries of Overseas Shipholding Group Inc. Trafigura: Trafigura</w:t>
      </w:r>
    </w:p>
    <w:p>
      <w:pPr>
        <w:spacing w:after="0" w:line="3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Beheer B.V. Shell: Shell International Trading &amp; Shipping Company Ltd.</w:t>
      </w:r>
    </w:p>
    <w:p>
      <w:pPr>
        <w:sectPr>
          <w:pgSz w:w="11900" w:h="16842" w:orient="portrait"/>
          <w:cols w:equalWidth="0" w:num="1">
            <w:col w:w="11420"/>
          </w:cols>
          <w:pgMar w:left="240" w:top="122" w:right="239" w:bottom="0" w:gutter="0" w:footer="0" w:header="0"/>
          <w:type w:val="continuous"/>
        </w:sectPr>
      </w:pPr>
    </w:p>
    <w:bookmarkStart w:id="34" w:name="page35"/>
    <w:bookmarkEnd w:id="34"/>
    <w:p>
      <w:pPr>
        <w:ind w:left="492" w:right="120" w:hanging="492"/>
        <w:spacing w:after="0" w:line="258" w:lineRule="auto"/>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M/T Atlantas to British Ensign, M/T Aktoras to British Envoy and M/T Aiolos to British Emissary.</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last three years of the BC will be at a daily charter rate of $13,433 (net).</w:t>
      </w:r>
    </w:p>
    <w:p>
      <w:pPr>
        <w:spacing w:after="0" w:line="8" w:lineRule="exact"/>
        <w:rPr>
          <w:rFonts w:ascii="Arial" w:cs="Arial" w:eastAsia="Arial" w:hAnsi="Arial"/>
          <w:sz w:val="18"/>
          <w:szCs w:val="18"/>
          <w:color w:val="auto"/>
        </w:rPr>
      </w:pPr>
    </w:p>
    <w:p>
      <w:pPr>
        <w:ind w:left="492" w:hanging="492"/>
        <w:spacing w:after="0"/>
        <w:tabs>
          <w:tab w:leader="none" w:pos="4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addition to the commission on the gross charter rate, the ship broker is entitled to an additional 1.25% commission on the amount of profit share.</w:t>
      </w:r>
    </w:p>
    <w:p>
      <w:pPr>
        <w:spacing w:after="0" w:line="31" w:lineRule="exact"/>
        <w:rPr>
          <w:rFonts w:ascii="Arial" w:cs="Arial" w:eastAsia="Arial" w:hAnsi="Arial"/>
          <w:sz w:val="16"/>
          <w:szCs w:val="16"/>
          <w:color w:val="auto"/>
        </w:rPr>
      </w:pPr>
    </w:p>
    <w:p>
      <w:pPr>
        <w:ind w:left="492" w:hanging="492"/>
        <w:spacing w:after="0" w:line="250" w:lineRule="auto"/>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August 2008 the TC was extended by 13 months to March 2010. The net daily charter rate prior to this extension was $17,500 and was subject to the same 50/50 profit sharing arrangement.</w:t>
      </w:r>
    </w:p>
    <w:p>
      <w:pPr>
        <w:jc w:val="both"/>
        <w:ind w:left="492" w:right="280" w:hanging="492"/>
        <w:spacing w:after="0" w:line="250" w:lineRule="auto"/>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as of April 4, 2009. In August 2008 the TC was extended by 13 months to June 2010. The net daily charter rate prior to the extension was $21,000 until November 2008 and $19,000 for the period from November 4, 2008 to April 4, 2009 and was subject to the same 50/50 profit sharing arrangement.</w:t>
      </w:r>
    </w:p>
    <w:p>
      <w:pPr>
        <w:ind w:left="492" w:hanging="492"/>
        <w:spacing w:after="0"/>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M/T Attikos was acquired by us in September 2007.</w:t>
      </w:r>
    </w:p>
    <w:p>
      <w:pPr>
        <w:spacing w:after="0" w:line="8" w:lineRule="exact"/>
        <w:rPr>
          <w:rFonts w:ascii="Arial" w:cs="Arial" w:eastAsia="Arial" w:hAnsi="Arial"/>
          <w:sz w:val="18"/>
          <w:szCs w:val="18"/>
          <w:color w:val="auto"/>
        </w:rPr>
      </w:pPr>
    </w:p>
    <w:p>
      <w:pPr>
        <w:ind w:left="492" w:right="120" w:hanging="492"/>
        <w:spacing w:after="0" w:line="260" w:lineRule="auto"/>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duration of their charter they have been renamed: M/T Alexandros II to Overseas Serifos, M/T Aristotelis II to Overseas Sifnos and M/T Aris II to Overseas Kimolos.</w:t>
      </w: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OSG has an option to purchase each of these vessels at the end of the eighth, ninth or tenth year of the applicable charter, for $38.0 million,</w:t>
      </w:r>
    </w:p>
    <w:p>
      <w:pPr>
        <w:spacing w:after="0" w:line="34" w:lineRule="exact"/>
        <w:rPr>
          <w:rFonts w:ascii="Arial" w:cs="Arial" w:eastAsia="Arial" w:hAnsi="Arial"/>
          <w:sz w:val="17"/>
          <w:szCs w:val="17"/>
          <w:color w:val="auto"/>
        </w:rPr>
      </w:pPr>
    </w:p>
    <w:p>
      <w:pPr>
        <w:ind w:left="500"/>
        <w:spacing w:after="0" w:line="264" w:lineRule="auto"/>
        <w:rPr>
          <w:rFonts w:ascii="Arial" w:cs="Arial" w:eastAsia="Arial" w:hAnsi="Arial"/>
          <w:sz w:val="17"/>
          <w:szCs w:val="17"/>
          <w:color w:val="auto"/>
        </w:rPr>
      </w:pPr>
      <w:r>
        <w:rPr>
          <w:rFonts w:ascii="Arial" w:cs="Arial" w:eastAsia="Arial" w:hAnsi="Arial"/>
          <w:sz w:val="17"/>
          <w:szCs w:val="17"/>
          <w:color w:val="auto"/>
        </w:rPr>
        <w:t>$35.5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vessel was built by Daewoo Shipbuilding and Marine Engineering Co., Ltd., South Korea and was acquired by us in March 2008.</w:t>
      </w:r>
    </w:p>
    <w:p>
      <w:pPr>
        <w:spacing w:after="0" w:line="8"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M/T Aristofanis was acquired by us in April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28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Currently, all of the vessels in our fleet are under medium to long-term time or bareboat charters with an average remaining term of approximately 4.3 years as of February 28, 2009. Under certain circumstances we may operate vessels in the spot market until the vessels have been fixed under appropriate medium to long-term charters. Please see “—Our Fleet” above, including the chart and accompanying notes, for more information on our time and bareboat charters, including counterparties, expected expiration dates of the charters and daily charter rates.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Time Charters</w:t>
      </w:r>
    </w:p>
    <w:p>
      <w:pPr>
        <w:spacing w:after="0" w:line="279"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In the case of the vessels under time charter to Morgan Stanley Capital Group Inc., the charterer is also responsible for the payment of all commissions. The basic hire rate payable under the charters is a previously agreed daily rate, as specified in the charter, payable at the beginning of the month in U.S. Dollars. We currently have 12 vessels under time charter of which five are with Morgan Stanley Capital Group Inc., five with BP Shipping Limited and one each with Trafigura Beheer B.V. and Shell International Trading &amp; Shipping Company Ltd. In August 2008 we reached an agreement with BP Shipping Limited to extend the time charters for the M/T Agisilaos and the M/T Arionas by 13 months each and amend the net daily charter rates. Of our 12 time charters, 10 contain profit-sharing provisions that allow us to realize at a pre-determined percentage additional revenues when spot rates are higher than the base rates incorporated in our charters or, in some instances, through greater utilization of our vessels by our charterers.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279"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i w:val="1"/>
          <w:iCs w:val="1"/>
          <w:color w:val="auto"/>
        </w:rPr>
        <w:t xml:space="preserve">Morgan Stanley Profit Sharing. </w:t>
      </w:r>
      <w:r>
        <w:rPr>
          <w:rFonts w:ascii="Arial" w:cs="Arial" w:eastAsia="Arial" w:hAnsi="Arial"/>
          <w:sz w:val="16"/>
          <w:szCs w:val="16"/>
          <w:color w:val="auto"/>
        </w:rPr>
        <w:t>Further to an agreement reached with Morgan Stanley Capital Group Inc. on July 28, 2008, which took effect</w:t>
      </w:r>
      <w:r>
        <w:rPr>
          <w:rFonts w:ascii="Arial" w:cs="Arial" w:eastAsia="Arial" w:hAnsi="Arial"/>
          <w:sz w:val="16"/>
          <w:szCs w:val="16"/>
          <w:i w:val="1"/>
          <w:iCs w:val="1"/>
          <w:color w:val="auto"/>
        </w:rPr>
        <w:t xml:space="preserve"> </w:t>
      </w:r>
      <w:r>
        <w:rPr>
          <w:rFonts w:ascii="Arial" w:cs="Arial" w:eastAsia="Arial" w:hAnsi="Arial"/>
          <w:sz w:val="16"/>
          <w:szCs w:val="16"/>
          <w:color w:val="auto"/>
        </w:rPr>
        <w:t>retroactively as of June 1, 2008, the profit sharing arrangements for each vessel time chartered with Morgan Stanley Capital Group Inc. are calculated according to the two-step process set out below. Initially, a weighted average of two indices published daily by the Baltic Exchange based on specific routes and cargo sizes representative of the vessel’s trading is calculated and settled quarterly. Specifically, the calculation is based on the performance of the transatlantic route (TC2) and the Caribbean-US route (TC3) at certain predetermined weights. If the weighted average time charter equivalent (“TCE”) is less than or equal to the basic hire rate, then we receive the basic hire rate only. If the weighted average TCE exceeds the basic hire rate, then we receive the basic hire rate plus 50% of the excess. In addition, we have the right to access the charterer's annual results of operations for each vessel, and, if these show that the vessel has earned more than the calculation above, we receive 50% of the vessel’s actual profits less any amounts already received pursuant to the calculation above. If the annual results of operations for each vessel do not exceed the estimated profit calculation based on the two routes then no additional payments are made. With the exception of the profit share arrangement for the M/T Assos, where 1.25% commission is deducted from the gross profit share amount, no commissions are payable on revenues derived from our profit shares. Annual results of operations from the charterer are to be presented by December 31 of each year for the period commencing December 1 of the previous year to November 30 of the year in question, with the exception of the fiscal year from December 1, 2007 to November 30, 2008 for which results of operations were settled semi-annually, in May and November 2008.</w:t>
      </w:r>
    </w:p>
    <w:p>
      <w:pPr>
        <w:spacing w:after="0" w:line="225"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i w:val="1"/>
          <w:iCs w:val="1"/>
          <w:color w:val="auto"/>
        </w:rPr>
        <w:t xml:space="preserve">BP Profit Sharing. </w:t>
      </w:r>
      <w:r>
        <w:rPr>
          <w:rFonts w:ascii="Arial" w:cs="Arial" w:eastAsia="Arial" w:hAnsi="Arial"/>
          <w:sz w:val="17"/>
          <w:szCs w:val="17"/>
          <w:color w:val="auto"/>
        </w:rPr>
        <w:t>With the exception of the M/T Amore Mio II, our profit sharing arrangements for our vessels time chartered with BP Shipping</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are based on the calculation of the TCE according to the “last to next” principle.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within every calculation period, as well as with a statement listing actual voyage results for voyages completed and estimated results for any voyage not completed at the time of settlement. When actual revenue and/or expenses have not been settled, BP Shipping Limited’s estimates apply but remain subject to adjustment upon closing of actual accounts. If the average daily TCE is less than or equal to the basic gross hire rate, then we receive the basic net hire rate only. If the average daily TCE exceeds the basic gross hire rate, then we receive the basic net hire rate plus 50% of the excess over the gross hire rate. In addition to the 1.25% commission we pay on the gross charter rate for each vessel, the relevant ship broker is also entitled to an additional 1.25% commission on the amount of profit share received from the M/T Agisilaos, the M/T Arionas, the M/T Axios and the M/T Amore Mio II. In the case of the M/T Amore Mio II, the calculation of the profit share is based on the weighted monthly average of two indices published daily by the Baltic Exchange based on specific routes and cargo sizes representative of the vessel’s trading. The profit share with BP Shipping Limited is calculated and settled quarterly, except for the profit share for the M/T Amore Mio II, which is calculated and settled monthly.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 We currently have six vessels under bareboat charter, three with BP Shipping Limited and three with subsidiaries of Overseas Shipholding Group Inc. The charters entered into with subsidiaries of Overseas Shipholding Group Inc. are fully and unconditionally guaranteed by Overseas Shipholding Group Inc.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28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Capital Maritime provides, through its subsidiary Capital Ship Management, expertise in various functions critical to our operations. This affords a safe, efficient and cost-effective operation and, pursuant to a management agreement and an administrative services agreement we have entered into with Capital Ship Management, we have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245" w:lineRule="exact"/>
        <w:rPr>
          <w:sz w:val="20"/>
          <w:szCs w:val="20"/>
          <w:color w:val="auto"/>
        </w:rPr>
      </w:pPr>
    </w:p>
    <w:p>
      <w:pPr>
        <w:jc w:val="both"/>
        <w:ind w:firstLine="692"/>
        <w:spacing w:after="0" w:line="285" w:lineRule="auto"/>
        <w:rPr>
          <w:sz w:val="20"/>
          <w:szCs w:val="20"/>
          <w:color w:val="auto"/>
        </w:rPr>
      </w:pPr>
      <w:r>
        <w:rPr>
          <w:rFonts w:ascii="Arial" w:cs="Arial" w:eastAsia="Arial" w:hAnsi="Arial"/>
          <w:sz w:val="16"/>
          <w:szCs w:val="16"/>
          <w:color w:val="auto"/>
        </w:rPr>
        <w:t>Under our time charter arrangements, Capital Ship Management, our manager, is generally responsible for commercial, technical, health and safety and other management services related to the vessels' operation, and the charterer is responsible for port expenses, canal dues and bunkers and, in the case of the Morgan Stanley Capital Group Inc. time charters, for commissions. Pursuant to our management agreement, we pay a fixed daily fee of $5,500 per vessel for our time chartered vessels ($8,500 for the M/T Amore Mio II), for an initial term of approximately five years from when we take delivery of each vessel and covers vessel operating expenses, which include crewing, repairs and maintenance, insurance and the expenses of the next scheduled special or intermediate survey for each vessel, as applicable, and related drydocking. Please see the table in “—Our Fleet” above for a list of the approximate expected termination dates of the management agreement with Capital Ship Management with respect to each vessel currently in our fleet. Capital Ship Management is directly responsible for providing all of these items and services. Capital Ship Management is also entitled to supplementary remuneration for extraordinary fees and costs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For the year ended 31, December 2008, such fees amounted to approximately $1.0 million. Such costs may further increase to reflect unforeseen events and the continuing inflationary vessel costs environment. The sole expense we incur in connection with our vessels under bareboat charter is a daily fee of $250 per bareboat chartered vessel payable to Capital Ship Management, mainly to cover compliance costs. Capital Ship Management may provide these services to us directly or it may subcontract for certain of these services with other entities, including other Capital Maritime subsidiaries. Going forward, when we acquire new vessels or when the respective management agreements for our vessels expire, we will have to enter into new agreements which may provide for different fees or include different terms. For more information on the management agreement and administrative services agreements we have with Capital Ship Management please read “Item 7B: Related Party Transactions—Management Agreement” and “—Administrative Services Agreement.”</w:t>
      </w:r>
    </w:p>
    <w:p>
      <w:pPr>
        <w:spacing w:after="0" w:line="225"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Capital Ship Management operates under a safety management system in compliance with the IMO’s ISM code and certified by the American Bureau of Shipping. Capital Ship Management’s management systems also comply with the quality assurance standard ISO 9001, the environmental management standard ISO 14001 and the Occupational Health &amp; Safety Management System (“OHSAS”) 18001, all of which are certified by Lloyds Register of Shipping. As a result, our vessels’ operations are conducted in a manner intended to protect the safety and health of Capital Ship Management's employees, as applicable, the general public and the environment. Capital Ship Management’s technical management team actively manages the risks inherent in our business and is committed to eliminating incidents that threaten safety, such as groundings, fires, collisions and petroleum spills, as well as reducing emissions and waste generation.</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26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240"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 called “oil majors companies”, such as ExxonMobil Corporation, BP p.l.c., Royal Dutch Shell plc, Chevron Corporation, ConocoPhillips, StatoilHydro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24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245"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24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six major international oil companies in the last few years (i.e., BP p.l.c., Royal Dutch Shell plc, StatoilHydro ASA, Chevron Corporation, ExxonMobil Corporation and Total S.A).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28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agents in Romania, Russia and the Philippines recruits senior officers for our vessels. Capital Ship Management also maintains a presence in the Philippines and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00" w:lineRule="exact"/>
        <w:rPr>
          <w:sz w:val="20"/>
          <w:szCs w:val="20"/>
          <w:color w:val="auto"/>
        </w:rPr>
      </w:pPr>
    </w:p>
    <w:p>
      <w:pPr>
        <w:spacing w:after="0" w:line="352"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217"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For maintaining the class status, regular and extraordinary surveys of hull and machinery, including the electrical plant, and any special equipment classed are required to be performed as follows: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which are conducted for the hull and the machinery at intervals of 12 months.</w:t>
      </w:r>
    </w:p>
    <w:p>
      <w:pPr>
        <w:spacing w:after="0" w:line="279" w:lineRule="exact"/>
        <w:rPr>
          <w:sz w:val="20"/>
          <w:szCs w:val="20"/>
          <w:color w:val="auto"/>
        </w:rPr>
      </w:pPr>
    </w:p>
    <w:p>
      <w:pPr>
        <w:jc w:val="both"/>
        <w:ind w:firstLine="647"/>
        <w:spacing w:after="0" w:line="341" w:lineRule="auto"/>
        <w:rPr>
          <w:sz w:val="20"/>
          <w:szCs w:val="20"/>
          <w:color w:val="auto"/>
        </w:rPr>
      </w:pPr>
      <w:r>
        <w:rPr>
          <w:rFonts w:ascii="Arial" w:cs="Arial" w:eastAsia="Arial" w:hAnsi="Arial"/>
          <w:sz w:val="16"/>
          <w:szCs w:val="16"/>
          <w:i w:val="1"/>
          <w:iCs w:val="1"/>
          <w:color w:val="auto"/>
        </w:rPr>
        <w:t xml:space="preserve">Intermediate Surveys, </w:t>
      </w:r>
      <w:r>
        <w:rPr>
          <w:rFonts w:ascii="Arial" w:cs="Arial" w:eastAsia="Arial" w:hAnsi="Arial"/>
          <w:sz w:val="16"/>
          <w:szCs w:val="16"/>
          <w:color w:val="auto"/>
        </w:rPr>
        <w:t>which are extended surveys and are conducted two and one-half years after commissioning and after each class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survey. In the case of newbuildings, the requirements of the intermediate survey can be met through an underwater inspection in lieu of drydocking the vessel.</w:t>
      </w:r>
    </w:p>
    <w:p>
      <w:pPr>
        <w:spacing w:after="0" w:line="179"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i w:val="1"/>
          <w:iCs w:val="1"/>
          <w:color w:val="auto"/>
        </w:rPr>
        <w:t xml:space="preserve">Class Renewal Surveys </w:t>
      </w:r>
      <w:r>
        <w:rPr>
          <w:rFonts w:ascii="Arial" w:cs="Arial" w:eastAsia="Arial" w:hAnsi="Arial"/>
          <w:sz w:val="16"/>
          <w:szCs w:val="16"/>
          <w:color w:val="auto"/>
        </w:rPr>
        <w:t>(also known as</w:t>
      </w:r>
      <w:r>
        <w:rPr>
          <w:rFonts w:ascii="Arial" w:cs="Arial" w:eastAsia="Arial" w:hAnsi="Arial"/>
          <w:sz w:val="16"/>
          <w:szCs w:val="16"/>
          <w:i w:val="1"/>
          <w:iCs w:val="1"/>
          <w:color w:val="auto"/>
        </w:rPr>
        <w:t xml:space="preserve"> special surveys</w:t>
      </w:r>
      <w:r>
        <w:rPr>
          <w:rFonts w:ascii="Arial" w:cs="Arial" w:eastAsia="Arial" w:hAnsi="Arial"/>
          <w:sz w:val="16"/>
          <w:szCs w:val="16"/>
          <w:color w:val="auto"/>
        </w:rPr>
        <w:t>) are carried out at the intervals indicated by the classification for the hull (usually at five year</w:t>
      </w:r>
      <w:r>
        <w:rPr>
          <w:rFonts w:ascii="Arial" w:cs="Arial" w:eastAsia="Arial" w:hAnsi="Arial"/>
          <w:sz w:val="16"/>
          <w:szCs w:val="16"/>
          <w:i w:val="1"/>
          <w:iCs w:val="1"/>
          <w:color w:val="auto"/>
        </w:rPr>
        <w:t xml:space="preserve"> </w:t>
      </w:r>
      <w:r>
        <w:rPr>
          <w:rFonts w:ascii="Arial" w:cs="Arial" w:eastAsia="Arial" w:hAnsi="Arial"/>
          <w:sz w:val="16"/>
          <w:szCs w:val="16"/>
          <w:color w:val="auto"/>
        </w:rPr>
        <w:t>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 Enhanced Survey Program and CSM - Continuous Machinery Survey.</w:t>
      </w:r>
    </w:p>
    <w:p>
      <w:pPr>
        <w:spacing w:after="0" w:line="218"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22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ABS, DNV and, in the case of the M/T Attikos and M/T Aristofanis, China Classification Society. All of the newbuildings we currently have on order and any other new and secondhand vessels that we purchase must be certified prior to their delivery. If any vessel we have contracted to purchase is not certified as “in class” on the date of closing, we have no obligation to take delivery of the vessel.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83"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w:t>
      </w:r>
    </w:p>
    <w:p>
      <w:pPr>
        <w:spacing w:after="0" w:line="218"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We currently carry “hull and machinery”, “increased value”, “protection and indemnity” and “war risk” insurance coverage for each of our vessels to protect against most of the accident-related risks involved in the conduct of our business:</w:t>
      </w:r>
    </w:p>
    <w:p>
      <w:pPr>
        <w:spacing w:after="0" w:line="224" w:lineRule="exact"/>
        <w:rPr>
          <w:sz w:val="20"/>
          <w:szCs w:val="20"/>
          <w:color w:val="auto"/>
        </w:rPr>
      </w:pPr>
    </w:p>
    <w:p>
      <w:pPr>
        <w:ind w:left="980" w:right="520" w:hanging="325"/>
        <w:spacing w:after="0" w:line="341"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Hull and machinery insurance </w:t>
      </w:r>
      <w:r>
        <w:rPr>
          <w:rFonts w:ascii="Arial" w:cs="Arial" w:eastAsia="Arial" w:hAnsi="Arial"/>
          <w:sz w:val="16"/>
          <w:szCs w:val="16"/>
          <w:color w:val="auto"/>
        </w:rPr>
        <w:t>covers loss of or damage to a vessel due to marine perils such as collisions, grounding and weather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is usually to an agreed “insured value” which, as a matter of policy, is never less than the particular vessel's fair market value.</w:t>
      </w:r>
    </w:p>
    <w:p>
      <w:pPr>
        <w:spacing w:after="0" w:line="178" w:lineRule="exact"/>
        <w:rPr>
          <w:rFonts w:ascii="Arial" w:cs="Arial" w:eastAsia="Arial" w:hAnsi="Arial"/>
          <w:sz w:val="16"/>
          <w:szCs w:val="16"/>
          <w:color w:val="auto"/>
        </w:rPr>
      </w:pPr>
    </w:p>
    <w:p>
      <w:pPr>
        <w:ind w:left="980" w:right="240" w:hanging="325"/>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Increased value insurance </w:t>
      </w:r>
      <w:r>
        <w:rPr>
          <w:rFonts w:ascii="Arial" w:cs="Arial" w:eastAsia="Arial" w:hAnsi="Arial"/>
          <w:sz w:val="18"/>
          <w:szCs w:val="18"/>
          <w:color w:val="auto"/>
        </w:rPr>
        <w:t>augments hull and machinery insurance cover by providing a low-cost means of increasing the insured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in the event of a total loss casualty.</w:t>
      </w:r>
    </w:p>
    <w:p>
      <w:pPr>
        <w:spacing w:after="0" w:line="223" w:lineRule="exact"/>
        <w:rPr>
          <w:rFonts w:ascii="Arial" w:cs="Arial" w:eastAsia="Arial" w:hAnsi="Arial"/>
          <w:sz w:val="18"/>
          <w:szCs w:val="18"/>
          <w:color w:val="auto"/>
        </w:rPr>
      </w:pPr>
    </w:p>
    <w:p>
      <w:pPr>
        <w:ind w:left="980" w:right="320" w:hanging="325"/>
        <w:spacing w:after="0" w:line="286"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Protection and indemnity insurance </w:t>
      </w:r>
      <w:r>
        <w:rPr>
          <w:rFonts w:ascii="Arial" w:cs="Arial" w:eastAsia="Arial" w:hAnsi="Arial"/>
          <w:sz w:val="17"/>
          <w:szCs w:val="17"/>
          <w:color w:val="auto"/>
        </w:rPr>
        <w:t>is the principal coverage for third party liabilities and indemnifies against other liabilities incurred while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vessels, including injury to the crew, third parties, cargo or third party property loss for which the shipowner is responsible and pollution. The current available amount of our coverage for pollution is $1.0 billion per vessel per incident.</w:t>
      </w:r>
    </w:p>
    <w:p>
      <w:pPr>
        <w:spacing w:after="0" w:line="218" w:lineRule="exact"/>
        <w:rPr>
          <w:rFonts w:ascii="Arial" w:cs="Arial" w:eastAsia="Arial" w:hAnsi="Arial"/>
          <w:sz w:val="17"/>
          <w:szCs w:val="17"/>
          <w:color w:val="auto"/>
        </w:rPr>
      </w:pPr>
    </w:p>
    <w:p>
      <w:pPr>
        <w:ind w:left="980" w:hanging="32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War Risks insurance </w:t>
      </w:r>
      <w:r>
        <w:rPr>
          <w:rFonts w:ascii="Arial" w:cs="Arial" w:eastAsia="Arial" w:hAnsi="Arial"/>
          <w:sz w:val="18"/>
          <w:szCs w:val="18"/>
          <w:color w:val="auto"/>
        </w:rPr>
        <w:t>covers such items as piracy and terrorism.</w:t>
      </w:r>
    </w:p>
    <w:p>
      <w:pPr>
        <w:spacing w:after="0" w:line="279"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2008.</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180" w:type="dxa"/>
            <w:vAlign w:val="bottom"/>
            <w:tcBorders>
              <w:top w:val="single" w:sz="8" w:color="auto"/>
              <w:left w:val="single" w:sz="8" w:color="auto"/>
              <w:bottom w:val="single" w:sz="8" w:color="auto"/>
            </w:tcBorders>
            <w:shd w:val="clear" w:color="auto" w:fill="E0E0E0"/>
          </w:tcPr>
          <w:p>
            <w:pPr>
              <w:ind w:left="2340"/>
              <w:spacing w:after="0"/>
              <w:rPr>
                <w:sz w:val="20"/>
                <w:szCs w:val="20"/>
                <w:color w:val="auto"/>
              </w:rPr>
            </w:pPr>
            <w:r>
              <w:rPr>
                <w:rFonts w:ascii="Arial" w:cs="Arial" w:eastAsia="Arial" w:hAnsi="Arial"/>
                <w:sz w:val="18"/>
                <w:szCs w:val="18"/>
                <w:b w:val="1"/>
                <w:bCs w:val="1"/>
                <w:color w:val="auto"/>
              </w:rPr>
              <w:t>Type</w:t>
            </w:r>
          </w:p>
        </w:tc>
        <w:tc>
          <w:tcPr>
            <w:tcW w:w="7240" w:type="dxa"/>
            <w:vAlign w:val="bottom"/>
            <w:tcBorders>
              <w:top w:val="single" w:sz="8" w:color="auto"/>
              <w:bottom w:val="single" w:sz="8" w:color="auto"/>
              <w:right w:val="single" w:sz="8" w:color="auto"/>
            </w:tcBorders>
            <w:shd w:val="clear" w:color="auto" w:fill="E0E0E0"/>
          </w:tcPr>
          <w:p>
            <w:pPr>
              <w:ind w:left="1700"/>
              <w:spacing w:after="0"/>
              <w:rPr>
                <w:sz w:val="20"/>
                <w:szCs w:val="20"/>
                <w:color w:val="auto"/>
              </w:rPr>
            </w:pPr>
            <w:r>
              <w:rPr>
                <w:rFonts w:ascii="Arial" w:cs="Arial" w:eastAsia="Arial" w:hAnsi="Arial"/>
                <w:sz w:val="18"/>
                <w:szCs w:val="18"/>
                <w:b w:val="1"/>
                <w:bCs w:val="1"/>
                <w:color w:val="auto"/>
              </w:rPr>
              <w:t>Aggregate Sum Insured For All Vessels in our Existing Fleet*</w:t>
            </w:r>
          </w:p>
        </w:tc>
      </w:tr>
      <w:tr>
        <w:trPr>
          <w:trHeight w:val="216"/>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18"/>
                <w:szCs w:val="18"/>
                <w:color w:val="auto"/>
              </w:rPr>
            </w:pPr>
          </w:p>
        </w:tc>
      </w:tr>
      <w:tr>
        <w:trPr>
          <w:trHeight w:val="201"/>
        </w:trPr>
        <w:tc>
          <w:tcPr>
            <w:tcW w:w="4180" w:type="dxa"/>
            <w:vAlign w:val="bottom"/>
            <w:tcBorders>
              <w:lef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Hull and Machinery</w:t>
            </w:r>
          </w:p>
        </w:tc>
        <w:tc>
          <w:tcPr>
            <w:tcW w:w="7240" w:type="dxa"/>
            <w:vAlign w:val="bottom"/>
            <w:tcBorders>
              <w:right w:val="single" w:sz="8" w:color="auto"/>
            </w:tcBorders>
            <w:shd w:val="clear" w:color="auto" w:fill="CCEEFF"/>
          </w:tcPr>
          <w:p>
            <w:pPr>
              <w:ind w:left="860"/>
              <w:spacing w:after="0" w:line="201" w:lineRule="exact"/>
              <w:rPr>
                <w:sz w:val="20"/>
                <w:szCs w:val="20"/>
                <w:color w:val="auto"/>
              </w:rPr>
            </w:pPr>
            <w:r>
              <w:rPr>
                <w:rFonts w:ascii="Arial" w:cs="Arial" w:eastAsia="Arial" w:hAnsi="Arial"/>
                <w:sz w:val="18"/>
                <w:szCs w:val="18"/>
                <w:color w:val="auto"/>
                <w:w w:val="99"/>
              </w:rPr>
              <w:t>$819.24 million (increased value insurance (including excess liabilities) provides</w:t>
            </w:r>
          </w:p>
        </w:tc>
      </w:tr>
      <w:tr>
        <w:trPr>
          <w:trHeight w:val="230"/>
        </w:trPr>
        <w:tc>
          <w:tcPr>
            <w:tcW w:w="4180" w:type="dxa"/>
            <w:vAlign w:val="bottom"/>
            <w:tcBorders>
              <w:left w:val="single" w:sz="8" w:color="auto"/>
            </w:tcBorders>
            <w:shd w:val="clear" w:color="auto" w:fill="CCEEFF"/>
          </w:tcPr>
          <w:p>
            <w:pPr>
              <w:spacing w:after="0"/>
              <w:rPr>
                <w:sz w:val="20"/>
                <w:szCs w:val="20"/>
                <w:color w:val="auto"/>
              </w:rPr>
            </w:pPr>
          </w:p>
        </w:tc>
        <w:tc>
          <w:tcPr>
            <w:tcW w:w="7240" w:type="dxa"/>
            <w:vAlign w:val="bottom"/>
            <w:tcBorders>
              <w:right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additional coverage).</w:t>
            </w:r>
          </w:p>
        </w:tc>
      </w:tr>
      <w:tr>
        <w:trPr>
          <w:trHeight w:val="216"/>
        </w:trPr>
        <w:tc>
          <w:tcPr>
            <w:tcW w:w="41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Increased Value (including Excess Liabilities)</w:t>
            </w:r>
          </w:p>
        </w:tc>
        <w:tc>
          <w:tcPr>
            <w:tcW w:w="72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Up to $335.6 million additional coverage in total.</w:t>
            </w:r>
          </w:p>
        </w:tc>
      </w:tr>
      <w:tr>
        <w:trPr>
          <w:trHeight w:val="216"/>
        </w:trPr>
        <w:tc>
          <w:tcPr>
            <w:tcW w:w="41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Protection and Indemnity (P&amp;I)</w:t>
            </w:r>
          </w:p>
        </w:tc>
        <w:tc>
          <w:tcPr>
            <w:tcW w:w="7240" w:type="dxa"/>
            <w:vAlign w:val="bottom"/>
            <w:tcBorders>
              <w:right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Pollution liability claims: limited to $1.0 billion per vessel per incident.</w:t>
            </w:r>
          </w:p>
        </w:tc>
      </w:tr>
      <w:tr>
        <w:trPr>
          <w:trHeight w:val="216"/>
        </w:trPr>
        <w:tc>
          <w:tcPr>
            <w:tcW w:w="41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War Risk</w:t>
            </w:r>
          </w:p>
        </w:tc>
        <w:tc>
          <w:tcPr>
            <w:tcW w:w="72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$1.2 billion</w:t>
            </w:r>
          </w:p>
        </w:tc>
      </w:tr>
    </w:tbl>
    <w:p>
      <w:pPr>
        <w:jc w:val="both"/>
        <w:ind w:firstLine="647"/>
        <w:spacing w:after="0" w:line="260" w:lineRule="auto"/>
        <w:rPr>
          <w:sz w:val="20"/>
          <w:szCs w:val="20"/>
          <w:color w:val="auto"/>
        </w:rPr>
      </w:pPr>
      <w:r>
        <w:rPr>
          <w:rFonts w:ascii="Arial" w:cs="Arial" w:eastAsia="Arial" w:hAnsi="Arial"/>
          <w:sz w:val="18"/>
          <w:szCs w:val="18"/>
          <w:color w:val="auto"/>
        </w:rPr>
        <w:t>*Certain of our bareboat charterers are responsible for the insurance on the vessels. The values attributed to those vessels are in line with the values agreed in the relevant charters as augmented by separate insurances.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Product Tanker Industry</w:t>
      </w:r>
    </w:p>
    <w:p>
      <w:pPr>
        <w:spacing w:after="0" w:line="283"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The international seaborne transportation industry represents the most cost effective method of transporting large volumes of crude oil and refined petroleum products. The seaborne movement of refined petroleum products between regions addresses demand and supply imbalances for such products caused by the lack of resources or refining capacity in consuming countries. Global demand for the shipping of refined products and crude oil has grown historically at a faster rate than the demand for the refined products and the crude oil themselves. The demand for product and crude oil tankers is cyclical and a function of several factors, including the general strength of the economy, location of oil production and the distance from refineries as well as refining and consumption and world oil demand and supply. According to the Energy Information Administration (the “EIA”), global oil product demand has been revised downwards and is expected to decline by 1.6% in 2009 averaging at 84.3 mbd. The EIA expects 2010 oil demand to grow by 1.0% to 85.1 mbd. Due to increasing environmental restrictions on the building of refineries in the countries that belong to the Organization for Economic Co-operation and Development (the “OECD”), additional refineries are expected to continue to be built at locations far from such points of consumption, resulting in refined product tankers being required to travel longer distances on each voyage. The refining industry may respond to the economic downturn and demand weakness, by reducing or cancelling operating rates and by reducing plans for certain investment expansion plans, including additional refining capacity. The worldwide financial and economic downturn may adversely affect demand for tankers, due to the expected contraction in crude oil and oil product demand.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We operate in a highly fragmented, highly diversified global market with many charterers, owners and operators of vessels. Competition for charters can be intense and depends on price as well as on the location, size, age, condition and acceptability of the vessel and its operator to the charterer and is frequently tied to having an available vessel which has met the strict operational and financial standards established by oil majors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However, we believe the young age of our fleet which is one of the youngest in the industry, the high specifications of our vessels, including the ability of most of our vessels to transport refined oil products and certain chemicals, and the fact that 16 of our 18 charter contracts will expire on or after January 2010 (the date at which all single-hull tankers are due to be phased out under IMO regulations) when the number of vessels available for rehire will have decreased, position us well to recharter our vessels. In addition, Capital Maritime is among a small number of ship management companies that has undergone and successfully completed audits by six major international oil companies in the last few years, including audits with BP p.l.c., Royal Dutch Shell plc, StatoilHydro ASA, Chevron Corporation, ExxonMobil Corporation and Total S.A. We believe our ability to comply with the rigorous and comprehensive standards of major oil companies relative to less qualified or experienced operators allows us to compete effectively for new charters.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General</w:t>
      </w:r>
    </w:p>
    <w:p>
      <w:pPr>
        <w:spacing w:after="0" w:line="279"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Our operations and our status as an operator and manager of ships are significantly regulated by international conventions, (i.e. SOLAS, MARPOL), Class requirements, U.S. federal, state and local and foreign health, safety and environmental protection laws and regulations, including OPA 90, the Comprehensive Environmental Response, Compensation, and Liability Act (“CERCLA”), the U.S. Port and Tanker Safety Act, the Act to Prevent Pollution from Ships, the U.S. Clean Air Act (“Clean Air Act”), as well as regulations adopted by the IMO and the European Union, various volatile organic compound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certain operating procedures.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are also required by various other governmental and quasi-governmental agencies to obtain permits, licenses and certificates for our vessels, depending upon such factors as the country of registry, the commodity transported, the waters in which the vessel operates,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240"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and safety requirements on all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22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vessels operate in full compliance with applicable environmental laws and regulations. However, because such laws and regulations frequently change and may impose increasingly strict requirements, we cannot predict the ultimate cost of complying with these and any future requirements or the impact of these and any future requirements on the resale value or useful lives of our vessels.</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United States Requirements</w:t>
      </w:r>
    </w:p>
    <w:p>
      <w:pPr>
        <w:spacing w:after="0" w:line="27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United States regulates the tanker industry with an extensive regulatory and liability regime for environmental protection and the cleanup of oil spills, primarily through OPA 90 and CERCLA.</w:t>
      </w:r>
    </w:p>
    <w:p>
      <w:pPr>
        <w:spacing w:after="0" w:line="224"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OPA 90 affects all vessel owners and operators shipping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economic loss without physical damage to property, arising from oil spills and pollution from their vessels. OPA 90 limits liability to the greater of $1,900 per gross ton or $16.0 million per tanker that is over 3,000 gross tons (subject to possible adjustment for inflation), unless the incident was caused by gross negligence, willful misconduct, or a violation of certain regulations, in which case liability was unlimited. In addition, OPA 90 does not preempt state law and permits individual states to impose their own liability regimes with regard to oil pollution incidents occurring within their boundaries. Coastal states have enacted pollution prevention, liability and response laws, many providing for unlimited liability. CERCLA, which applies to the discharge of hazardous substances (other than oil) whether on land or at sea, contains a similar liability regime and provides for cleanup, removal and natural resource damages. Liability under CERCLA is limited to the greater of $300 per gross ton or $0.5 million, unless the incident is caused by gross negligence, willful misconduct, or a violation of certain regulations, in which case liability is unlimited.</w:t>
      </w:r>
    </w:p>
    <w:p>
      <w:pPr>
        <w:spacing w:after="0" w:line="23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of $2,200 per gross ton for tankers, combining the previous OPA 90 limitation of liability of $1,900 per gross ton with the CERCLA liability of $300 per gross ton. Under the regulations, owners or operators of fleets of vessels are required to demonstrate evidence of financial responsibility for each covered tanker up to the maximum aggregate liability under OPA 90 and CERCLA. All of our vessels that need COFRs have them.</w:t>
      </w:r>
    </w:p>
    <w:p>
      <w:pPr>
        <w:spacing w:after="0" w:line="245"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if contracted after June 30, 1990 or delivered after January 1, 1994. Furthermore, OPA 90 calls for the phase-out of all single hull tankers by the year 2015 according to a schedule that is based on the size and age of the vessel, unless the tankers are retrofitted with double-hulls. All of the vessels in our fleet have double hulls.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are in compliance with OPA 90, CERCLA and all applicable state regulations in U.S. ports where our vessels call.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867"/>
        <w:spacing w:after="0" w:line="268" w:lineRule="auto"/>
        <w:rPr>
          <w:sz w:val="20"/>
          <w:szCs w:val="20"/>
          <w:color w:val="auto"/>
        </w:rPr>
      </w:pPr>
      <w:r>
        <w:rPr>
          <w:rFonts w:ascii="Arial" w:cs="Arial" w:eastAsia="Arial" w:hAnsi="Arial"/>
          <w:sz w:val="17"/>
          <w:szCs w:val="17"/>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and drills for shore and response personnel and for vessels and their crews are required. Our vessel response plans have been approved by the U.S. Coast Guard.The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the more recent OPA 90 and CERCLA, discussed herein. The U.S. Environmental Protection Agency (the “EPA”) had exempted the discharge of ballast water and other substances incidental to the normal operation of vessels in U.S. ports from Clean Water Act permitting requirements. However, on March 30, 2005, a U.S. District Court ruled that the EPA exceeded its authority in creating an exemption for ballast water. On September 18, 2006, the court issued an order invalidating the exemption in the EPA’s regulations for all discharges incidental to the normal operation of a vessel as of September 30, 2008, and directing the EPA to develop a system for regulating all discharges from vessels by that date. The District Court's decision was affirmed by the Ninth Circuit Court of Appeals on July 23, 2008.</w:t>
      </w:r>
    </w:p>
    <w:p>
      <w:pPr>
        <w:spacing w:after="0" w:line="240" w:lineRule="exact"/>
        <w:rPr>
          <w:sz w:val="20"/>
          <w:szCs w:val="20"/>
          <w:color w:val="auto"/>
        </w:rPr>
      </w:pPr>
    </w:p>
    <w:p>
      <w:pPr>
        <w:jc w:val="both"/>
        <w:ind w:firstLine="725"/>
        <w:spacing w:after="0" w:line="269" w:lineRule="auto"/>
        <w:rPr>
          <w:sz w:val="20"/>
          <w:szCs w:val="20"/>
          <w:color w:val="auto"/>
        </w:rPr>
      </w:pPr>
      <w:r>
        <w:rPr>
          <w:rFonts w:ascii="Arial" w:cs="Arial" w:eastAsia="Arial" w:hAnsi="Arial"/>
          <w:sz w:val="17"/>
          <w:szCs w:val="17"/>
          <w:color w:val="auto"/>
        </w:rPr>
        <w:t>In June 2008, the EPA proposed rules governing the regulation of ballast water discharges and other discharges incidental to the normal operation of vessels. Under the proposed rules, commercial vessels would be required to obtain a Clean Water Act permit regulating such discharges. The permit, which was finalized by the EPA in December 2008, incorporates current U.S. Coast Guard requirements for ballast water management as well as supplemental ballast water requirements, and provides technology-based and water-quality based limits for other discharges, such as deck runoff, bilge water and gray water. Administrative provisions, such as monitoring, recordkeeping and reporting requirements, are also included. Various states, such as Michigan and California, have also enacted, or proposed, legislation restricting ballast water discharges and the introduction of non-indigenous species considered to be invasive. These and any similar restrictions enacted in the future could include ballast water treatment obligations that could increase the cost of operating in the United States. For example, this could require the installation of equipment on our vessels to treat ballast water before it is discharged or the implementation of other port facility disposal arrangements or procedures at potentially substantial cost and/or otherwise restrict our vessels from entering certain U.S. waters.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and other air contaminants. In December 2007, the EPA issued an Advance Notice of Proposed Rulemaking indicating its plan to propose more stringent federal emission standards for new Category 3 marine diesel engines. The standards under consideration are consistent with the 2008 Amendments to Annex VI of MARPOL, as discussed herein. The Act also requires states to draft State Implementation Plans (“SIPs”) designed to attain national health-based air quality standards in primarily major metropolitan and/or industrial areas. Several SIPs regulate emissions resulting from vessel loading and unloading operations by requiring the installation of vapor control equipment. Individual states, including California, have also attempted to regulate vessel emissions within state waters. New or more stringent federal or state air emission regulations could require significant capital expenditures to retrofit vessels and could otherwise increase our operating costs.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292" w:lineRule="exact"/>
        <w:rPr>
          <w:sz w:val="20"/>
          <w:szCs w:val="20"/>
          <w:color w:val="auto"/>
        </w:rPr>
      </w:pPr>
    </w:p>
    <w:p>
      <w:pPr>
        <w:jc w:val="both"/>
        <w:ind w:firstLine="647"/>
        <w:spacing w:after="0" w:line="292" w:lineRule="auto"/>
        <w:rPr>
          <w:sz w:val="20"/>
          <w:szCs w:val="20"/>
          <w:color w:val="auto"/>
        </w:rPr>
      </w:pPr>
      <w:r>
        <w:rPr>
          <w:rFonts w:ascii="Arial" w:cs="Arial" w:eastAsia="Arial" w:hAnsi="Arial"/>
          <w:sz w:val="17"/>
          <w:szCs w:val="17"/>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which became effective in May 2005, sets limits on sulphur oxide and nitrogen oxide emissions from ship exhausts and prohibits deliberate emissions of ozone depleting substances, such as chlorofluorocarbons. Annex VI also includes a global cap on the sulphur content of fuel oil and allows for special areas to be established with more stringent controls on sulphur emissions. At its 58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session in October 2008, the MEPC voted unanimously to adopt amendments to Annex VI to the MARPOL, regarding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from January 1, 2020, subject to a feasibility review to be completed no later than 2018; and (ii) establishing new tiers of stringent nitrogen oxide emissions standards for new marine engines, depending on their date of installation. These amendments to Annex VI are expected to enter into force on July 1, 2010, which is six months after the deemed acceptance date of January 1, 2010. Once these amendments become effective, we may incur costs to comply with these revised standards. A failure to comply with Annex VI requirements could result in a vessel not being able to operate.</w:t>
      </w:r>
    </w:p>
    <w:p>
      <w:pPr>
        <w:spacing w:after="0" w:line="23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All of our vessels are subject to Annex VI regulations. We believe that our existing vessels meet relevant Annex VI requirements and that our undelivered product tankers will be fitted with these emission control systems prior to their delivery.</w:t>
      </w:r>
    </w:p>
    <w:p>
      <w:pPr>
        <w:spacing w:after="0" w:line="22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 going vessels are ISM certified.</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202"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an amendment to the Protocol that became effective on November 1, 2003, for vessels of 5,000 to 140,000 gross tons, liability will be limited to approximately $6.7 million plus $940.0 for each additional gross ton over 5,000. For vessels of over 140,000 gross tons, liability will be limited to approximately $134.0 million. As the convention calculates liability in terms of a basket of currencies, these figures are based on currency exchange rates on January 30, 2009.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under the plan adopted by the IMO.</w:t>
      </w:r>
    </w:p>
    <w:p>
      <w:pPr>
        <w:spacing w:after="0" w:line="238"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201"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missing such data, it is possible that the bulk carriage of such products will be prohibited.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Greenhouse Gas Regulation</w:t>
      </w:r>
    </w:p>
    <w:p>
      <w:pPr>
        <w:spacing w:after="0" w:line="279"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In February 2005, the Kyoto Protocol to the United Nations Framework Convention on Climate Change, or Kyoto Protocol, entered into force. Pursuant to the Kyoto Protocol, adopting countries are required to implement national programs to reduce emissions of certain gases, generally referred to as greenhouse gases, which are suspected of contributing to global warming. Currently, the emissions of greenhouse gases from international shipping are not subject to the Kyoto Protocol. However, the European Union has indicated that it intends to propose an expansion of the existing European Union emissions trading scheme to include emissions of greenhouse gases from vessels. In the United States, the California Attorney General and a coalition of environmental groups in October 2007 petitioned the EPA to regulate greenhouse gas emissions from ocean-going vessels under the U.S. Clean Air Act. Any passage of climate control legislation or other regulatory initiatives by the IMO, European Union or individual countries where we operate that restrict emissions of greenhouse gases could have a financial impact on our operations that we cannot predict with certainty at this time.</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24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spacing w:after="0" w:line="237" w:lineRule="exact"/>
        <w:rPr>
          <w:sz w:val="20"/>
          <w:szCs w:val="20"/>
          <w:color w:val="auto"/>
        </w:rPr>
      </w:pPr>
    </w:p>
    <w:p>
      <w:pPr>
        <w:ind w:left="980" w:hanging="32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on-board installation of automatic identification systems to enhance vessel-to-vessel and vessel-to-shore communications;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hanging="32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 w:lineRule="exact"/>
        <w:rPr>
          <w:rFonts w:ascii="Arial" w:cs="Arial" w:eastAsia="Arial" w:hAnsi="Arial"/>
          <w:sz w:val="18"/>
          <w:szCs w:val="18"/>
          <w:color w:val="auto"/>
        </w:rPr>
      </w:pPr>
    </w:p>
    <w:p>
      <w:pPr>
        <w:ind w:left="980" w:hanging="32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8" w:lineRule="exact"/>
        <w:rPr>
          <w:rFonts w:ascii="Arial" w:cs="Arial" w:eastAsia="Arial" w:hAnsi="Arial"/>
          <w:sz w:val="18"/>
          <w:szCs w:val="18"/>
          <w:color w:val="auto"/>
        </w:rPr>
      </w:pPr>
    </w:p>
    <w:p>
      <w:pPr>
        <w:ind w:left="980" w:hanging="32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64"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61455" cy="5156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1455" cy="515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Exhibit 8.1 to this Annual Report for a list of our significant subsidiaries as of December 31,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our vessels, we do not have any material property.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8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audited consolidated and combined Financial Statements for the years ended December 31, 2008, 2007 and 2006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are an international owner of product tankers formed in January 2007 by Capital Maritime, an international shipping company with a long history of operating and investing in the shipping market. Our fleet currently consists of 18 double-hull, high specification tankers with an average age of approximately 3.0 years as of February 28, 2009. Eight of our vessels were transferred to us by Capital Maritime at the time of our IPO in April 2007. Concurrently with the IPO, we also agreed to purchase an additional seven newbuildings from Capital Maritime at fixed prices which were delivered during 2007 and 2008. We have also acquired three additional vessels from Capital Maritime which we had not agreed to purchase at the time of our IPO. Two of these vessels were purchased in part by issuing equity to Capital Maritime. As of February 28, 2009, Capital Maritime owned a 46.6% interest in us, including 11,304,651 common units and a 2% interest in us through its ownership of our general partner.</w:t>
      </w:r>
    </w:p>
    <w:p>
      <w:pPr>
        <w:spacing w:after="0" w:line="230" w:lineRule="exact"/>
        <w:rPr>
          <w:sz w:val="20"/>
          <w:szCs w:val="20"/>
          <w:color w:val="auto"/>
        </w:rPr>
      </w:pPr>
    </w:p>
    <w:p>
      <w:pPr>
        <w:jc w:val="both"/>
        <w:ind w:right="20" w:firstLine="647"/>
        <w:spacing w:after="0" w:line="270" w:lineRule="auto"/>
        <w:rPr>
          <w:sz w:val="20"/>
          <w:szCs w:val="20"/>
          <w:color w:val="auto"/>
        </w:rPr>
      </w:pPr>
      <w:r>
        <w:rPr>
          <w:rFonts w:ascii="Arial" w:cs="Arial" w:eastAsia="Arial" w:hAnsi="Arial"/>
          <w:sz w:val="17"/>
          <w:szCs w:val="17"/>
          <w:color w:val="auto"/>
        </w:rPr>
        <w:t>Notwithstanding the current severe economic downturn the duration and long term effects of which it is not possible to predict, our primary business objective remains to provide our unitholders with steadily rising distributions per unit over the long-term, subject to shipping, charter and financial market developments. Our growth strategy focuses on maintaining and growing our cash flows, continuing to grow our product tanker fleet and maintaining and building on our ability to meet rigorous industry and regulatory safety standards. We believe that the combination of the medium to long-term nature of our charters and our agreement with Capital Ship Management for the commercial and technical management of our vessels, which provides for a fixed management fee for an initial term of approximately five years from when we take delivery of each vessel, will provide us with a strong base of stable cash flows in the medium term. We intend to continue to make strategic acquisitions and leverage the expertise and reputation of Capital Maritime in a prudent manner that is accretive to our unitholders and to long-term distribution growth subject to approval of our board of directors and overall market conditions. Please also read “—Factors Affecting our Future Results of Operations”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Initial Public Offering</w:t>
      </w:r>
    </w:p>
    <w:p>
      <w:pPr>
        <w:spacing w:after="0" w:line="27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On April 3, 2007, we completed our IPO on the Nasdaq Global Market of 13,512,500 common units at a price of $21.50 per unit which included 1,762,500 common units issued to the underwriters in connection with the exercise of their over-allotment option. In connection wit the IPO 8,805,522 subordinated units were issued to Capital Maritime and 455,470 general partner units were issued to Capital GP L.L.C., our general partner, a wholly owned subsidiary of Capital Maritime. The net proceeds from the IPO were approximately $270.5 million, including the proceeds from the exercise of the over-allotment option by the underwriters. We did not receive any proceeds from the sale of our common units. Capital Maritime used part of the proceeds from our IPO to repay the debt on the eight vessels that made up our fleet at the time of the IPO and concurrently transferred its interest in the vessel-owning companies of these eight vessels to us. Capital Maritime also paid the offering expenses, underwriting discounts, selling commissions and brokerage fees incurred in connection with the IPO. As of December 31, 2007, Capital Maritime owned a 40.7% interest in us, including a 2% interest through its ownership of our general partner. For the year ended December 31, 2008, Capital Maritime owned a 46.6% interest in us, including a 2% interest through its ownership of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Non-Contracted Vessel Acquisitions</w:t>
      </w:r>
    </w:p>
    <w:p>
      <w:pPr>
        <w:spacing w:after="0" w:line="279" w:lineRule="exact"/>
        <w:rPr>
          <w:sz w:val="20"/>
          <w:szCs w:val="20"/>
          <w:color w:val="auto"/>
        </w:rPr>
      </w:pPr>
    </w:p>
    <w:p>
      <w:pPr>
        <w:jc w:val="both"/>
        <w:ind w:right="20" w:firstLine="647"/>
        <w:spacing w:after="0" w:line="268" w:lineRule="auto"/>
        <w:rPr>
          <w:sz w:val="20"/>
          <w:szCs w:val="20"/>
          <w:color w:val="auto"/>
        </w:rPr>
      </w:pPr>
      <w:r>
        <w:rPr>
          <w:rFonts w:ascii="Arial" w:cs="Arial" w:eastAsia="Arial" w:hAnsi="Arial"/>
          <w:sz w:val="17"/>
          <w:szCs w:val="17"/>
          <w:color w:val="auto"/>
        </w:rPr>
        <w:t>In March and April 2008 we purchased the M/T Amore Mio II, a 160,000 dwt, 2001 built tanker, and the M/T Aristofanis, 12,000 dwt, 2005 built product tanker sister vessel to the M/T Attikos, from Capital Maritime. The aggregate purchase price for the M/T Amore Mio II was $95.0 million and for the M/T Aristofanis $23.0 million under the terms of the relevant share purchase agreement with Capital Maritime. We funded a portion of the purchase price of the vessels through the issuance of 2,048,823 and 501,308 common units to Capital Maritime, respectively, at a price of $22.94 per unit, which was the weighted average unit price for the period from October 15, 2007 to February 15, 2008, and the remainder through the incurrence of $57.5 million of debt under our new credit facility and $2.0 million in cash. We had previously acquired the M/T Attikos, a 12,000 dwt, 2005 built product tanker, in September 2007 from Capital Maritime at a purchase price of $23.0 million. Please see “Item 4B: Business Overview—Our Fleet” for more information regarding the charters and counterparties associated with these vessels, “Item 7B: Related Party Transactions” for a description of the terms of such purchases and “Item 5B: Operating and Financial Review and Prospects—Liquidity and Capital Resources—Net Cash Used in Investing Activities” and Note 1 (Basis of Presentation and General Information) to our Financial Statements included herein for more information regarding these acquisitions, including a detailed explanation of how they were accounted for. These transactions were unanimously approved by our board of directors following approval by the conflicts committee of independent directors. Following these acquisitions Capital Maritime owned a 46.6% interest in us, including its 2% interest through its ownership of our general partner.</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Statement on Form F-3</w:t>
      </w:r>
    </w:p>
    <w:p>
      <w:pPr>
        <w:spacing w:after="0" w:line="279" w:lineRule="exact"/>
        <w:rPr>
          <w:sz w:val="20"/>
          <w:szCs w:val="20"/>
          <w:color w:val="auto"/>
        </w:rPr>
      </w:pPr>
    </w:p>
    <w:p>
      <w:pPr>
        <w:jc w:val="both"/>
        <w:ind w:right="20" w:firstLine="647"/>
        <w:spacing w:after="0" w:line="256" w:lineRule="auto"/>
        <w:rPr>
          <w:sz w:val="20"/>
          <w:szCs w:val="20"/>
          <w:color w:val="auto"/>
        </w:rPr>
      </w:pPr>
      <w:r>
        <w:rPr>
          <w:rFonts w:ascii="Arial" w:cs="Arial" w:eastAsia="Arial" w:hAnsi="Arial"/>
          <w:sz w:val="18"/>
          <w:szCs w:val="18"/>
          <w:color w:val="auto"/>
        </w:rPr>
        <w:t>On August 29, 2008, we filed a registration statement on Form F-3 with the SEC using a “shelf” registration process. Under this shelf registration process, we may sell, in one or more offerings, up to $300.0 million in total aggregate offering price of the common units, and Capital Maritime may sell up to 11,304,651 common units (including 8,805,522 common units issuable upon conversion of the subordinated units). On February 14, 2009, the 8,805,522 subordinated units converted on a one-for-one basis to common units in accordance with the terms of our partnership agreement. To date, no securities have been offered under the shelf registration process.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Termination of Subordination – Conversion of Subordinated Units</w:t>
      </w:r>
    </w:p>
    <w:p>
      <w:pPr>
        <w:spacing w:after="0" w:line="279"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This exceptional distribution was funded from operating surplus and through a decrease in existing reserves. Payment of the exceptional distribution was made on February 13, 2009 to unitholders of record on February 10, 2009. Following such automatic conversion as of February 14, 2009, Capital Maritime owns a 46.6% interest in us, including 11,304,651 common units and a 2% interest through its ownership of our general partner, and may significantly impact any vote under the terms of the partnership agreement. The common units owned by Capital Maritime have the same rights as our other outstanding common units.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Additional Vessels</w:t>
      </w:r>
    </w:p>
    <w:p>
      <w:pPr>
        <w:spacing w:after="0" w:line="27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Pursuant to our omnibus agreement with Capital Maritime, we have been granted a right of first offer for any MR tankers in its fleet under charter for two or more years giving us the opportunity to purchase up to an additional six vessels from Capital Maritime if they are fixed under charters of two or more years. Capital Maritime also owns or has on order a number of modern</w:t>
      </w:r>
      <w:r>
        <w:rPr>
          <w:rFonts w:ascii="Arial" w:cs="Arial" w:eastAsia="Arial" w:hAnsi="Arial"/>
          <w:sz w:val="17"/>
          <w:szCs w:val="17"/>
          <w:b w:val="1"/>
          <w:bCs w:val="1"/>
          <w:color w:val="auto"/>
        </w:rPr>
        <w:t>,</w:t>
      </w:r>
      <w:r>
        <w:rPr>
          <w:rFonts w:ascii="Arial" w:cs="Arial" w:eastAsia="Arial" w:hAnsi="Arial"/>
          <w:sz w:val="17"/>
          <w:szCs w:val="17"/>
          <w:color w:val="auto"/>
        </w:rPr>
        <w:t xml:space="preserve"> double-hull, product and crude oil tankers of different sizes which we may potentially acquire in the event those vessels were fixed under charters of two or more years. Furthermore, we will continue to evaluate opportunities to acquire both newbuildings and second-hand vessels from Capital Maritime and from third parties as we seek to grow our fleet. Please see “Item 7B: Related Party Transactions” for a detailed description of our omnibus agreement with Capital Maritime.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279"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We generate revenues by charging our customers for the use of our vessels to transport their products. Historically, we have provided services to our customers under time or bareboat charter agreements. Currently, all of the vessels in our fleet are under medium to long-term time or bareboat charters with an average remaining term of approximately 4.3 years as of February 28, 2009. For the year ending December 31, 2009, 97% of our charter revenues are fixed with only two of our 18 charter contracts scheduled to expire prior to January 2010. In addition, of our 12 time charters, 10 contain profit-sharing arrangements. We may in the future operate vessels in the spot market until the vessels have been chartered under appropriate medium to long-term charters.</w:t>
      </w:r>
    </w:p>
    <w:p>
      <w:pPr>
        <w:spacing w:after="0" w:line="214"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All of our vessels are under charter contracts with BP Shipping Limited, Morgan Stanley Capital Group Inc., Trafigura Beheer B.V., Shell International Trading &amp; Shipping Company Ltd. and subsidiaries of Overseas Shipholding Group Inc. For the year ended December 31, 2008, BP Shipping Limited and Morgan Stanley Capital Group Inc. accounted for 54% and 33% of our revenues, respectively. For the year ended December 31, 2007, these customers accounted for 58% and 24% of our revenues, respectively. For the year ended December 31, 2006, BP Shipping Limited, Canterbury Tankers Inc., Shell International Trading &amp; Shipping Company Ltd, and Morgan Stanley Capital Group Inc. accounted for 42%, 20%, 20% and 18% of our revenues, respectively. In the future, as our fleet expands, we also expect to enter into charters with new charterers in order to maintain a portfolio that is diverse from a customer, geographic and maturity perspective.</w:t>
      </w:r>
    </w:p>
    <w:p>
      <w:pPr>
        <w:spacing w:after="0" w:line="24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Please read “Item 4B: Business Overview—Our Fleet”, “Item 4B: Business Overview—Our Charters” and “Item 4B: Business Overview—Profit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Deliveries of Vessels</w:t>
      </w:r>
    </w:p>
    <w:p>
      <w:pPr>
        <w:spacing w:after="0" w:line="27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All vessels we acquire or have acquired from Capital Maritime are or were transferred to us at historical cost and accounted for as a combination of entities under common control or a transfer of assets between entities under common control. All assets, liabilities and equity, other than the relevant vessel, related charter agreement and related permits, of these vessels’ ship-owning companies were retained by Capital Maritime. In addition, for vessel-owning companies that had an operating history prior to such acquisition, transfers of equity interests between entities under common control were accounted for as if the transfer occurred at the beginning of the period, and prior years were retroactively adjusted to furnish comparative information similar to the pooling method.</w:t>
      </w:r>
    </w:p>
    <w:p>
      <w:pPr>
        <w:spacing w:after="0" w:line="245" w:lineRule="exact"/>
        <w:rPr>
          <w:sz w:val="20"/>
          <w:szCs w:val="20"/>
          <w:color w:val="auto"/>
        </w:rPr>
      </w:pPr>
    </w:p>
    <w:p>
      <w:pPr>
        <w:jc w:val="both"/>
        <w:ind w:firstLine="731"/>
        <w:spacing w:after="0" w:line="277" w:lineRule="auto"/>
        <w:rPr>
          <w:sz w:val="20"/>
          <w:szCs w:val="20"/>
          <w:color w:val="auto"/>
        </w:rPr>
      </w:pPr>
      <w:r>
        <w:rPr>
          <w:rFonts w:ascii="Arial" w:cs="Arial" w:eastAsia="Arial" w:hAnsi="Arial"/>
          <w:sz w:val="18"/>
          <w:szCs w:val="18"/>
          <w:color w:val="auto"/>
        </w:rPr>
        <w:t>For detailed information on how we have accounted for specific transfers of vessels please see Note 1 (Basis of Presentation and General Information) to our Financial Statements included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Results of Operations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commenced operations as an independent entity on April 4, 2007, at which time Capital Maritime transferred its interest in eight vessel-owning companies to us. Our historical results are not necessarily indicative of the results that may be expected in the future. Specifically, our Financial Statements for the year ended December 31, 2006 and December 31, 2007, are not comparable. The completion of our IPO and certain other transactions that occurred during 2007 and 2008, including the delivery of seven newbuildings, the acquisition of the M/T Attikos, the M/T Amore Mio II and the M/T Aristofanis, the new charters our vessels entered into, the agreement we entered into with Capital Ship Management for the provision of management and administrative services to our fleet for a fixed fee and certain financing and interest rate swap arrangements we entered into, have affected our results of operations. Furthermore, for the year ended December 31, 2006, only seven of the vessels in our current fleet had been delivered to Capital Maritime and only two were in operation for the full year.</w:t>
      </w: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more detail on the differences between our historical results and expected future results, please read “—Factors to Consider when Evaluating our Results” and “—Results of Operations”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We are currently facing a major global economic slowdown as well as a severe deterioration in the banking and credit world which is expected to negatively impact world trade and which may affect our ability to obtain financing as well as the values of our vessels . Other key factors that will be fundamental to our business, future financial condition and results of operations include:</w:t>
      </w:r>
    </w:p>
    <w:p>
      <w:pPr>
        <w:spacing w:after="0" w:line="245" w:lineRule="exact"/>
        <w:rPr>
          <w:sz w:val="20"/>
          <w:szCs w:val="20"/>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demand for seaborne transportation services;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charter hire levels and our ability to re-charter our vessels as their current charters expire;</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supply of product and crude oil tankers and specifically the number of newbuildings entering the world tanker fleet each year;</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278"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spacing w:after="0" w:line="223"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benefit from new maritime regulations concerning the phase-out of single-hull vessels and the more restrictive regulations for the transport of certain products and cargoes;</w:t>
      </w:r>
    </w:p>
    <w:p>
      <w:pPr>
        <w:spacing w:after="0" w:line="223"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asset value ratios;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278"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 and</w:t>
      </w:r>
    </w:p>
    <w:p>
      <w:pPr>
        <w:spacing w:after="0" w:line="223"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ectPr>
          <w:pgSz w:w="11900" w:h="16838" w:orient="portrait"/>
          <w:cols w:equalWidth="0" w:num="1">
            <w:col w:w="11420"/>
          </w:cols>
          <w:pgMar w:left="240" w:top="134" w:right="239" w:bottom="10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004"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factors discussed above, we believe certain specific factors have impacted, and will continue to impact, our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264" w:lineRule="exact"/>
        <w:rPr>
          <w:sz w:val="20"/>
          <w:szCs w:val="20"/>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charterhire earned by our vessels under time charters and bareboat charters;</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access to debt, and equity and the cost of such capital, required to acquire additional vessels and/or to implement our business strategy;</w:t>
      </w:r>
    </w:p>
    <w:p>
      <w:pPr>
        <w:spacing w:after="0" w:line="301" w:lineRule="exact"/>
        <w:rPr>
          <w:rFonts w:ascii="Arial" w:cs="Arial" w:eastAsia="Arial" w:hAnsi="Arial"/>
          <w:sz w:val="16"/>
          <w:szCs w:val="16"/>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sell vessels at prices we deem satisfactory;</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 and</w:t>
      </w:r>
    </w:p>
    <w:p>
      <w:pPr>
        <w:spacing w:after="0" w:line="278"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read “Risk Factors” above for a discussion of certain risks inherent in our business.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28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from any future period and our results for the year ended December 31, 2006, are not readily comparable to the results for the years ended December 31, 2007 and 2008. Specifically, it is important to consider the following factors when evaluating our results of operations:</w:t>
      </w:r>
    </w:p>
    <w:p>
      <w:pPr>
        <w:spacing w:after="0" w:line="237" w:lineRule="exact"/>
        <w:rPr>
          <w:sz w:val="20"/>
          <w:szCs w:val="20"/>
          <w:color w:val="auto"/>
        </w:rPr>
      </w:pPr>
    </w:p>
    <w:p>
      <w:pPr>
        <w:jc w:val="both"/>
        <w:ind w:left="980" w:hanging="325"/>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Our Financial Statements for the years ended December 31, 2008, 2007 and 2006 include the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numbers of vessels in each year and have been retroactively adjusted to reflect the results of operations of the M/T Attikos, the M/T Aristofanis and the M/T Amore Mio II as if they were owned by us for the entire period from their delivery to Capital Maritime on January 20, 2005, June 2, 2005 and July 31, 2007, respectively.</w:t>
      </w:r>
    </w:p>
    <w:p>
      <w:pPr>
        <w:spacing w:after="0" w:line="239" w:lineRule="exact"/>
        <w:rPr>
          <w:rFonts w:ascii="Arial" w:cs="Arial" w:eastAsia="Arial" w:hAnsi="Arial"/>
          <w:sz w:val="18"/>
          <w:szCs w:val="18"/>
          <w:color w:val="auto"/>
        </w:rPr>
      </w:pPr>
    </w:p>
    <w:p>
      <w:pPr>
        <w:jc w:val="both"/>
        <w:ind w:left="980" w:hanging="325"/>
        <w:spacing w:after="0" w:line="289"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Limited Operations</w:t>
      </w:r>
      <w:r>
        <w:rPr>
          <w:rFonts w:ascii="Arial" w:cs="Arial" w:eastAsia="Arial" w:hAnsi="Arial"/>
          <w:sz w:val="16"/>
          <w:szCs w:val="16"/>
          <w:color w:val="auto"/>
        </w:rPr>
        <w:t>. The results of operations and cash flows presented in our Financial Statements for the years ended December 31, 2006 and</w:t>
      </w:r>
      <w:r>
        <w:rPr>
          <w:rFonts w:ascii="Arial" w:cs="Arial" w:eastAsia="Arial" w:hAnsi="Arial"/>
          <w:sz w:val="16"/>
          <w:szCs w:val="16"/>
          <w:i w:val="1"/>
          <w:iCs w:val="1"/>
          <w:color w:val="auto"/>
        </w:rPr>
        <w:t xml:space="preserve"> </w:t>
      </w:r>
      <w:r>
        <w:rPr>
          <w:rFonts w:ascii="Arial" w:cs="Arial" w:eastAsia="Arial" w:hAnsi="Arial"/>
          <w:sz w:val="16"/>
          <w:szCs w:val="16"/>
          <w:color w:val="auto"/>
        </w:rPr>
        <w:t>2007, reflect operations of the vessels comprising our fleet as of December 31, 2008, which had been delivered during the relevant year (seven for the year ended December 31, 2006 and 15 for the year ended December 31, 2007). The Financial Statements for the year ended December 31, 2007 include operations of the M/T Attikos, the M/T Aristofanis and the five vessels from our initial fleet which had been delivered to Capital Maritime as of December 31, 2006. The remaining eight vessels which were acquired or delivered to us or to Capital Maritime between January and September 2007, including the M/T Amore Mio II, are included in our results of operations and cash flows only from their respective delivery dates. Our Financial Statements for the year ended December 31, 2006 include operations of five vessels which were in operation for only a part of the reporting period and the M/T Attikos and M/T Aristofanis which were in operation for the whole year. Please read “—Accounting for Deliveries of Vessels” above for a description of the financial treatment of vessel acquisitions.</w:t>
      </w:r>
    </w:p>
    <w:p>
      <w:pPr>
        <w:spacing w:after="0" w:line="218" w:lineRule="exact"/>
        <w:rPr>
          <w:rFonts w:ascii="Arial" w:cs="Arial" w:eastAsia="Arial" w:hAnsi="Arial"/>
          <w:sz w:val="16"/>
          <w:szCs w:val="16"/>
          <w:color w:val="auto"/>
        </w:rPr>
      </w:pPr>
    </w:p>
    <w:p>
      <w:pPr>
        <w:ind w:left="980" w:right="20" w:hanging="325"/>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Different Sources of Revenues</w:t>
      </w:r>
      <w:r>
        <w:rPr>
          <w:rFonts w:ascii="Arial" w:cs="Arial" w:eastAsia="Arial" w:hAnsi="Arial"/>
          <w:sz w:val="18"/>
          <w:szCs w:val="18"/>
          <w:color w:val="auto"/>
        </w:rPr>
        <w:t>. A portion of the revenues generated during the year ended December 31, 2006 and for the period ended April 3,</w:t>
      </w:r>
      <w:r>
        <w:rPr>
          <w:rFonts w:ascii="Arial" w:cs="Arial" w:eastAsia="Arial" w:hAnsi="Arial"/>
          <w:sz w:val="18"/>
          <w:szCs w:val="18"/>
          <w:i w:val="1"/>
          <w:iCs w:val="1"/>
          <w:color w:val="auto"/>
        </w:rPr>
        <w:t xml:space="preserve"> </w:t>
      </w:r>
      <w:r>
        <w:rPr>
          <w:rFonts w:ascii="Arial" w:cs="Arial" w:eastAsia="Arial" w:hAnsi="Arial"/>
          <w:sz w:val="18"/>
          <w:szCs w:val="18"/>
          <w:color w:val="auto"/>
        </w:rPr>
        <w:t>2007 was derived from charters with different terms than the charters that are currently in place.</w:t>
      </w:r>
    </w:p>
    <w:p>
      <w:pPr>
        <w:spacing w:after="0" w:line="223" w:lineRule="exact"/>
        <w:rPr>
          <w:rFonts w:ascii="Arial" w:cs="Arial" w:eastAsia="Arial" w:hAnsi="Arial"/>
          <w:sz w:val="18"/>
          <w:szCs w:val="18"/>
          <w:color w:val="auto"/>
        </w:rPr>
      </w:pPr>
    </w:p>
    <w:p>
      <w:pPr>
        <w:jc w:val="both"/>
        <w:ind w:left="980" w:hanging="325"/>
        <w:spacing w:after="0" w:line="287"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Different Structure of Operating Expenses</w:t>
      </w:r>
      <w:r>
        <w:rPr>
          <w:rFonts w:ascii="Arial" w:cs="Arial" w:eastAsia="Arial" w:hAnsi="Arial"/>
          <w:sz w:val="16"/>
          <w:szCs w:val="16"/>
          <w:color w:val="auto"/>
        </w:rPr>
        <w:t>. On April 3, 2007, we entered into a management agreement with Capital Ship Management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Capital Ship Management agreed to provide commercial and technical management services to us for an initial term of approximately five years from when we take delivery of each vessel. Under the agreement we pay Capital Ship Management a fixed daily fee of $5,500 per vessel (except for the M/T Amore Mio II for which we pay $8,500) for our time chartered vessels which covers vessel operating expenses, including crewing, repairs and maintenance, insurance and the cost of the next scheduled special/intermediate surveys for each vessel, and related drydocking, as applicable, and a fixed daily fee of $250 per bareboat chartered vessel. Capital Ship Management is also entitled to supplementary remuneration for extraordinary fees and costs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Operating expenses for any vessel in our fleet prior to its acquisition by us represent actual costs incurred by the vessel-owning subsidiaries and Capital Ship Management in the operation of the vessels that were operated as part of Capital Maritime’s fleet, including costs associated with any surveys undergone by vessels, including the relevant dry-docking.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left="980" w:hanging="325"/>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Different Structure of General and Administrative Expenses</w:t>
      </w:r>
      <w:r>
        <w:rPr>
          <w:rFonts w:ascii="Arial" w:cs="Arial" w:eastAsia="Arial" w:hAnsi="Arial"/>
          <w:sz w:val="18"/>
          <w:szCs w:val="18"/>
          <w:color w:val="auto"/>
        </w:rPr>
        <w:t>. Since our IPO we have incurred certain general and administrative expenses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limited partnership that we had not previously incurred. For the year ended December 31, 2006, we did not incur any similar general and administrative expenses.</w:t>
      </w:r>
    </w:p>
    <w:p>
      <w:pPr>
        <w:spacing w:after="0" w:line="236" w:lineRule="exact"/>
        <w:rPr>
          <w:rFonts w:ascii="Arial" w:cs="Arial" w:eastAsia="Arial" w:hAnsi="Arial"/>
          <w:sz w:val="18"/>
          <w:szCs w:val="18"/>
          <w:color w:val="auto"/>
        </w:rPr>
      </w:pPr>
    </w:p>
    <w:p>
      <w:pPr>
        <w:jc w:val="both"/>
        <w:ind w:left="980" w:hanging="325"/>
        <w:spacing w:after="0" w:line="25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Different Financing Arrangements</w:t>
      </w:r>
      <w:r>
        <w:rPr>
          <w:rFonts w:ascii="Arial" w:cs="Arial" w:eastAsia="Arial" w:hAnsi="Arial"/>
          <w:sz w:val="18"/>
          <w:szCs w:val="18"/>
          <w:color w:val="auto"/>
        </w:rPr>
        <w:t>. The vessels delivered to Capital Maritime during 2005, 2006 and 2007 were purchased under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terms that differ significantly from those of the credit facilities currently in place which we have used to finance the acquisition of the additional vessels we have purchased from Capital Maritime since our IPO. Importantly, these credit facilities are non-amortizing until June 2012 and March 2013, respectively. In addition, the historical bank debt bore interest at floating rates while we have entered into interest rate swap agreements to fix the LIBOR portion of our interest rate in connection with the debt drawn down under our credit facilities. For a description of our non-amortizing revolving credit facilities, please see “—Liquidity and Capital Resources—Revolving Credit Facilities” below.</w:t>
      </w:r>
    </w:p>
    <w:p>
      <w:pPr>
        <w:spacing w:after="0" w:line="247" w:lineRule="exact"/>
        <w:rPr>
          <w:rFonts w:ascii="Arial" w:cs="Arial" w:eastAsia="Arial" w:hAnsi="Arial"/>
          <w:sz w:val="18"/>
          <w:szCs w:val="18"/>
          <w:color w:val="auto"/>
        </w:rPr>
      </w:pPr>
    </w:p>
    <w:p>
      <w:pPr>
        <w:jc w:val="both"/>
        <w:ind w:left="980" w:hanging="325"/>
        <w:spacing w:after="0" w:line="272"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The Size of our Fleet Continues to Change. </w:t>
      </w:r>
      <w:r>
        <w:rPr>
          <w:rFonts w:ascii="Arial" w:cs="Arial" w:eastAsia="Arial" w:hAnsi="Arial"/>
          <w:sz w:val="17"/>
          <w:szCs w:val="17"/>
          <w:color w:val="auto"/>
        </w:rPr>
        <w:t>At the time of our IPO, our fleet consisted of eight vessels and we contracted to purchase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seven vessels from Capital Maritime. Between May and September 2007 we took delivery of four of the contracted vessels and also acquired the M/T Attikos from Capital Maritime which we had not contracted to purchase at the time of our offering. All of the vessels delivered between May and September 2007 were under long-term charters at the time of their delivery. The remaining three contracted vessels were delivered between January and August 2008. During the first half of 2008 we acquired two additional vessels, the M/T Amore Mio II and the M/T Aristofanis, from Capital Maritime which we had not contracted to purchase at the time of our IPO and we intend to continue to make strategic acquisitions in a prudent manner that is accretive to our distributable cash flow per unit.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27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Results for the years ended December 31, 2008 and December 31, 2007, differ primarily due to the higher average number of vessels in our fleet for 2008 (16.8 in 2008 compared to 11.6 in 2007) and the higher profit sharing revenues earned during the year ($18.5 million in 2008 compared to $6.0 million in 2007). The results for both years have been retroactively adjusted and reflect the results of operations from the M/T Amore Mio II and the M/T Aristofanis for the periods that they were part of Capital Maritime’s fleet prior to their acquisition by us in March and April 2008, respectively. The results for the year ended December 31, 2007, have also been retroactively adjusted to reflect revenues from the M/T Attikos for the periods it was part of Capital Maritime’s fleet prior to its acquisition by us in September 2007.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Time and bareboat charter revenues amounted to approximately $131.5 million for the year ended December 31, 2008, as compared to $86.5 million for the year ended December 31, 2007. For the year ended December 31, 2007, the amount also included freight revenues. Time and bareboat charter revenues are mainly comprised of the charter hire received from unaffiliated third-party customers and are affected by daily hire rates, the number of days our vessels operate and the average number of vessels in our fleet. Please read “Item 4B: Business Overview—Our Fleet” and “—Our Charters” for information about the charters on our vessels, including daily charter rates.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283"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Voyage expenses amounted to $1.1 million for the year ended December 31, 2008, as compared to $3.6 million for the year ended December 31, 2007. The higher expenses in 2007 were primarily due to the expenses incurred under the voyage charters performed by the M/T Amore Mio II in 2007 while it was still part of Capital Maritime’s fleet. Excluding voyage expenses incurred by the three non-contracted vessels (M/T Attikos, M/T Amore Mio II and M/T Aristofanis) during the period they were part of Capital Maritime’s fleet, voyage expenses for the year ended December 31, 2008 amounted to $0.9 million and consisted primarily of commissions payable under our charter agreements, as compared to $0.4 for the year ended December 31, 2007.</w:t>
      </w:r>
    </w:p>
    <w:p>
      <w:pPr>
        <w:spacing w:after="0" w:line="21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Voyage expenses are direct expenses to voyage revenues and primarily consist of commissions, port expenses, canal dues and bunkers. Voyage costs, except for commissions, are paid for by the charterer under time and bareboat charters. In the case of our time charters with Morgan Stanley Capital Group Inc., the charterer is also responsible for commissions. Increases to voyage expenses are primarily attributable to increases in the average number of vessels in our fleet.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28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For the year ended December 31, 2008, our vessel operating expenses amounted to approximately $29.1 million, of which $25.6 million was paid to our manager and include $1.0 million in extraordinary fees and costs relating to direct and indirect expenses incurred by Capital Ship Management in the management of our vessels, including, amongst others, certain costs associated with the vetting of our vessels, repairs related to unforeseen extraordinary events and insurance deductibles.</w:t>
      </w:r>
    </w:p>
    <w:p>
      <w:pPr>
        <w:spacing w:after="0" w:line="240"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the year ended December 31, 2007, vessel operating expenses amounted to approximately $19.0 million, of which $12.7 million was paid to the manager.</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Vessel operating expenses for the year ended December 31, 2008, represent management fees payable to Capital Ship Management pursuant to our management agreement and actual costs incurred by the two vessels which were operated as part of Capital Maritime’s fleet prior to their acquisition by us in March and April 2008. For the year ended December 31, 2007, vessel operating expenses represent management fees payable to Capital Ship Management pursuant to our management agreement and actual costs incurred by eleven vessels which were operated as part of Capital Maritime’s fleet prior to their acquisition by us. Increases to vessel operating expenses are primarily attributable to increases in the average number of vessels in our fleet.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83"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General and administrative expenses amounted to $2.8 million for the year ended December 31, 2008, compared to $1.5 million for the year ended December 31, 2007. The increase was mainly due to the higher number of days that we operated as a publicly traded company in 2008. We did not incur any similar general and administrative expenses for the period prior to April 4, 2007, the date we completed our IPO. General and administrative expenses include consultancy fees, board of directors’ fees and expenses, audit fees, and other fees related to the expenses of the publicly traded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83"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Depreciation and amortization of fixed assets amounted to $25.0 million for the year ended December 31, 2008 as compared to $15.4 million for the year ended December 31, 2007 and is primarily due to the increased number of vessels in our fleet.</w:t>
      </w:r>
    </w:p>
    <w:p>
      <w:pPr>
        <w:spacing w:after="0" w:line="22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This amount primarily represents depreciation on 15 vessels for the whole year and on three vessels for a part of the year commencing from their delivery dates in 2008. The amount of depreciation for the year ended December 31, 2007 represents depreciation on seven vessels for the whole year and on eight vessels for a part of the year commencing from their delivery dates in 2007. Depreciation is expected to increase if the number of vessels in our fleet increases.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8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Other income (expense), net for the year ended December 31, 2008, was approximately $(24.2) million as compared to $(16.2) million for the year ended December 31, 2007. The increase is primarily due to the higher amounts outstanding under our credit facilities during the year ended December 31, 2008 as compared to the year ended December 31, 2007.</w:t>
      </w:r>
    </w:p>
    <w:p>
      <w:pPr>
        <w:spacing w:after="0" w:line="23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2008 amount represents interest expense and amortization of financing charges and bank charges of $(25.4) million, interest income for the period of $1.3 million and foreign currency loss of $(0.1) million. The 2007 amount represents interest expense and amortization of financing charges and bank charges of $(16.9) million of which $(3.8) million represent a loss from the transfer of interest rate swap agreements entered into by Capital Maritime prior to April 4, 2007 and acquired by us on that date. Interest income for the period was $0.7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for the year ended December 31, 2008, amounted to $49.3 million as compared to $31.0 million for the year ended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an explanation of why our historical net income is not indicative of net income to be expected in future periods, please refer to the discussion under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Factors to Consider When Evaluating Our Results” and “— Results of Operations”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historical results of operations and cash flows are not indicative of results of operations and cash flows to be expected from any future period. Our results of operations and cash flows for the year ended December 31, 2006, are not readily comparable to our results for the year ended December 31, 2007. Our IPO on April 3, 2007, and certain other transactions that occurred during 2007, including the delivery or acquisition of additional vessels, the new charters our vessels entered into, the agreement we entered into with Capital Ship Management for the provision of management and administrative services to our fleet for a fixed fee and certain new financing and interest rate swap arrangements we entered into, have affected our results of operations. Furthermore, as at December 31, 2006, only seven of the vessels in our current fleet had been delivered to Capital Maritime and only two were in operation for the full year. For a general explanation as to why results of operations for the year ended December 31, 2007 to the year ended December 31, 2006, are not comparable please also read “—Factors to Consider When Evaluating Our Results” and “—Historical Results of Operations” above.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33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Freight, time and bareboat charter revenues amounted to approximately $86.5 million for the year ended December 31, 2007, as compared to $24.6 million for the year ended December 31, 2006 primarily due to the higher average number of vessels in our fleet (11.6 in 2007 compared to 4.3 in 2006). The revenues for the year ended December 31, 2007 have been retroactively adjusted and reflect revenues from the M/T Amore Mio II, the M/T Aristofanis and the M/T Attikos for the periods that they were part of Capital Maritime’s fleet prior to their acquisition by us in March and April 2008, and September 2007,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283"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Voyage expenses amounted to $3.6 million for the year ended December 31, 2007, as compared to $0.4 million for the year ended December 31, 2006 primarily due to the higher average number of vessels in our fleet.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28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For the year ended December 31, 2007, our vessel operating expenses amounted to approximately $19.0 million, of which $12.7 million was paid to our manager. For the year ended December 31, 2006, vessel operating expenses amounted to approximately $6.8 million, of which $1.1 million was paid to the manager.</w:t>
      </w:r>
    </w:p>
    <w:p>
      <w:pPr>
        <w:spacing w:after="0" w:line="23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Vessel operating expenses for the years ended December 31, 2007 and December 31, 2006 are not readily comparable. Vessel operating expenses for the year ended December 31, 2007 represent fixed management fees payable to Capital Ship Management pursuant to our management agreement, for 13 vessels and actual costs incurred by eleven of these vessels for the period they were operated as part of Capital Maritime’s fleet prior to their acquisition by us. Vessel operating expenses for the year ended December 31, 2006 represent actual costs incurred by seven vessels which were operated as part of Capital Maritime’s fleet for the entire period.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General and administrative expenses amounted to $1.5 million for the year ended December 31, 2007. General and administrative expenses include consultancy fees, board of directors’ fees and expenses, audit fees, and other fees related to the expenses of the publicly traded company. For the year ended December 31, 2006, we did not incur any similar general and administrative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Depreciation and amortization of fixed assets amounted to $15.4 million for the year ended December 31, 2007 as compared to $3.8 million for the year ended December 31, 2006 and is primarily due to the increased number of vessels in our fleet.</w:t>
      </w:r>
    </w:p>
    <w:p>
      <w:pPr>
        <w:spacing w:after="0" w:line="224"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This amount primarily represents depreciation on seven vessels for the whole year and on eight vessels for a part of the year commencing from their respective delivery dates in 2007. The amount of depreciation for the year ended December 31, 2006 represents depreciation on two vessels for the whole year and on five vessels for a part of the year commencing from their respective delivery dates in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Other income (expense), net for the year ended December 31, 2007, was approximately $(16.2) million as compared to $(5.2) million for the year ended December 31, 2006.</w:t>
      </w:r>
    </w:p>
    <w:p>
      <w:pPr>
        <w:spacing w:after="0" w:line="224"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2007 amount represents interest expense and amortization of financing charges and bank charges of $(16.9) million of which $(3.8) million represent a loss from the transfer of interest rate swap agreements entered into by Capital Maritime prior to April 4, 2007 and acquired by us on that date. Interest income for the period was $0.7 million. The 2006 amount represents interest expense charged to the vessel-owning companies and amortization of financing charges and bank charges of $(5.1) million and $(0.1) million of foreign currency loss. Interest expense for the period ending December 31, 2006, is not indicative of interest expense to be expected for any future period, predominantly because the historical bank debt bore interest at floating rates while, during 2007, we entered into interest rate swap agreements to fix the LIBOR portion of our interest rate in connection with the debt drawn down under our existing credit facility.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00" w:lineRule="exact"/>
        <w:rPr>
          <w:sz w:val="20"/>
          <w:szCs w:val="20"/>
          <w:color w:val="auto"/>
        </w:rPr>
      </w:pPr>
    </w:p>
    <w:p>
      <w:pPr>
        <w:spacing w:after="0" w:line="35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Net income for the year ended December 31, 2007, amounted to $31.0 million as compared to $8.4 million for the year ended December 31, 2006. For an explanation of why our historical net income is not indicative of net income to be expected in future periods and why our results are not readily comparable, please refer to the discussion under “— Factors to Consider When Evaluating Our Results”, and “— Results of Operations”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8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As at December 31, 2008, total cash and cash equivalents were $43.1 million, short term investment was $1.1 million, restricted cash was $4.5 million, and total liquidity including cash and undrawn long-term borrowings was $294.7 million. As at December 31, 2007, total cash and cash equivalents were $19.9 million, there were no short term investments, restricted cash was $3.3 million, and total liquidity including cash and undrawn long-term borrowings was $118.7 million. The increase in total liquidity in 2008 as compared to 2007 is primarily due to the significant increase in undrawn long term borrowings as a result of us entering into a new $350.0 million credit facility in March 2008 and the increased number of vessels in our fleet which resulted in higher net income for the year ended December 31, 2008. As of December 31, 2008, undrawn amounts under our credit facilities were $246.0 million compared to $95.5 million for the year ended December 31, 2007.</w:t>
      </w:r>
    </w:p>
    <w:p>
      <w:pPr>
        <w:spacing w:after="0" w:line="247"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As at December 31, 2006 total cash and cash equivalents were $1.2 million. This increase in the year ended December 31, 2007 as compared to 2006 is primarily due to the different financing arrangements in place prior to the IPO and the increased number of vessels in our fleet.</w:t>
      </w:r>
    </w:p>
    <w:p>
      <w:pPr>
        <w:spacing w:after="0" w:line="201"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We anticipate that our primary sources of funds for our liquidity needs will be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acquisitions and expansion and investment capital expenditures, including opportunities we may pursue under the omnibus agreement with Capital Maritime or acquisitions from third parties. Following the completion of our contracted acquisition program we do not currently have any future commitments in place to acquire any vessels from Capital Maritime or a third party.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at December 31, 2008, we had $246.0 million in undrawn amounts under our credit facilities.</w:t>
      </w:r>
    </w:p>
    <w:p>
      <w:pPr>
        <w:spacing w:after="0" w:line="27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Total Partners / Stockholders’ Equity as of December 31, 2008, amounted to $172.2 million, which reflects a reduction of $13.0 million from the year ended December 31, 2007, as a result of the negative adjustment of the fair value of our swaps which amounted to $33.4 million.</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Notwithstanding the current severe economic downturn the duration and long term effects of which it is not possible to predict and subject to shipping, charter and financial market developments, we believe that our working capital will be sufficient to meet our existing liquidity needs for at least the next 12 months.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cash flow statements:</w:t>
      </w:r>
    </w:p>
    <w:p>
      <w:pPr>
        <w:spacing w:after="0" w:line="279" w:lineRule="exact"/>
        <w:rPr>
          <w:sz w:val="20"/>
          <w:szCs w:val="20"/>
          <w:color w:val="auto"/>
        </w:rPr>
      </w:pPr>
    </w:p>
    <w:p>
      <w:pPr>
        <w:ind w:left="1920" w:hanging="334"/>
        <w:spacing w:after="0" w:line="258" w:lineRule="auto"/>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year ended December 31, 2006, and for the period from January 1, 2007 to April 3, 2007, for the vessel-owning subsidiaries comprising our fleet at the time of our IPO; and</w:t>
      </w:r>
    </w:p>
    <w:p>
      <w:pPr>
        <w:spacing w:after="0" w:line="1" w:lineRule="exact"/>
        <w:rPr>
          <w:rFonts w:ascii="Arial" w:cs="Arial" w:eastAsia="Arial" w:hAnsi="Arial"/>
          <w:sz w:val="18"/>
          <w:szCs w:val="18"/>
          <w:color w:val="auto"/>
        </w:rPr>
      </w:pPr>
    </w:p>
    <w:p>
      <w:pPr>
        <w:ind w:left="1920" w:hanging="334"/>
        <w:spacing w:after="0" w:line="260" w:lineRule="auto"/>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period from January 1, 2007 to September 23, 2007, March 26, 2008 and April 29, 2008 for the M/T Attikos, the M/T Amore Mio II and the M/T Aristofanis, respectively,</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reflect the operations of Capital Maritime, and include expenses incurred by Capital Maritime while operating the vessels currently in our fleet, including expenses associated with dry docking of the vessels, voyage expenses, repayment of loans and the incurrence of indebtedness for the periods that our vessels were operated as part of Capital Maritime’s fleet. Please read “—Factors to Consider When Evaluating Our Results” above.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(used in) operating, financing and investing activities for the years presented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17"/>
                <w:szCs w:val="17"/>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4"/>
              </w:rPr>
              <w:t>2006</w:t>
            </w: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(203.3)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(335.0)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8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Net cash provided by operating activities increased to $72.8 million for the year ended December 31, 2008 from $53.0 million for the year ended December 31, 2007 primarily due to an increase in net income due to the higher number of average vessels in our fleet and the higher profit sharing revenues earned during the year. The increase in net cash provided by operating activities for the year ended December 31, 2007 as compared to the year ended December 31, 2006 is primarily due to the higher number of average vessels in our fleet and the increase in hire received in advance from charterers in 2007 as compared to 2006 ($8.6 million in 2007 as compared to $0.5 million in 2006). For an explanation of why our historical net cash provided by operating activities is not indicative of net cash provided by operating activities to be expected in future periods, please read “—Factors to Consider when Evaluating our Results” and “— Results of Operations” above.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8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2008, net cash used was comprised of:</w:t>
      </w:r>
    </w:p>
    <w:p>
      <w:pPr>
        <w:spacing w:after="0" w:line="279" w:lineRule="exact"/>
        <w:rPr>
          <w:sz w:val="20"/>
          <w:szCs w:val="20"/>
          <w:color w:val="auto"/>
        </w:rPr>
      </w:pPr>
    </w:p>
    <w:p>
      <w:pPr>
        <w:ind w:left="1040" w:right="20" w:hanging="317"/>
        <w:spacing w:after="0" w:line="258"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$140.2 million, representing the net book value of the three vessels acquired during 2008 (the M/T Alexandros II, the M/T Aristotelis II and the M/T Aris II) at their respective delivery dates; and</w:t>
      </w:r>
    </w:p>
    <w:p>
      <w:pPr>
        <w:spacing w:after="0" w:line="1" w:lineRule="exact"/>
        <w:rPr>
          <w:rFonts w:ascii="Arial" w:cs="Arial" w:eastAsia="Arial" w:hAnsi="Arial"/>
          <w:sz w:val="18"/>
          <w:szCs w:val="18"/>
          <w:color w:val="auto"/>
        </w:rPr>
      </w:pPr>
    </w:p>
    <w:p>
      <w:pPr>
        <w:ind w:left="1040" w:hanging="317"/>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$59.5 million, representing the purchase price as recorded in our Financial Statements of the two non-contracted vessels:</w:t>
      </w:r>
    </w:p>
    <w:p>
      <w:pPr>
        <w:spacing w:after="0" w:line="9" w:lineRule="exact"/>
        <w:rPr>
          <w:sz w:val="20"/>
          <w:szCs w:val="20"/>
          <w:color w:val="auto"/>
        </w:rPr>
      </w:pPr>
    </w:p>
    <w:p>
      <w:pPr>
        <w:ind w:left="1320" w:right="20" w:hanging="327"/>
        <w:spacing w:after="0" w:line="250" w:lineRule="auto"/>
        <w:tabs>
          <w:tab w:leader="none" w:pos="13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$85.7 million for the M/T Amore Mio II reduced by $37.7 which represents the value of the 2,048,823 common units issued at a price of $18.42 per common unit to Capital Maritime to partially finance the acquisition; and</w:t>
      </w:r>
    </w:p>
    <w:p>
      <w:pPr>
        <w:ind w:left="1320" w:hanging="327"/>
        <w:spacing w:after="0" w:line="250" w:lineRule="auto"/>
        <w:tabs>
          <w:tab w:leader="none" w:pos="13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$21.6 million for the M/T Aristofanis reduced by $10.1 million which represents the value of the 501,308 common units issued at a price of $20.08 per common unit to Capital Maritime to partially finance the acquisition,</w:t>
      </w:r>
    </w:p>
    <w:p>
      <w:pPr>
        <w:ind w:left="1280" w:right="20"/>
        <w:spacing w:after="0" w:line="250" w:lineRule="auto"/>
        <w:rPr>
          <w:rFonts w:ascii="Arial" w:cs="Arial" w:eastAsia="Arial" w:hAnsi="Arial"/>
          <w:sz w:val="18"/>
          <w:szCs w:val="18"/>
          <w:color w:val="auto"/>
        </w:rPr>
      </w:pPr>
      <w:r>
        <w:rPr>
          <w:rFonts w:ascii="Arial" w:cs="Arial" w:eastAsia="Arial" w:hAnsi="Arial"/>
          <w:sz w:val="18"/>
          <w:szCs w:val="18"/>
          <w:color w:val="auto"/>
        </w:rPr>
        <w:t>(Please see Note 1 (Basis of Presentation and General Information) to our Financial Statements included herein for more information regarding these acquisitions, including a breakdown of the way they were funded); and</w:t>
      </w:r>
    </w:p>
    <w:p>
      <w:pPr>
        <w:ind w:left="1120" w:hanging="492"/>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$1.2 million, representing the cost of the improvements for the M/T Aristofanis paid by Capital Maritime.</w:t>
      </w:r>
    </w:p>
    <w:p>
      <w:pPr>
        <w:spacing w:after="0" w:line="264"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Of the remaining $2.4 million, $1.3 million represents restricted cash which is the minimum amount of free cash we were required to maintain under our credit facilities for the period, and $1.1 million represents short term cash investments with original maturity from three to twelve months.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2007, $331.8 million of the net cash used was comprised of:</w:t>
      </w:r>
    </w:p>
    <w:p>
      <w:pPr>
        <w:spacing w:after="0" w:line="279" w:lineRule="exact"/>
        <w:rPr>
          <w:sz w:val="20"/>
          <w:szCs w:val="20"/>
          <w:color w:val="auto"/>
        </w:rPr>
      </w:pPr>
    </w:p>
    <w:p>
      <w:pPr>
        <w:ind w:left="960" w:hanging="318"/>
        <w:spacing w:after="0" w:line="258"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$77.6 million, representing advances to the shipyards paid by Capital Maritime between January 1, 2007 and April 3, 2007 with respect to the construction of three of the vessels in our initial fleet: the M/T Aiolos, the M/T Avax and the M/T Axios; and</w:t>
      </w:r>
    </w:p>
    <w:p>
      <w:pPr>
        <w:spacing w:after="0" w:line="1" w:lineRule="exact"/>
        <w:rPr>
          <w:rFonts w:ascii="Arial" w:cs="Arial" w:eastAsia="Arial" w:hAnsi="Arial"/>
          <w:sz w:val="18"/>
          <w:szCs w:val="18"/>
          <w:color w:val="auto"/>
        </w:rPr>
      </w:pPr>
    </w:p>
    <w:p>
      <w:pPr>
        <w:jc w:val="both"/>
        <w:ind w:left="960" w:hanging="318"/>
        <w:spacing w:after="0" w:line="250"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$166.1 million, representing the net book value at the time of their acquisition by us of the M/T Attikos and of the four vessels we contracted to purchase from Capital Maritime at the time of our IPO delivered between May and September 2007: the M/T Atrotos, the M/T Akeraios, the M/T Anemos I and the M/T Apostolos ; and</w:t>
      </w: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$88.1 million, representing the purchase price for the M/T Amore Mio II paid by Capital Maritime to a third party in July 2007.</w:t>
      </w:r>
    </w:p>
    <w:p>
      <w:pPr>
        <w:spacing w:after="0" w:line="26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remaining $3.2 million represents restricted cash, which is the minimum amount of free cash we were required to maintain under our credit facilities for the period.</w:t>
      </w:r>
    </w:p>
    <w:p>
      <w:pPr>
        <w:spacing w:after="0" w:line="22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For the year ended December 31, 2006, $142.8 million related to the acquisition of the five newbuildings delivered to Capital Maritime in this period that were then transferred to us at the time of our IPO (the M/T Atlantas, the M/T Aktoras, the M/T Agisilaos, the M/T Assos and the M/T Arionas). The remaining $19.2 million related to advances toward the other three initial vessels: the M/T Aiolos, the M/T Avax and the M/T Axios. For the year ended December 31, 2006, there was no restricted cash.</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83" w:lineRule="exact"/>
        <w:rPr>
          <w:sz w:val="20"/>
          <w:szCs w:val="20"/>
          <w:color w:val="auto"/>
        </w:rPr>
      </w:pPr>
    </w:p>
    <w:p>
      <w:pPr>
        <w:jc w:val="both"/>
        <w:ind w:right="20" w:firstLine="647"/>
        <w:spacing w:after="0" w:line="307" w:lineRule="auto"/>
        <w:rPr>
          <w:sz w:val="20"/>
          <w:szCs w:val="20"/>
          <w:color w:val="auto"/>
        </w:rPr>
      </w:pPr>
      <w:r>
        <w:rPr>
          <w:rFonts w:ascii="Arial" w:cs="Arial" w:eastAsia="Arial" w:hAnsi="Arial"/>
          <w:sz w:val="17"/>
          <w:szCs w:val="17"/>
          <w:color w:val="auto"/>
        </w:rPr>
        <w:t>Net cash provided by financing activities amounted to $153.7 million for the year ended December 31, 2008, down from $300.7 million for the year ended December 31, 2007. For the year ended December 31, 2006, net cash provided by financing activities amounted to $153.0 million.</w:t>
      </w:r>
    </w:p>
    <w:p>
      <w:pPr>
        <w:spacing w:after="0" w:line="20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Proceeds from the issuance of long-term debt amounted to $199.5 million for the year ended December 31, 2008, down from $305.1 million for the year ended December 31, 2007. The proceeds for the year ended December 31, 2008 consisted of amounts drawn down under our two credit facilities. The proceeds for the year ended December 31, 2007 consisted of $274.5 million from our credit facility entered into in March 2007 and $30.6 million from a credit facility entered into by the vessel-owning company prior to our IPO in order to finance the construction of the M/T Axios. Proceeds for the year ended December 31, 2006 were $77.4 million.</w:t>
      </w:r>
    </w:p>
    <w:p>
      <w:pPr>
        <w:spacing w:after="0" w:line="2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Proceeds from long-term debt due to related parties for the year ended December 31, 2008 were $60.5 million from credit facilities entered into by Capital Maritime as compared to $109.7 million for the year ended December 31, 2007, which related to credit facilities entered into by Capital Maritime to finance the construction of the M/T Aiolos and the M/T Avax as well as the acquisition of the M/T Amore Mio II in July 2007. Proceeds from long-term debt for the year ended December 31, 2006 were $82.3 million.</w:t>
      </w:r>
    </w:p>
    <w:p>
      <w:pPr>
        <w:spacing w:after="0" w:line="24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Repayment of debt amounted to $8.1 million for the year ended December 31, 2008, comprised of the repayment of the M/T Aristofanis’ loan in April, 2008 by Capital Maritime, down from $16.7 million for the year ended December 31, 2007, comprised of installment payments made prior to the IPO for vessels in our fleet, including the M/T Aristofanis, and the repayment of M/T Attikos’ loan in September 2007 by Capital Maritime. For the year ended December 31, 2006, repayment of debt amounted to $22.2 million.</w:t>
      </w:r>
    </w:p>
    <w:p>
      <w:pPr>
        <w:spacing w:after="0" w:line="24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Repayment of related party debt for the year ended December 31, 2008, amounted to $52.5 million and comprised of the repayment of the M/T Amore Mio II loan in March, 2008, by Capital Maritime, compared to $2.4 million for the year ended December 31, 2007 and $2.3 million for the year ended December 31, 2006. Relevant debt and related party debt in the amount of $79.9 and $134.0 million, respectively for the year ended December 31, 2007, was repaid by Capital Maritime from the proceeds from our IPO.</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Between January and August 2008, we acquired the last three contracted vessels from Capital Maritime: the M/T Alexandros II, the M/T Aristotelis</w:t>
      </w:r>
    </w:p>
    <w:p>
      <w:pPr>
        <w:spacing w:after="0" w:line="46" w:lineRule="exact"/>
        <w:rPr>
          <w:sz w:val="20"/>
          <w:szCs w:val="20"/>
          <w:color w:val="auto"/>
        </w:rPr>
      </w:pPr>
    </w:p>
    <w:p>
      <w:pPr>
        <w:jc w:val="both"/>
        <w:ind w:firstLine="8"/>
        <w:spacing w:after="0" w:line="252" w:lineRule="auto"/>
        <w:tabs>
          <w:tab w:leader="none" w:pos="1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and the M/T Aris II for a total purchase price of $144.0 million. During the second and the third quarters of 2007 we acquired five vessels from Capital Maritime: the M/T Atrotos, the M/T Akeraios, the M/T Apostolos, the M/T Attikos and the M/T Anemos I, for a total purchase price of $247.0 million. The excess of purchase price over book value of the acquired vessels, $3.8 million in 2008 and $80.9 million in 2007, is presented in our cash flow statement under net cash provided by financing activities as we recognize transfers of net assets between entities under common control at Capital Maritime’s basis in the net assets contributed.</w:t>
      </w:r>
    </w:p>
    <w:p>
      <w:pPr>
        <w:spacing w:after="0" w:line="248"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There were no net capital contributions for the year ended December 31, 2008 compared to $31.3 million for the year ended December 31, 2007 of which $13.7 million relate to contributions made by Capital Maritime prior to the IPO in connection with the acquisition of three initial vessels (the M/T Aiolos, M/T Avax and M/T Axios) and $17.6 million related to contributions made by Capital Maritime in connection with its acquisition of the M/T Amore Mio II in July 2007. Capital contributions for the year ended December 31, 2006 were $17.9 million.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2008, we made distributions to unitholders in an aggregate amount of $39.9 million reflecting distributions for the fourth quarter of 2007, and the first, second and third quarters of 2008. Following completion of our IPO on April 4, 2007, we paid a $25.0 million cash dividend to Capital Maritime and also made distributions to unitholders in an aggregate amount of $17.0 million for the second and third quarters of 2007. Please see “Item 8B: Significant Changes” below for a discussion of the exceptional cash distribution made in February 2009 and its effects.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83"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Our long-term third party borrowings are reflected in our balance sheet as “Long-term debt” and as current liabilities in “Current portion of long-term debt.” As of December 31, 2008, long term debt was $474.0 million and the current portion of long term debt was $0 as compared to $281.8 million and $0.8 million, respectively, for the period ended December 31, 2007. Related party debt is reflected in our balance sheet as “Long-term related party debt” and as “Current portion of related party debt.” As of December 31, 2008, both long-term related party debt and current portion of related party debt were $0 as compared to $63.0 million and $5.9 million, respectively, for the year ended December 31, 2007.</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79"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On March 19, 2008, we entered into a new 10-year revolving credit facility of up to $350.0 million, which is non-amortizing until March 2013, with HSH Nordbank AG, Hamburg. We may use this facility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$107.5 million of this facility to fund part of the acquisition price of the M/T Amore Mio II, the M/T Aristofanis, the M/T Aristotelis II and the M/T Aris II from Capital Maritime. The new credit facility is subject to similar covenants and restrictions as those in our existing facility described below. Our obligations under both our credit facilities are secured by first-priority mortgages covering each of our financed vessels and are guaranteed by each vessel-owning subsidiary.</w:t>
      </w:r>
    </w:p>
    <w:p>
      <w:pPr>
        <w:spacing w:after="0" w:line="230"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On March 22, 2007, we entered into a non-amortizing revolving credit facility with a syndicate of financial institutions, including HSH Nordbank, for up to $370.0 million for the financing of the acquisition cost, or part thereof, of up to seven medium-range product tankers. This facility provided us with sufficient funds to purchase the four newbuildings delivered in 2007, the newbuilding delivered in January 2008 and to partly fund the purchase price of the remaining two newbuildings we agreed to purchase from Capital Maritime at the time of our IPO and which were delivered in June and August of 2008. The existing credit facility was amended on September 19, 2007, to include the financing of the acquisition cost of the M/T Attikos and was further supplemented on June 11, 2008 to, amongst others, amend the provisions relating to security offered under the facility. As of December 31, 2008, we had drawn down $366.5 million under our existing credit facility. We drew down $274.5 million during 2007 and an additional $48.0 million in connection with the acquisition of the M/T Alexandros II in January 2008 and $44.0 in connection with the deliveries in June and August of 2008 of the M/T Aristotelis II and the M/T Aris II, our final two contracted vessels. Please see Note 5 (Long-Term Debt) to our Financial Statements included herein for more information.</w:t>
      </w:r>
    </w:p>
    <w:p>
      <w:pPr>
        <w:spacing w:after="0" w:line="218"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The financing arrangements in place prior to our IPO are not indicative of our current or future financing arrangements. The financing arrangements in existence at December 31, 2006 represent loans with four separate banks in which Capital Maritime acted as the borrower and the respective vessel-owning companies as the guarantors or, in one instance, the vessel-owning company acted as the borrower and Capital Maritime as the guarantor, for the financing of the construction of the eight vessels which comprised our fleet at the time of our IPO. These loans were repaid in their entirety by Capital Maritime with a portion of the proceeds from our IPO and the vessels were transferred to us debt free.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at December 31, 2008, we had $246.0 million in undrawn amounts under our credit facilities.</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Borrowings under our $370.0 million existing credit facility bear interest at a rate of 0.75% over US$ LIBOR. We may continue to draw down amounts under this facility until June 2012, at which date any amounts available for borrowing will automatically terminate and the outstanding amount will automatically convert into a five-year term loan. In addition, the facility is non-amortizing until June 2012 and we will not be required to make any repayments of the principal amounts outstanding under the facility provided that we comply with the covenants and restrictive ratios set out in the facility and described below. The final maturity date of this facility is June 2017. Borrowings under our $350.0 million new credit facility bear interest at a rate of 1.1% per annum over US$ LIBOR. We may continue to draw amounts under this facility until March 2013, at which date any amounts available for borrowing will automatically terminate and the outstanding amount will automatically convert into a five-year term loan. In addition, the facility is non-amortizing until March 2013 and we will not be required to make any repayments of the principal amounts outstanding under the facility provided that we comply with the covenants and restrictive ratios set out in the facility and described below. The final maturity date of this facility is March 2018.</w:t>
      </w:r>
    </w:p>
    <w:p>
      <w:pPr>
        <w:spacing w:after="0" w:line="233"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Our credit facilities contain a “Market Disruption Clause” requiring us to compensate the banks for any increases to their funding costs caused by disruptions to the market which the banks may unilaterally trigger. Interest expenses for the three month period ended March 31, 2009, have increased by 0.55297% under our existing credit facility and by 0.3928%, under new credit facility, respectively, in accordance with the terms of each facility.</w:t>
      </w:r>
    </w:p>
    <w:p>
      <w:pPr>
        <w:spacing w:after="0" w:line="20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credit facilities also contain restrictive covenants that, subject to the approval of our lenders, prohibit us from, among other things: incurring or guaranteeing indebtedness; charging, pledging or encumbering the vessels; changing the flag, class, management or ownership of our vessels; changing the commercial and technical management of our vessels; selling or changing the beneficial ownership or control of our vessels; and subordinating the obligations under our existing credit facility to any general and administrative costs relating to the vessels, including the fixed daily fee payable under the management agreement.</w:t>
      </w:r>
    </w:p>
    <w:p>
      <w:pPr>
        <w:spacing w:after="0" w:line="24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Under the terms of our credit facilities we may not be able to pay distributions to our unitholders if we are not in compliance with certain financial covenants and ratios described below or upon the occurrence of an event of default or if the fair market value of our financed vessels is less than 125% of the aggregate amount outstanding under each credit facility.</w:t>
      </w:r>
    </w:p>
    <w:p>
      <w:pPr>
        <w:spacing w:after="0" w:line="237"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In addition to the above, our credit facilities require us to maintain minimum free consolidated liquidity (50% of which may be in the form of undrawn commitments under the credit facility) of at least $500,000 per financed vessel, maintain a ratio of EBITDA to net interest expense of at least 2.00 to 1.00 on a trailing four-quarter basis and maintain a ratio of total indebtedness to the aggregate market value of our total fleet of no more than 0.725 to 1.00 (which means that the fair market value of the vessels in our fleet must equal 138% of the aggregate amount outstanding under each credit facility).</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As of December 31, 2008 we were in compliance with all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asset valuations. If market or other economic conditions deteriorate, our ability to comply with these covenants may be impaired. If we are in breach of any of the restrictions, covenants, ratios or tests in our credit facilities, especially if we trigger a cross-default currently contained in our credit facilities,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231"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set out above. The current severe economic slowdown has had an adverse effect on tanker asset values which is likely to persist if the economic slowdown continues.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217" w:lineRule="exact"/>
        <w:rPr>
          <w:sz w:val="20"/>
          <w:szCs w:val="20"/>
          <w:color w:val="auto"/>
        </w:rPr>
      </w:pPr>
    </w:p>
    <w:p>
      <w:pPr>
        <w:ind w:right="440" w:firstLine="647"/>
        <w:spacing w:after="0" w:line="277" w:lineRule="auto"/>
        <w:rPr>
          <w:sz w:val="20"/>
          <w:szCs w:val="20"/>
          <w:color w:val="auto"/>
        </w:rPr>
      </w:pPr>
      <w:r>
        <w:rPr>
          <w:rFonts w:ascii="Arial" w:cs="Arial" w:eastAsia="Arial" w:hAnsi="Arial"/>
          <w:sz w:val="18"/>
          <w:szCs w:val="18"/>
          <w:color w:val="auto"/>
        </w:rPr>
        <w:t>In connection with our revolving credit facilities and in order to hedge our exposure to interest rate changes, we have entered into the following interest rate swap agreements to fix the LIBOR portion of our interest rate.</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620" w:type="dxa"/>
            <w:vAlign w:val="bottom"/>
            <w:tcBorders>
              <w:top w:val="single" w:sz="8" w:color="auto"/>
              <w:left w:val="single" w:sz="8" w:color="auto"/>
            </w:tcBorders>
            <w:shd w:val="clear" w:color="auto" w:fill="E0E0E0"/>
          </w:tcPr>
          <w:p>
            <w:pPr>
              <w:spacing w:after="0"/>
              <w:rPr>
                <w:sz w:val="20"/>
                <w:szCs w:val="20"/>
                <w:color w:val="auto"/>
              </w:rPr>
            </w:pPr>
          </w:p>
        </w:tc>
        <w:tc>
          <w:tcPr>
            <w:tcW w:w="1480" w:type="dxa"/>
            <w:vAlign w:val="bottom"/>
            <w:tcBorders>
              <w:top w:val="single" w:sz="8" w:color="auto"/>
            </w:tcBorders>
            <w:vMerge w:val="restart"/>
            <w:shd w:val="clear" w:color="auto" w:fill="E0E0E0"/>
          </w:tcPr>
          <w:p>
            <w:pPr>
              <w:jc w:val="center"/>
              <w:ind w:left="90"/>
              <w:spacing w:after="0"/>
              <w:rPr>
                <w:sz w:val="20"/>
                <w:szCs w:val="20"/>
                <w:color w:val="auto"/>
              </w:rPr>
            </w:pPr>
            <w:r>
              <w:rPr>
                <w:rFonts w:ascii="Arial" w:cs="Arial" w:eastAsia="Arial" w:hAnsi="Arial"/>
                <w:sz w:val="18"/>
                <w:szCs w:val="18"/>
                <w:b w:val="1"/>
                <w:bCs w:val="1"/>
                <w:color w:val="auto"/>
                <w:w w:val="93"/>
              </w:rPr>
              <w:t>Currency</w:t>
            </w:r>
          </w:p>
        </w:tc>
        <w:tc>
          <w:tcPr>
            <w:tcW w:w="2100" w:type="dxa"/>
            <w:vAlign w:val="bottom"/>
            <w:tcBorders>
              <w:top w:val="single" w:sz="8" w:color="auto"/>
            </w:tcBorders>
            <w:shd w:val="clear" w:color="auto" w:fill="E0E0E0"/>
          </w:tcPr>
          <w:p>
            <w:pPr>
              <w:jc w:val="right"/>
              <w:ind w:right="370"/>
              <w:spacing w:after="0"/>
              <w:rPr>
                <w:sz w:val="20"/>
                <w:szCs w:val="20"/>
                <w:color w:val="auto"/>
              </w:rPr>
            </w:pPr>
            <w:r>
              <w:rPr>
                <w:rFonts w:ascii="Arial" w:cs="Arial" w:eastAsia="Arial" w:hAnsi="Arial"/>
                <w:sz w:val="18"/>
                <w:szCs w:val="18"/>
                <w:b w:val="1"/>
                <w:bCs w:val="1"/>
                <w:color w:val="auto"/>
              </w:rPr>
              <w:t>Notional Amount</w:t>
            </w:r>
          </w:p>
        </w:tc>
        <w:tc>
          <w:tcPr>
            <w:tcW w:w="1620" w:type="dxa"/>
            <w:vAlign w:val="bottom"/>
            <w:tcBorders>
              <w:top w:val="single" w:sz="8" w:color="auto"/>
            </w:tcBorders>
            <w:shd w:val="clear" w:color="auto" w:fill="E0E0E0"/>
          </w:tcPr>
          <w:p>
            <w:pPr>
              <w:jc w:val="right"/>
              <w:ind w:right="810"/>
              <w:spacing w:after="0"/>
              <w:rPr>
                <w:sz w:val="20"/>
                <w:szCs w:val="20"/>
                <w:color w:val="auto"/>
              </w:rPr>
            </w:pPr>
            <w:r>
              <w:rPr>
                <w:rFonts w:ascii="Arial" w:cs="Arial" w:eastAsia="Arial" w:hAnsi="Arial"/>
                <w:sz w:val="18"/>
                <w:szCs w:val="18"/>
                <w:b w:val="1"/>
                <w:bCs w:val="1"/>
                <w:color w:val="auto"/>
              </w:rPr>
              <w:t>Fixed</w:t>
            </w:r>
          </w:p>
        </w:tc>
        <w:tc>
          <w:tcPr>
            <w:tcW w:w="1640" w:type="dxa"/>
            <w:vAlign w:val="bottom"/>
            <w:tcBorders>
              <w:top w:val="single" w:sz="8" w:color="auto"/>
            </w:tcBorders>
            <w:shd w:val="clear" w:color="auto" w:fill="E0E0E0"/>
          </w:tcPr>
          <w:p>
            <w:pPr>
              <w:jc w:val="right"/>
              <w:ind w:right="810"/>
              <w:spacing w:after="0"/>
              <w:rPr>
                <w:sz w:val="20"/>
                <w:szCs w:val="20"/>
                <w:color w:val="auto"/>
              </w:rPr>
            </w:pPr>
            <w:r>
              <w:rPr>
                <w:rFonts w:ascii="Arial" w:cs="Arial" w:eastAsia="Arial" w:hAnsi="Arial"/>
                <w:sz w:val="18"/>
                <w:szCs w:val="18"/>
                <w:b w:val="1"/>
                <w:bCs w:val="1"/>
                <w:color w:val="auto"/>
              </w:rPr>
              <w:t>Trade</w:t>
            </w:r>
          </w:p>
        </w:tc>
        <w:tc>
          <w:tcPr>
            <w:tcW w:w="1560" w:type="dxa"/>
            <w:vAlign w:val="bottom"/>
            <w:tcBorders>
              <w:top w:val="single" w:sz="8" w:color="auto"/>
            </w:tcBorders>
            <w:shd w:val="clear" w:color="auto" w:fill="E0E0E0"/>
          </w:tcPr>
          <w:p>
            <w:pPr>
              <w:jc w:val="right"/>
              <w:ind w:right="750"/>
              <w:spacing w:after="0"/>
              <w:rPr>
                <w:sz w:val="20"/>
                <w:szCs w:val="20"/>
                <w:color w:val="auto"/>
              </w:rPr>
            </w:pPr>
            <w:r>
              <w:rPr>
                <w:rFonts w:ascii="Arial" w:cs="Arial" w:eastAsia="Arial" w:hAnsi="Arial"/>
                <w:sz w:val="18"/>
                <w:szCs w:val="18"/>
                <w:b w:val="1"/>
                <w:bCs w:val="1"/>
                <w:color w:val="auto"/>
              </w:rPr>
              <w:t>Value</w:t>
            </w:r>
          </w:p>
        </w:tc>
        <w:tc>
          <w:tcPr>
            <w:tcW w:w="1400" w:type="dxa"/>
            <w:vAlign w:val="bottom"/>
            <w:tcBorders>
              <w:top w:val="single" w:sz="8" w:color="auto"/>
              <w:right w:val="single" w:sz="8" w:color="auto"/>
            </w:tcBorders>
            <w:shd w:val="clear" w:color="auto" w:fill="E0E0E0"/>
          </w:tcPr>
          <w:p>
            <w:pPr>
              <w:jc w:val="right"/>
              <w:ind w:right="390"/>
              <w:spacing w:after="0"/>
              <w:rPr>
                <w:sz w:val="20"/>
                <w:szCs w:val="20"/>
                <w:color w:val="auto"/>
              </w:rPr>
            </w:pPr>
            <w:r>
              <w:rPr>
                <w:rFonts w:ascii="Arial" w:cs="Arial" w:eastAsia="Arial" w:hAnsi="Arial"/>
                <w:sz w:val="18"/>
                <w:szCs w:val="18"/>
                <w:b w:val="1"/>
                <w:bCs w:val="1"/>
                <w:color w:val="auto"/>
              </w:rPr>
              <w:t>Maturity</w:t>
            </w: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tcBorders>
            <w:shd w:val="clear" w:color="auto" w:fill="E0E0E0"/>
          </w:tcPr>
          <w:p>
            <w:pPr>
              <w:spacing w:after="0"/>
              <w:rPr>
                <w:sz w:val="10"/>
                <w:szCs w:val="10"/>
                <w:color w:val="auto"/>
              </w:rPr>
            </w:pPr>
          </w:p>
        </w:tc>
        <w:tc>
          <w:tcPr>
            <w:tcW w:w="1480" w:type="dxa"/>
            <w:vAlign w:val="bottom"/>
            <w:vMerge w:val="continue"/>
            <w:shd w:val="clear" w:color="auto" w:fill="E0E0E0"/>
          </w:tcPr>
          <w:p>
            <w:pPr>
              <w:spacing w:after="0"/>
              <w:rPr>
                <w:sz w:val="10"/>
                <w:szCs w:val="10"/>
                <w:color w:val="auto"/>
              </w:rPr>
            </w:pPr>
          </w:p>
        </w:tc>
        <w:tc>
          <w:tcPr>
            <w:tcW w:w="2100" w:type="dxa"/>
            <w:vAlign w:val="bottom"/>
            <w:vMerge w:val="restart"/>
            <w:shd w:val="clear" w:color="auto" w:fill="E0E0E0"/>
          </w:tcPr>
          <w:p>
            <w:pPr>
              <w:jc w:val="right"/>
              <w:ind w:right="670"/>
              <w:spacing w:after="0"/>
              <w:rPr>
                <w:sz w:val="20"/>
                <w:szCs w:val="20"/>
                <w:color w:val="auto"/>
              </w:rPr>
            </w:pPr>
            <w:r>
              <w:rPr>
                <w:rFonts w:ascii="Arial" w:cs="Arial" w:eastAsia="Arial" w:hAnsi="Arial"/>
                <w:sz w:val="18"/>
                <w:szCs w:val="18"/>
                <w:b w:val="1"/>
                <w:bCs w:val="1"/>
                <w:color w:val="auto"/>
              </w:rPr>
              <w:t>(millions)</w:t>
            </w:r>
          </w:p>
        </w:tc>
        <w:tc>
          <w:tcPr>
            <w:tcW w:w="1620" w:type="dxa"/>
            <w:vAlign w:val="bottom"/>
            <w:vMerge w:val="restart"/>
            <w:shd w:val="clear" w:color="auto" w:fill="E0E0E0"/>
          </w:tcPr>
          <w:p>
            <w:pPr>
              <w:jc w:val="right"/>
              <w:ind w:right="870"/>
              <w:spacing w:after="0"/>
              <w:rPr>
                <w:sz w:val="20"/>
                <w:szCs w:val="20"/>
                <w:color w:val="auto"/>
              </w:rPr>
            </w:pPr>
            <w:r>
              <w:rPr>
                <w:rFonts w:ascii="Arial" w:cs="Arial" w:eastAsia="Arial" w:hAnsi="Arial"/>
                <w:sz w:val="18"/>
                <w:szCs w:val="18"/>
                <w:b w:val="1"/>
                <w:bCs w:val="1"/>
                <w:color w:val="auto"/>
              </w:rPr>
              <w:t>rate</w:t>
            </w:r>
          </w:p>
        </w:tc>
        <w:tc>
          <w:tcPr>
            <w:tcW w:w="1640" w:type="dxa"/>
            <w:vAlign w:val="bottom"/>
            <w:vMerge w:val="restart"/>
            <w:shd w:val="clear" w:color="auto" w:fill="E0E0E0"/>
          </w:tcPr>
          <w:p>
            <w:pPr>
              <w:jc w:val="right"/>
              <w:ind w:right="870"/>
              <w:spacing w:after="0"/>
              <w:rPr>
                <w:sz w:val="20"/>
                <w:szCs w:val="20"/>
                <w:color w:val="auto"/>
              </w:rPr>
            </w:pPr>
            <w:r>
              <w:rPr>
                <w:rFonts w:ascii="Arial" w:cs="Arial" w:eastAsia="Arial" w:hAnsi="Arial"/>
                <w:sz w:val="18"/>
                <w:szCs w:val="18"/>
                <w:b w:val="1"/>
                <w:bCs w:val="1"/>
                <w:color w:val="auto"/>
              </w:rPr>
              <w:t>date</w:t>
            </w:r>
          </w:p>
        </w:tc>
        <w:tc>
          <w:tcPr>
            <w:tcW w:w="1560" w:type="dxa"/>
            <w:vAlign w:val="bottom"/>
            <w:vMerge w:val="restart"/>
            <w:shd w:val="clear" w:color="auto" w:fill="E0E0E0"/>
          </w:tcPr>
          <w:p>
            <w:pPr>
              <w:jc w:val="right"/>
              <w:ind w:right="790"/>
              <w:spacing w:after="0"/>
              <w:rPr>
                <w:sz w:val="20"/>
                <w:szCs w:val="20"/>
                <w:color w:val="auto"/>
              </w:rPr>
            </w:pPr>
            <w:r>
              <w:rPr>
                <w:rFonts w:ascii="Arial" w:cs="Arial" w:eastAsia="Arial" w:hAnsi="Arial"/>
                <w:sz w:val="18"/>
                <w:szCs w:val="18"/>
                <w:b w:val="1"/>
                <w:bCs w:val="1"/>
                <w:color w:val="auto"/>
              </w:rPr>
              <w:t>date</w:t>
            </w:r>
          </w:p>
        </w:tc>
        <w:tc>
          <w:tcPr>
            <w:tcW w:w="1400" w:type="dxa"/>
            <w:vAlign w:val="bottom"/>
            <w:tcBorders>
              <w:right w:val="single" w:sz="8" w:color="auto"/>
            </w:tcBorders>
            <w:vMerge w:val="restart"/>
            <w:shd w:val="clear" w:color="auto" w:fill="E0E0E0"/>
          </w:tcPr>
          <w:p>
            <w:pPr>
              <w:jc w:val="right"/>
              <w:ind w:right="57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tcBorders>
            <w:shd w:val="clear" w:color="auto" w:fill="E0E0E0"/>
          </w:tcPr>
          <w:p>
            <w:pPr>
              <w:spacing w:after="0"/>
              <w:rPr>
                <w:sz w:val="9"/>
                <w:szCs w:val="9"/>
                <w:color w:val="auto"/>
              </w:rPr>
            </w:pPr>
          </w:p>
        </w:tc>
        <w:tc>
          <w:tcPr>
            <w:tcW w:w="1480" w:type="dxa"/>
            <w:vAlign w:val="bottom"/>
            <w:tcBorders>
              <w:bottom w:val="single" w:sz="8" w:color="auto"/>
            </w:tcBorders>
            <w:shd w:val="clear" w:color="auto" w:fill="E0E0E0"/>
          </w:tcPr>
          <w:p>
            <w:pPr>
              <w:spacing w:after="0"/>
              <w:rPr>
                <w:sz w:val="9"/>
                <w:szCs w:val="9"/>
                <w:color w:val="auto"/>
              </w:rPr>
            </w:pPr>
          </w:p>
        </w:tc>
        <w:tc>
          <w:tcPr>
            <w:tcW w:w="2100" w:type="dxa"/>
            <w:vAlign w:val="bottom"/>
            <w:tcBorders>
              <w:bottom w:val="single" w:sz="8" w:color="auto"/>
            </w:tcBorders>
            <w:vMerge w:val="continue"/>
            <w:shd w:val="clear" w:color="auto" w:fill="E0E0E0"/>
          </w:tcPr>
          <w:p>
            <w:pPr>
              <w:spacing w:after="0"/>
              <w:rPr>
                <w:sz w:val="9"/>
                <w:szCs w:val="9"/>
                <w:color w:val="auto"/>
              </w:rPr>
            </w:pPr>
          </w:p>
        </w:tc>
        <w:tc>
          <w:tcPr>
            <w:tcW w:w="1620" w:type="dxa"/>
            <w:vAlign w:val="bottom"/>
            <w:tcBorders>
              <w:bottom w:val="single" w:sz="8" w:color="auto"/>
            </w:tcBorders>
            <w:vMerge w:val="continue"/>
            <w:shd w:val="clear" w:color="auto" w:fill="E0E0E0"/>
          </w:tcPr>
          <w:p>
            <w:pPr>
              <w:spacing w:after="0"/>
              <w:rPr>
                <w:sz w:val="9"/>
                <w:szCs w:val="9"/>
                <w:color w:val="auto"/>
              </w:rPr>
            </w:pPr>
          </w:p>
        </w:tc>
        <w:tc>
          <w:tcPr>
            <w:tcW w:w="1640" w:type="dxa"/>
            <w:vAlign w:val="bottom"/>
            <w:tcBorders>
              <w:bottom w:val="single" w:sz="8" w:color="auto"/>
            </w:tcBorders>
            <w:vMerge w:val="continue"/>
            <w:shd w:val="clear" w:color="auto" w:fill="E0E0E0"/>
          </w:tcPr>
          <w:p>
            <w:pPr>
              <w:spacing w:after="0"/>
              <w:rPr>
                <w:sz w:val="9"/>
                <w:szCs w:val="9"/>
                <w:color w:val="auto"/>
              </w:rPr>
            </w:pPr>
          </w:p>
        </w:tc>
        <w:tc>
          <w:tcPr>
            <w:tcW w:w="1560" w:type="dxa"/>
            <w:vAlign w:val="bottom"/>
            <w:tcBorders>
              <w:bottom w:val="single" w:sz="8" w:color="auto"/>
            </w:tcBorders>
            <w:vMerge w:val="continue"/>
            <w:shd w:val="clear" w:color="auto" w:fill="E0E0E0"/>
          </w:tcPr>
          <w:p>
            <w:pPr>
              <w:spacing w:after="0"/>
              <w:rPr>
                <w:sz w:val="9"/>
                <w:szCs w:val="9"/>
                <w:color w:val="auto"/>
              </w:rPr>
            </w:pPr>
          </w:p>
        </w:tc>
        <w:tc>
          <w:tcPr>
            <w:tcW w:w="1400" w:type="dxa"/>
            <w:vAlign w:val="bottom"/>
            <w:tcBorders>
              <w:bottom w:val="single" w:sz="8" w:color="auto"/>
              <w:right w:val="single" w:sz="8" w:color="auto"/>
            </w:tcBorders>
            <w:vMerge w:val="continue"/>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04.04.2007</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56,000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05.08.2007</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56,000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07.13.2007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56,000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09.28.2007</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$370.0 million credit</w:t>
            </w: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56,000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09.20.2007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facility</w:t>
            </w: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01.29.2008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24,000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01.29.2008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5.1325%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02.20.2007</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08.20.2008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20,500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4.9250%</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09.20.2007</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09.24.2007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06.29.2012</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4.520%</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06.13.2008</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06.17.2008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06.28.2012</w:t>
            </w:r>
          </w:p>
        </w:tc>
        <w:tc>
          <w:tcPr>
            <w:tcW w:w="0" w:type="dxa"/>
            <w:vAlign w:val="bottom"/>
          </w:tcPr>
          <w:p>
            <w:pPr>
              <w:spacing w:after="0"/>
              <w:rPr>
                <w:sz w:val="1"/>
                <w:szCs w:val="1"/>
                <w:color w:val="auto"/>
              </w:rPr>
            </w:pPr>
          </w:p>
        </w:tc>
      </w:tr>
      <w:tr>
        <w:trPr>
          <w:trHeight w:val="439"/>
        </w:trPr>
        <w:tc>
          <w:tcPr>
            <w:tcW w:w="162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3.525%</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03.25.2008</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03.27.2008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03.27.2013</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$350.0 million credit</w:t>
            </w: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11,500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3.895%</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04.24.2008</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04.30.2008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03.28.2013</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facility</w:t>
            </w:r>
          </w:p>
        </w:tc>
        <w:tc>
          <w:tcPr>
            <w:tcW w:w="14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28,000</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4.610%</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06.13.2008</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06.17.2008</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03.28.2013</w:t>
            </w: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4"/>
              </w:rPr>
              <w:t>USD</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22,000</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4.099%</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08.14.2008</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08.20.2008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03.28.2013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-2355215</wp:posOffset>
            </wp:positionV>
            <wp:extent cx="6218555" cy="1747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8555" cy="1747520"/>
                    </a:xfrm>
                    <a:prstGeom prst="rect">
                      <a:avLst/>
                    </a:prstGeom>
                    <a:noFill/>
                  </pic:spPr>
                </pic:pic>
              </a:graphicData>
            </a:graphic>
          </wp:anchor>
        </w:drawing>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of Vessels Following the IPO</w:t>
      </w:r>
    </w:p>
    <w:p>
      <w:pPr>
        <w:spacing w:after="0" w:line="279"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The table below summarizes certain information with respect to the vessels we have purchased from Capital Maritime in 2007 and 2008, including their purchase prices and the date they were delivered to us.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tcBorders>
            <w:shd w:val="clear" w:color="auto" w:fill="E0E0E0"/>
          </w:tcPr>
          <w:p>
            <w:pPr>
              <w:spacing w:after="0"/>
              <w:rPr>
                <w:sz w:val="20"/>
                <w:szCs w:val="20"/>
                <w:color w:val="auto"/>
              </w:rPr>
            </w:pPr>
          </w:p>
        </w:tc>
        <w:tc>
          <w:tcPr>
            <w:tcW w:w="2080" w:type="dxa"/>
            <w:vAlign w:val="bottom"/>
            <w:tcBorders>
              <w:top w:val="single" w:sz="8" w:color="auto"/>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jc w:val="right"/>
              <w:ind w:right="210"/>
              <w:spacing w:after="0"/>
              <w:rPr>
                <w:sz w:val="20"/>
                <w:szCs w:val="20"/>
                <w:color w:val="auto"/>
              </w:rPr>
            </w:pPr>
            <w:r>
              <w:rPr>
                <w:rFonts w:ascii="Arial" w:cs="Arial" w:eastAsia="Arial" w:hAnsi="Arial"/>
                <w:sz w:val="18"/>
                <w:szCs w:val="18"/>
                <w:b w:val="1"/>
                <w:bCs w:val="1"/>
                <w:color w:val="auto"/>
              </w:rPr>
              <w:t>Expiration of</w:t>
            </w:r>
          </w:p>
        </w:tc>
        <w:tc>
          <w:tcPr>
            <w:tcW w:w="1640" w:type="dxa"/>
            <w:vAlign w:val="bottom"/>
            <w:tcBorders>
              <w:top w:val="single" w:sz="8" w:color="auto"/>
            </w:tcBorders>
            <w:shd w:val="clear" w:color="auto" w:fill="E0E0E0"/>
          </w:tcPr>
          <w:p>
            <w:pPr>
              <w:jc w:val="right"/>
              <w:ind w:right="70"/>
              <w:spacing w:after="0"/>
              <w:rPr>
                <w:sz w:val="20"/>
                <w:szCs w:val="20"/>
                <w:color w:val="auto"/>
              </w:rPr>
            </w:pPr>
            <w:r>
              <w:rPr>
                <w:rFonts w:ascii="Arial" w:cs="Arial" w:eastAsia="Arial" w:hAnsi="Arial"/>
                <w:sz w:val="18"/>
                <w:szCs w:val="18"/>
                <w:b w:val="1"/>
                <w:bCs w:val="1"/>
                <w:color w:val="auto"/>
                <w:w w:val="93"/>
              </w:rPr>
              <w:t>Daily Charter Rate</w:t>
            </w:r>
          </w:p>
        </w:tc>
        <w:tc>
          <w:tcPr>
            <w:tcW w:w="1300" w:type="dxa"/>
            <w:vAlign w:val="bottom"/>
            <w:tcBorders>
              <w:top w:val="single" w:sz="8" w:color="auto"/>
            </w:tcBorders>
            <w:shd w:val="clear" w:color="auto" w:fill="E0E0E0"/>
          </w:tcPr>
          <w:p>
            <w:pPr>
              <w:jc w:val="right"/>
              <w:ind w:right="450"/>
              <w:spacing w:after="0"/>
              <w:rPr>
                <w:sz w:val="20"/>
                <w:szCs w:val="20"/>
                <w:color w:val="auto"/>
              </w:rPr>
            </w:pPr>
            <w:r>
              <w:rPr>
                <w:rFonts w:ascii="Arial" w:cs="Arial" w:eastAsia="Arial" w:hAnsi="Arial"/>
                <w:sz w:val="18"/>
                <w:szCs w:val="18"/>
                <w:b w:val="1"/>
                <w:bCs w:val="1"/>
                <w:color w:val="auto"/>
              </w:rPr>
              <w:t>OPEX</w:t>
            </w:r>
          </w:p>
        </w:tc>
        <w:tc>
          <w:tcPr>
            <w:tcW w:w="1460" w:type="dxa"/>
            <w:vAlign w:val="bottom"/>
            <w:tcBorders>
              <w:top w:val="single" w:sz="8" w:color="auto"/>
            </w:tcBorders>
            <w:shd w:val="clear" w:color="auto" w:fill="E0E0E0"/>
          </w:tcPr>
          <w:p>
            <w:pPr>
              <w:spacing w:after="0"/>
              <w:rPr>
                <w:sz w:val="20"/>
                <w:szCs w:val="20"/>
                <w:color w:val="auto"/>
              </w:rPr>
            </w:pPr>
          </w:p>
        </w:tc>
        <w:tc>
          <w:tcPr>
            <w:tcW w:w="1520" w:type="dxa"/>
            <w:vAlign w:val="bottom"/>
            <w:tcBorders>
              <w:top w:val="single" w:sz="8" w:color="auto"/>
              <w:right w:val="single" w:sz="8" w:color="auto"/>
            </w:tcBorders>
            <w:shd w:val="clear" w:color="auto" w:fill="E0E0E0"/>
          </w:tcPr>
          <w:p>
            <w:pPr>
              <w:spacing w:after="0"/>
              <w:rPr>
                <w:sz w:val="20"/>
                <w:szCs w:val="20"/>
                <w:color w:val="auto"/>
              </w:rPr>
            </w:pPr>
          </w:p>
        </w:tc>
      </w:tr>
      <w:tr>
        <w:trPr>
          <w:trHeight w:val="241"/>
        </w:trPr>
        <w:tc>
          <w:tcPr>
            <w:tcW w:w="1960" w:type="dxa"/>
            <w:vAlign w:val="bottom"/>
            <w:tcBorders>
              <w:left w:val="single" w:sz="8" w:color="auto"/>
              <w:bottom w:val="single" w:sz="8" w:color="auto"/>
            </w:tcBorders>
            <w:shd w:val="clear" w:color="auto" w:fill="E0E0E0"/>
          </w:tcPr>
          <w:p>
            <w:pPr>
              <w:ind w:left="380"/>
              <w:spacing w:after="0"/>
              <w:rPr>
                <w:sz w:val="20"/>
                <w:szCs w:val="20"/>
                <w:color w:val="auto"/>
              </w:rPr>
            </w:pPr>
            <w:r>
              <w:rPr>
                <w:rFonts w:ascii="Arial" w:cs="Arial" w:eastAsia="Arial" w:hAnsi="Arial"/>
                <w:sz w:val="18"/>
                <w:szCs w:val="18"/>
                <w:b w:val="1"/>
                <w:bCs w:val="1"/>
                <w:color w:val="auto"/>
              </w:rPr>
              <w:t>Name of Vessel</w:t>
            </w:r>
          </w:p>
        </w:tc>
        <w:tc>
          <w:tcPr>
            <w:tcW w:w="2080" w:type="dxa"/>
            <w:vAlign w:val="bottom"/>
            <w:tcBorders>
              <w:bottom w:val="single" w:sz="8" w:color="auto"/>
            </w:tcBorders>
            <w:shd w:val="clear" w:color="auto" w:fill="E0E0E0"/>
          </w:tcPr>
          <w:p>
            <w:pPr>
              <w:jc w:val="right"/>
              <w:ind w:right="530"/>
              <w:spacing w:after="0"/>
              <w:rPr>
                <w:sz w:val="20"/>
                <w:szCs w:val="20"/>
                <w:color w:val="auto"/>
              </w:rPr>
            </w:pPr>
            <w:r>
              <w:rPr>
                <w:rFonts w:ascii="Arial" w:cs="Arial" w:eastAsia="Arial" w:hAnsi="Arial"/>
                <w:sz w:val="18"/>
                <w:szCs w:val="18"/>
                <w:b w:val="1"/>
                <w:bCs w:val="1"/>
                <w:color w:val="auto"/>
              </w:rPr>
              <w:t>Delivery Date</w:t>
            </w:r>
          </w:p>
        </w:tc>
        <w:tc>
          <w:tcPr>
            <w:tcW w:w="1460" w:type="dxa"/>
            <w:vAlign w:val="bottom"/>
            <w:tcBorders>
              <w:bottom w:val="single" w:sz="8" w:color="auto"/>
            </w:tcBorders>
            <w:shd w:val="clear" w:color="auto" w:fill="E0E0E0"/>
          </w:tcPr>
          <w:p>
            <w:pPr>
              <w:jc w:val="right"/>
              <w:ind w:right="410"/>
              <w:spacing w:after="0"/>
              <w:rPr>
                <w:sz w:val="20"/>
                <w:szCs w:val="20"/>
                <w:color w:val="auto"/>
              </w:rPr>
            </w:pPr>
            <w:r>
              <w:rPr>
                <w:rFonts w:ascii="Arial" w:cs="Arial" w:eastAsia="Arial" w:hAnsi="Arial"/>
                <w:sz w:val="18"/>
                <w:szCs w:val="18"/>
                <w:b w:val="1"/>
                <w:bCs w:val="1"/>
                <w:color w:val="auto"/>
              </w:rPr>
              <w:t>Charter</w:t>
            </w:r>
          </w:p>
        </w:tc>
        <w:tc>
          <w:tcPr>
            <w:tcW w:w="1640" w:type="dxa"/>
            <w:vAlign w:val="bottom"/>
            <w:tcBorders>
              <w:bottom w:val="single" w:sz="8" w:color="auto"/>
            </w:tcBorders>
            <w:shd w:val="clear" w:color="auto" w:fill="E0E0E0"/>
          </w:tcPr>
          <w:p>
            <w:pPr>
              <w:jc w:val="right"/>
              <w:ind w:right="610"/>
              <w:spacing w:after="0"/>
              <w:rPr>
                <w:sz w:val="20"/>
                <w:szCs w:val="20"/>
                <w:color w:val="auto"/>
              </w:rPr>
            </w:pPr>
            <w:r>
              <w:rPr>
                <w:rFonts w:ascii="Arial" w:cs="Arial" w:eastAsia="Arial" w:hAnsi="Arial"/>
                <w:sz w:val="18"/>
                <w:szCs w:val="18"/>
                <w:b w:val="1"/>
                <w:bCs w:val="1"/>
                <w:color w:val="auto"/>
              </w:rPr>
              <w:t>(Net)</w:t>
            </w:r>
          </w:p>
        </w:tc>
        <w:tc>
          <w:tcPr>
            <w:tcW w:w="1300" w:type="dxa"/>
            <w:vAlign w:val="bottom"/>
            <w:tcBorders>
              <w:bottom w:val="single" w:sz="8" w:color="auto"/>
            </w:tcBorders>
            <w:shd w:val="clear" w:color="auto" w:fill="E0E0E0"/>
          </w:tcPr>
          <w:p>
            <w:pPr>
              <w:jc w:val="right"/>
              <w:ind w:right="350"/>
              <w:spacing w:after="0"/>
              <w:rPr>
                <w:sz w:val="20"/>
                <w:szCs w:val="20"/>
                <w:color w:val="auto"/>
              </w:rPr>
            </w:pPr>
            <w:r>
              <w:rPr>
                <w:rFonts w:ascii="Arial" w:cs="Arial" w:eastAsia="Arial" w:hAnsi="Arial"/>
                <w:sz w:val="18"/>
                <w:szCs w:val="18"/>
                <w:b w:val="1"/>
                <w:bCs w:val="1"/>
                <w:color w:val="auto"/>
              </w:rPr>
              <w:t>(per day)</w:t>
            </w:r>
          </w:p>
        </w:tc>
        <w:tc>
          <w:tcPr>
            <w:tcW w:w="1460" w:type="dxa"/>
            <w:vAlign w:val="bottom"/>
            <w:tcBorders>
              <w:bottom w:val="single" w:sz="8" w:color="auto"/>
            </w:tcBorders>
            <w:shd w:val="clear" w:color="auto" w:fill="E0E0E0"/>
          </w:tcPr>
          <w:p>
            <w:pPr>
              <w:jc w:val="right"/>
              <w:ind w:right="230"/>
              <w:spacing w:after="0"/>
              <w:rPr>
                <w:sz w:val="20"/>
                <w:szCs w:val="20"/>
                <w:color w:val="auto"/>
              </w:rPr>
            </w:pPr>
            <w:r>
              <w:rPr>
                <w:rFonts w:ascii="Arial" w:cs="Arial" w:eastAsia="Arial" w:hAnsi="Arial"/>
                <w:sz w:val="18"/>
                <w:szCs w:val="18"/>
                <w:b w:val="1"/>
                <w:bCs w:val="1"/>
                <w:color w:val="auto"/>
              </w:rPr>
              <w:t>Charterer (1)</w:t>
            </w:r>
          </w:p>
        </w:tc>
        <w:tc>
          <w:tcPr>
            <w:tcW w:w="1520" w:type="dxa"/>
            <w:vAlign w:val="bottom"/>
            <w:tcBorders>
              <w:bottom w:val="single" w:sz="8" w:color="auto"/>
              <w:right w:val="single" w:sz="8" w:color="auto"/>
            </w:tcBorders>
            <w:shd w:val="clear" w:color="auto" w:fill="E0E0E0"/>
          </w:tcPr>
          <w:p>
            <w:pPr>
              <w:jc w:val="right"/>
              <w:ind w:right="170"/>
              <w:spacing w:after="0"/>
              <w:rPr>
                <w:sz w:val="20"/>
                <w:szCs w:val="20"/>
                <w:color w:val="auto"/>
              </w:rPr>
            </w:pPr>
            <w:r>
              <w:rPr>
                <w:rFonts w:ascii="Arial" w:cs="Arial" w:eastAsia="Arial" w:hAnsi="Arial"/>
                <w:sz w:val="18"/>
                <w:szCs w:val="18"/>
                <w:b w:val="1"/>
                <w:bCs w:val="1"/>
                <w:color w:val="auto"/>
                <w:w w:val="95"/>
              </w:rPr>
              <w:t>Purchase Price</w:t>
            </w:r>
          </w:p>
        </w:tc>
      </w:tr>
      <w:tr>
        <w:trPr>
          <w:trHeight w:val="216"/>
        </w:trPr>
        <w:tc>
          <w:tcPr>
            <w:tcW w:w="19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Atrotos</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May 2007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2010</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$20,000(2)</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MS</w:t>
            </w:r>
          </w:p>
        </w:tc>
        <w:tc>
          <w:tcPr>
            <w:tcW w:w="1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Akeraios</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July 2007</w:t>
            </w:r>
          </w:p>
        </w:tc>
        <w:tc>
          <w:tcPr>
            <w:tcW w:w="1460" w:type="dxa"/>
            <w:vAlign w:val="bottom"/>
          </w:tcPr>
          <w:p>
            <w:pPr>
              <w:jc w:val="right"/>
              <w:spacing w:after="0"/>
              <w:rPr>
                <w:sz w:val="20"/>
                <w:szCs w:val="20"/>
                <w:color w:val="auto"/>
              </w:rPr>
            </w:pPr>
            <w:r>
              <w:rPr>
                <w:rFonts w:ascii="Arial" w:cs="Arial" w:eastAsia="Arial" w:hAnsi="Arial"/>
                <w:sz w:val="18"/>
                <w:szCs w:val="18"/>
                <w:color w:val="auto"/>
              </w:rPr>
              <w:t>June 2010</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$20,000(2)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MS</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Anemos I</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September 2007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2010</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$20,000(2)</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MS</w:t>
            </w:r>
          </w:p>
        </w:tc>
        <w:tc>
          <w:tcPr>
            <w:tcW w:w="1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Apostolos</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September 2007</w:t>
            </w:r>
          </w:p>
        </w:tc>
        <w:tc>
          <w:tcPr>
            <w:tcW w:w="1460" w:type="dxa"/>
            <w:vAlign w:val="bottom"/>
          </w:tcPr>
          <w:p>
            <w:pPr>
              <w:jc w:val="right"/>
              <w:spacing w:after="0"/>
              <w:rPr>
                <w:sz w:val="20"/>
                <w:szCs w:val="20"/>
                <w:color w:val="auto"/>
              </w:rPr>
            </w:pPr>
            <w:r>
              <w:rPr>
                <w:rFonts w:ascii="Arial" w:cs="Arial" w:eastAsia="Arial" w:hAnsi="Arial"/>
                <w:sz w:val="18"/>
                <w:szCs w:val="18"/>
                <w:color w:val="auto"/>
              </w:rPr>
              <w:t>August 2010</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$20,000(2)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MS</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Attikos</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September 2007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2009</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$13,504(3)</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Trafigura</w:t>
            </w:r>
          </w:p>
        </w:tc>
        <w:tc>
          <w:tcPr>
            <w:tcW w:w="1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r>
      <w:tr>
        <w:trPr>
          <w:trHeight w:val="216"/>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Alexandros II</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January 2008</w:t>
            </w:r>
          </w:p>
        </w:tc>
        <w:tc>
          <w:tcPr>
            <w:tcW w:w="1460" w:type="dxa"/>
            <w:vAlign w:val="bottom"/>
          </w:tcPr>
          <w:p>
            <w:pPr>
              <w:jc w:val="right"/>
              <w:spacing w:after="0"/>
              <w:rPr>
                <w:sz w:val="20"/>
                <w:szCs w:val="20"/>
                <w:color w:val="auto"/>
              </w:rPr>
            </w:pPr>
            <w:r>
              <w:rPr>
                <w:rFonts w:ascii="Arial" w:cs="Arial" w:eastAsia="Arial" w:hAnsi="Arial"/>
                <w:sz w:val="18"/>
                <w:szCs w:val="18"/>
                <w:color w:val="auto"/>
              </w:rPr>
              <w:t>December 2017</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$13,000(4)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OSG</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$48,000,000</w:t>
            </w:r>
          </w:p>
        </w:tc>
      </w:tr>
      <w:tr>
        <w:trPr>
          <w:trHeight w:val="197"/>
        </w:trPr>
        <w:tc>
          <w:tcPr>
            <w:tcW w:w="1960" w:type="dxa"/>
            <w:vAlign w:val="bottom"/>
            <w:tcBorders>
              <w:left w:val="single" w:sz="8" w:color="auto"/>
            </w:tcBorders>
            <w:shd w:val="clear" w:color="auto" w:fill="CCEEFF"/>
          </w:tcPr>
          <w:p>
            <w:pPr>
              <w:ind w:left="40"/>
              <w:spacing w:after="0" w:line="197" w:lineRule="exact"/>
              <w:rPr>
                <w:sz w:val="20"/>
                <w:szCs w:val="20"/>
                <w:color w:val="auto"/>
              </w:rPr>
            </w:pPr>
            <w:r>
              <w:rPr>
                <w:rFonts w:ascii="Arial" w:cs="Arial" w:eastAsia="Arial" w:hAnsi="Arial"/>
                <w:sz w:val="18"/>
                <w:szCs w:val="18"/>
                <w:b w:val="1"/>
                <w:bCs w:val="1"/>
                <w:color w:val="auto"/>
              </w:rPr>
              <w:t>Amore Mio II</w:t>
            </w:r>
          </w:p>
        </w:tc>
        <w:tc>
          <w:tcPr>
            <w:tcW w:w="2080" w:type="dxa"/>
            <w:vAlign w:val="bottom"/>
            <w:shd w:val="clear" w:color="auto" w:fill="CCEEFF"/>
          </w:tcPr>
          <w:p>
            <w:pPr>
              <w:jc w:val="right"/>
              <w:ind w:right="50"/>
              <w:spacing w:after="0" w:line="197" w:lineRule="exact"/>
              <w:rPr>
                <w:sz w:val="20"/>
                <w:szCs w:val="20"/>
                <w:color w:val="auto"/>
              </w:rPr>
            </w:pPr>
            <w:r>
              <w:rPr>
                <w:rFonts w:ascii="Arial" w:cs="Arial" w:eastAsia="Arial" w:hAnsi="Arial"/>
                <w:sz w:val="18"/>
                <w:szCs w:val="18"/>
                <w:color w:val="auto"/>
              </w:rPr>
              <w:t>March 2008</w:t>
            </w:r>
          </w:p>
        </w:tc>
        <w:tc>
          <w:tcPr>
            <w:tcW w:w="14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January 2011</w:t>
            </w:r>
          </w:p>
        </w:tc>
        <w:tc>
          <w:tcPr>
            <w:tcW w:w="1640" w:type="dxa"/>
            <w:vAlign w:val="bottom"/>
            <w:shd w:val="clear" w:color="auto" w:fill="CCEEFF"/>
          </w:tcPr>
          <w:p>
            <w:pPr>
              <w:jc w:val="right"/>
              <w:ind w:right="70"/>
              <w:spacing w:after="0" w:line="197" w:lineRule="exact"/>
              <w:rPr>
                <w:sz w:val="20"/>
                <w:szCs w:val="20"/>
                <w:color w:val="auto"/>
              </w:rPr>
            </w:pPr>
            <w:r>
              <w:rPr>
                <w:rFonts w:ascii="Arial" w:cs="Arial" w:eastAsia="Arial" w:hAnsi="Arial"/>
                <w:sz w:val="18"/>
                <w:szCs w:val="18"/>
                <w:color w:val="auto"/>
              </w:rPr>
              <w:t>$36,000(2)(3)</w:t>
            </w:r>
          </w:p>
        </w:tc>
        <w:tc>
          <w:tcPr>
            <w:tcW w:w="1300" w:type="dxa"/>
            <w:vAlign w:val="bottom"/>
            <w:shd w:val="clear" w:color="auto" w:fill="CCEEFF"/>
          </w:tcPr>
          <w:p>
            <w:pPr>
              <w:jc w:val="right"/>
              <w:ind w:right="30"/>
              <w:spacing w:after="0" w:line="197" w:lineRule="exact"/>
              <w:rPr>
                <w:sz w:val="20"/>
                <w:szCs w:val="20"/>
                <w:color w:val="auto"/>
              </w:rPr>
            </w:pPr>
            <w:r>
              <w:rPr>
                <w:rFonts w:ascii="Arial" w:cs="Arial" w:eastAsia="Arial" w:hAnsi="Arial"/>
                <w:sz w:val="18"/>
                <w:szCs w:val="18"/>
                <w:color w:val="auto"/>
              </w:rPr>
              <w:t>$8,500</w:t>
            </w:r>
          </w:p>
        </w:tc>
        <w:tc>
          <w:tcPr>
            <w:tcW w:w="1460" w:type="dxa"/>
            <w:vAlign w:val="bottom"/>
            <w:shd w:val="clear" w:color="auto" w:fill="CCEEFF"/>
          </w:tcPr>
          <w:p>
            <w:pPr>
              <w:jc w:val="right"/>
              <w:ind w:right="10"/>
              <w:spacing w:after="0" w:line="197" w:lineRule="exact"/>
              <w:rPr>
                <w:sz w:val="20"/>
                <w:szCs w:val="20"/>
                <w:color w:val="auto"/>
              </w:rPr>
            </w:pPr>
            <w:r>
              <w:rPr>
                <w:rFonts w:ascii="Arial" w:cs="Arial" w:eastAsia="Arial" w:hAnsi="Arial"/>
                <w:sz w:val="18"/>
                <w:szCs w:val="18"/>
                <w:color w:val="auto"/>
              </w:rPr>
              <w:t>BP</w:t>
            </w:r>
          </w:p>
        </w:tc>
        <w:tc>
          <w:tcPr>
            <w:tcW w:w="1520" w:type="dxa"/>
            <w:vAlign w:val="bottom"/>
            <w:tcBorders>
              <w:right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$85,739,320 (5)</w:t>
            </w:r>
          </w:p>
        </w:tc>
      </w:tr>
      <w:tr>
        <w:trPr>
          <w:trHeight w:val="234"/>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Aristofanis</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April 2008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2010</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$12,952(3)</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Shell</w:t>
            </w:r>
          </w:p>
        </w:tc>
        <w:tc>
          <w:tcPr>
            <w:tcW w:w="1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$21,566,265 (5)</w:t>
            </w:r>
          </w:p>
        </w:tc>
      </w:tr>
      <w:tr>
        <w:trPr>
          <w:trHeight w:val="216"/>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Aristotelis II</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June 2008</w:t>
            </w:r>
          </w:p>
        </w:tc>
        <w:tc>
          <w:tcPr>
            <w:tcW w:w="14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$13,000(4)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OSG</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$48,000,000</w:t>
            </w:r>
          </w:p>
        </w:tc>
      </w:tr>
      <w:tr>
        <w:trPr>
          <w:trHeight w:val="236"/>
        </w:trPr>
        <w:tc>
          <w:tcPr>
            <w:tcW w:w="19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Aris II</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August 2008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2018</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$13,000(4)</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OSG</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r>
    </w:tbl>
    <w:p>
      <w:pPr>
        <w:spacing w:after="0" w:line="200" w:lineRule="exact"/>
        <w:rPr>
          <w:sz w:val="20"/>
          <w:szCs w:val="20"/>
          <w:color w:val="auto"/>
        </w:rPr>
      </w:pPr>
    </w:p>
    <w:p>
      <w:pPr>
        <w:sectPr>
          <w:pgSz w:w="11900" w:h="16838" w:orient="portrait"/>
          <w:cols w:equalWidth="0" w:num="1">
            <w:col w:w="11420"/>
          </w:cols>
          <w:pgMar w:left="240" w:top="134"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BP: BP Shipping Limited. Morgan Stanley: Morgan Stanley Capital Group Inc., OSG: certain subsidiaries of Overseas Shipholding Group Inc.</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Trafigura: Trafigura Beheer B.V. Shell: Shell International Trading &amp; Shipping Company Ltd.</w:t>
      </w:r>
    </w:p>
    <w:p>
      <w:pPr>
        <w:spacing w:after="0" w:line="8" w:lineRule="exact"/>
        <w:rPr>
          <w:rFonts w:ascii="Arial" w:cs="Arial" w:eastAsia="Arial" w:hAnsi="Arial"/>
          <w:sz w:val="17"/>
          <w:szCs w:val="17"/>
          <w:color w:val="auto"/>
        </w:rPr>
      </w:pPr>
    </w:p>
    <w:p>
      <w:pPr>
        <w:ind w:left="660" w:right="2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50/50 profit sharing arrangement. Please read “Item 4B: Business Overview—Time Charters—Profit Sharing” and “Item 4B: Business Overview—Our Fleet” for more information on our profit sharing arrangements and relevant commissions.</w:t>
      </w:r>
    </w:p>
    <w:p>
      <w:pPr>
        <w:ind w:left="660" w:right="2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rates quoted above are the net rates after we have paid commissions on the base rates. The rates for the M/T Attikos, the M/T Amore Mio II and the M/T Aristofanis are subject to 2.5%, 1.25% and 2.25% commissions, respectively.</w:t>
      </w:r>
    </w:p>
    <w:p>
      <w:pPr>
        <w:jc w:val="both"/>
        <w:ind w:left="66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charters with OSG for the three vessels delivered in 2008, OSG has an option to purchase each vessel at the end of the eighth, ninth or tenth year of the charter, for $38.0 million, $35.5 million and $33.0 million respectively, which option is exercisable six months before the date of completion of the eighth, ninth or tenth year of the respective charter. The expiration date above may therefore change depending on whether the charterer exercises its purchase option.</w:t>
      </w:r>
    </w:p>
    <w:p>
      <w:pPr>
        <w:jc w:val="both"/>
        <w:ind w:left="660" w:hanging="652"/>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M/T Amore Mio II was acquired on March 27, 2008 and the M/T Aristofanis was acquired on April 30, 2008. Please see Note 1 (Basis of Presentation and General Information) to our Financial Statements included herein for more information regarding these acquisitions, including a breakdown of the way such acquisitions were funded.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Contingencies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long-term contractual obligations as of December 31, 2008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186055</wp:posOffset>
            </wp:positionV>
            <wp:extent cx="6858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4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240" w:type="dxa"/>
            <w:vAlign w:val="bottom"/>
            <w:tcBorders>
              <w:bottom w:val="single" w:sz="8" w:color="auto"/>
            </w:tcBorders>
            <w:shd w:val="clear" w:color="auto" w:fill="E0E0E0"/>
          </w:tcPr>
          <w:p>
            <w:pPr>
              <w:spacing w:after="0"/>
              <w:rPr>
                <w:sz w:val="19"/>
                <w:szCs w:val="19"/>
                <w:color w:val="auto"/>
              </w:rPr>
            </w:pPr>
          </w:p>
        </w:tc>
        <w:tc>
          <w:tcPr>
            <w:tcW w:w="92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500" w:type="dxa"/>
            <w:vAlign w:val="bottom"/>
            <w:tcBorders>
              <w:bottom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spacing w:after="0"/>
              <w:rPr>
                <w:sz w:val="19"/>
                <w:szCs w:val="19"/>
                <w:color w:val="auto"/>
              </w:rPr>
            </w:pPr>
          </w:p>
        </w:tc>
        <w:tc>
          <w:tcPr>
            <w:tcW w:w="220" w:type="dxa"/>
            <w:vAlign w:val="bottom"/>
            <w:tcBorders>
              <w:bottom w:val="single" w:sz="8" w:color="auto"/>
            </w:tcBorders>
            <w:shd w:val="clear" w:color="auto" w:fill="E0E0E0"/>
          </w:tcPr>
          <w:p>
            <w:pPr>
              <w:spacing w:after="0"/>
              <w:rPr>
                <w:sz w:val="19"/>
                <w:szCs w:val="19"/>
                <w:color w:val="auto"/>
              </w:rPr>
            </w:pPr>
          </w:p>
        </w:tc>
        <w:tc>
          <w:tcPr>
            <w:tcW w:w="240" w:type="dxa"/>
            <w:vAlign w:val="bottom"/>
            <w:tcBorders>
              <w:bottom w:val="single" w:sz="8" w:color="auto"/>
            </w:tcBorders>
            <w:shd w:val="clear" w:color="auto" w:fill="E0E0E0"/>
          </w:tcPr>
          <w:p>
            <w:pPr>
              <w:spacing w:after="0"/>
              <w:rPr>
                <w:sz w:val="19"/>
                <w:szCs w:val="19"/>
                <w:color w:val="auto"/>
              </w:rPr>
            </w:pPr>
          </w:p>
        </w:tc>
        <w:tc>
          <w:tcPr>
            <w:tcW w:w="900" w:type="dxa"/>
            <w:vAlign w:val="bottom"/>
            <w:tcBorders>
              <w:bottom w:val="single" w:sz="8" w:color="auto"/>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100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c>
          <w:tcPr>
            <w:tcW w:w="220" w:type="dxa"/>
            <w:vAlign w:val="bottom"/>
            <w:tcBorders>
              <w:bottom w:val="single" w:sz="8" w:color="E0E0E0"/>
            </w:tcBorders>
            <w:shd w:val="clear" w:color="auto" w:fill="E0E0E0"/>
          </w:tcPr>
          <w:p>
            <w:pPr>
              <w:spacing w:after="0"/>
              <w:rPr>
                <w:sz w:val="19"/>
                <w:szCs w:val="19"/>
                <w:color w:val="auto"/>
              </w:rPr>
            </w:pPr>
          </w:p>
        </w:tc>
        <w:tc>
          <w:tcPr>
            <w:tcW w:w="92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r>
      <w:tr>
        <w:trPr>
          <w:trHeight w:val="223"/>
        </w:trPr>
        <w:tc>
          <w:tcPr>
            <w:tcW w:w="18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920" w:type="dxa"/>
            <w:vAlign w:val="bottom"/>
            <w:shd w:val="clear" w:color="auto" w:fill="E0E0E0"/>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900" w:type="dxa"/>
            <w:vAlign w:val="bottom"/>
            <w:shd w:val="clear" w:color="auto" w:fill="E0E0E0"/>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20" w:type="dxa"/>
            <w:vAlign w:val="bottom"/>
            <w:gridSpan w:val="2"/>
            <w:shd w:val="clear" w:color="auto" w:fill="E0E0E0"/>
          </w:tcPr>
          <w:p>
            <w:pPr>
              <w:jc w:val="right"/>
              <w:ind w:right="280"/>
              <w:spacing w:after="0"/>
              <w:rPr>
                <w:sz w:val="20"/>
                <w:szCs w:val="20"/>
                <w:color w:val="auto"/>
              </w:rPr>
            </w:pPr>
            <w:r>
              <w:rPr>
                <w:rFonts w:ascii="Arial" w:cs="Arial" w:eastAsia="Arial" w:hAnsi="Arial"/>
                <w:sz w:val="18"/>
                <w:szCs w:val="18"/>
                <w:b w:val="1"/>
                <w:bCs w:val="1"/>
                <w:color w:val="auto"/>
                <w:w w:val="93"/>
              </w:rPr>
              <w:t>Thereafter</w:t>
            </w:r>
          </w:p>
        </w:tc>
        <w:tc>
          <w:tcPr>
            <w:tcW w:w="10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020" w:type="dxa"/>
            <w:vAlign w:val="bottom"/>
            <w:gridSpan w:val="2"/>
            <w:shd w:val="clear" w:color="auto" w:fill="E0E0E0"/>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184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E0E0E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E0E0E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r>
      <w:tr>
        <w:trPr>
          <w:trHeight w:val="201"/>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410,962</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474,000</w:t>
            </w:r>
          </w:p>
        </w:tc>
      </w:tr>
      <w:tr>
        <w:trPr>
          <w:trHeight w:val="201"/>
        </w:trPr>
        <w:tc>
          <w:tcPr>
            <w:tcW w:w="1840" w:type="dxa"/>
            <w:vAlign w:val="bottom"/>
          </w:tcPr>
          <w:p>
            <w:pPr>
              <w:spacing w:after="0" w:line="201" w:lineRule="exact"/>
              <w:rPr>
                <w:sz w:val="20"/>
                <w:szCs w:val="20"/>
                <w:color w:val="auto"/>
              </w:rPr>
            </w:pPr>
            <w:r>
              <w:rPr>
                <w:rFonts w:ascii="Arial" w:cs="Arial" w:eastAsia="Arial" w:hAnsi="Arial"/>
                <w:sz w:val="18"/>
                <w:szCs w:val="18"/>
                <w:color w:val="auto"/>
                <w:w w:val="99"/>
              </w:rPr>
              <w:t>Interest Obligations (1)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40" w:type="dxa"/>
            <w:vAlign w:val="bottom"/>
          </w:tcPr>
          <w:p>
            <w:pPr>
              <w:ind w:lef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27,206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27,212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27,151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69,223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203,830</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27,829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27,206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480,185</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677,830</w:t>
            </w:r>
          </w:p>
        </w:tc>
      </w:tr>
      <w:tr>
        <w:trPr>
          <w:trHeight w:val="224"/>
        </w:trPr>
        <w:tc>
          <w:tcPr>
            <w:tcW w:w="1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-882015</wp:posOffset>
            </wp:positionV>
            <wp:extent cx="6858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-316865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1" w:lineRule="exact"/>
        <w:rPr>
          <w:sz w:val="20"/>
          <w:szCs w:val="20"/>
          <w:color w:val="auto"/>
        </w:rPr>
      </w:pPr>
    </w:p>
    <w:p>
      <w:pPr>
        <w:jc w:val="both"/>
        <w:ind w:left="660" w:hanging="652"/>
        <w:spacing w:after="0" w:line="28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Please refer to the table under “Item 5B: Operating and Financial Review and Prospects —Liquidity and Capital Resources” above for a detailed description of the basis for the interest expense calculation under our credit facilities. The interest rate fixation resulted from the fourteen interest rate swap agreements that we entered into in order to reduce our exposure to cash flow risks from fluctuating interest rates and fully cover our debt.</w:t>
      </w:r>
    </w:p>
    <w:p>
      <w:pPr>
        <w:spacing w:after="0" w:line="1"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expenses for the three month period ended March 31, 2009 has increased by 0.55297% under our existing credit facility and by 0.3928%, under new credit facility, respectively, in accordance with the terms of each facility and reflect the increase in funding costs announced by our banks for this three-month period.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240"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Financial Statements included herein for more information. Please also refer to Note 2 (Significant Accounting Policies – Recent Accounting Pronouncements) for a description of the most recent pronouncements issued by the Financial Accounting Standards Board which apply to us.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279"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The carrying value of each of our vessels represents its original cost (contract price plus initial expenditures) at the time of delivery or purchase less accumulated depreciation or impairment charges. Depreciation is calculated based on the vessel’s capitalized costs using the straight line method over an estimated useful life of 25 years from the date the vessel was originally delivered from the shipyard, after considering the estimated residual value. Residual value calculation is based upon a vessel’s lightweight tonnage multiplied by a scrap rate of $180 per light weight ton which represents management’s best estimate based on the historical trends and current industry conditions. In the shipping industry, the use of a 25-year vessel life for tankers has become the prevailing standard. However, the actual life of a vessel may be different, with a shorter life potentially resulting in an impairment loss. Vessels transferred from Capital Maritime to us are transferred at their net book values because such transfers are accounted for as transfers of assets between entities under common control. We are not aware of any regulatory changes or environmental liabilities that we anticipate will have a material impact on the vessel lives of our current fleet. The carrying values of our vessels may not represent their fair market value at any point in time since the market prices of second-hand vessels tend to fluctuate with changes in charter rates and the cost of newbuildings. Both charter rates and newbuilding costs tend to be cyclical in nature. We review vessels and equipment for impairment whenever events or changes in circumstances indicate the carrying amount of an asset may not be recoverable. If impairment indicators are present, we measure the recoverability of an asset by comparing its carrying amount to future undiscounted cash flows that the asset is expected to generate over its remaining useful life. If we consider a vessel or equipment to be impaired, we recognize impairment in an amount equal to the excess of the carrying value of the asset over its fair market value. We evaluated all of our long-lived assets at December 31, 2008, and determined that the undiscounted estimated future net cash flows related to these assets continued to support their recorded values. The estimates and assumptions regarding the undiscounted net cash flows require considerable judgment and are based upon existing contracts, historical experience, financial forecasts and industry trends and conditions. No impairment loss was recorded for any of the periods presented in our Financial Statements.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generate revenues from charterers for the charterhire of our vessels which are chartered either under time or bareboat charters. All of our time charters and bareboat charters are classified as operating leases. Revenues under operating lease arrangements are recognized when a charter agreement exists, the charter rate is fixed and determinable, the vessel is made available to the lessee, and collection of the related revenue is reasonably assured. Revenues are recognized ratably on a straight line basis as the average revenue over the period of the respective time or bareboat charter agreement in accordance with FASB 13 “Accounting for Leases”, paragraph 19b. We currently do not enter into spot voyage arrangements with respect to any of our vessels but may do so in the future. Although our charter revenues are fixed, and, accordingly, little judgment is required to be applied to the amount of revenue recognition, there is no certainty as to the daily charter rates or other terms that will be available upon the expiration of our existing charters.</w:t>
      </w:r>
    </w:p>
    <w:p>
      <w:pPr>
        <w:spacing w:after="0" w:line="21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Revenues from profit sharing arrangements in time charters represent the portion of time charter equivalent (voyage income less direct expenses divided by operating days), that exceeds the agreed base rate and are recognized in the period earned.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79"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We designate our derivatives based upon the criteria established by SFAS No. 133 “Accounting for Derivative Instruments and Hedging Activities” (“SFAS 133”), which establishes accounting and reporting standards for derivative instruments, including certain derivative instruments embedded in other contracts, and for hedging activities. SFAS 133, as amended by SFAS No. 138, Accounting for Certain Derivative Instruments and Certain Hedging Activities —An amendment of SFAS 133 (“SFAS 138”) and SFAS No. 149, Amendment of Statement 133 on Derivative Instruments and Hedging Activities (“SFAS 149”),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 fair value is recognized at the end of each accounting period on the income statement. For a derivative that qualifies as a cash flow hedge, the change in fair value is recognized at the end of each reporting period in accumulated other comprehensive income/ (loss) (effective portion) until the hedged item is recognized in income. The ineffective portion of a derivative’s change in fair value is immediately recognized in the income statement.</w:t>
      </w:r>
    </w:p>
    <w:p>
      <w:pPr>
        <w:spacing w:after="0" w:line="237" w:lineRule="exact"/>
        <w:rPr>
          <w:sz w:val="20"/>
          <w:szCs w:val="20"/>
          <w:color w:val="auto"/>
        </w:rPr>
      </w:pPr>
    </w:p>
    <w:p>
      <w:pPr>
        <w:ind w:right="420" w:firstLine="809"/>
        <w:spacing w:after="0" w:line="263" w:lineRule="auto"/>
        <w:rPr>
          <w:sz w:val="20"/>
          <w:szCs w:val="20"/>
          <w:color w:val="auto"/>
        </w:rPr>
      </w:pPr>
      <w:r>
        <w:rPr>
          <w:rFonts w:ascii="Arial" w:cs="Arial" w:eastAsia="Arial" w:hAnsi="Arial"/>
          <w:sz w:val="18"/>
          <w:szCs w:val="18"/>
          <w:color w:val="auto"/>
        </w:rPr>
        <w:t>As of December 31, 2008 all our interest rate swaps qualified as a cash flow hedge and the changes in their fair value were recognized in accumulated other comprehensive income/(loss). Please see Note 2 (Significant Accounting Policies – Interest Rate Swap Agreements) and Note 6 (Fair Value of Financial Instruments) to our Financial Statements included herein for more detailed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79" w:lineRule="exact"/>
        <w:rPr>
          <w:sz w:val="20"/>
          <w:szCs w:val="20"/>
          <w:color w:val="auto"/>
        </w:rPr>
      </w:pPr>
    </w:p>
    <w:p>
      <w:pPr>
        <w:jc w:val="both"/>
        <w:ind w:firstLine="809"/>
        <w:spacing w:after="0" w:line="254" w:lineRule="auto"/>
        <w:rPr>
          <w:sz w:val="20"/>
          <w:szCs w:val="20"/>
          <w:color w:val="auto"/>
        </w:rPr>
      </w:pPr>
      <w:r>
        <w:rPr>
          <w:rFonts w:ascii="Arial" w:cs="Arial" w:eastAsia="Arial" w:hAnsi="Arial"/>
          <w:sz w:val="18"/>
          <w:szCs w:val="18"/>
          <w:color w:val="auto"/>
        </w:rPr>
        <w:t>On January 1, 2008, we adopted SFAS No. 157, Fair Value Measurements, (“SFAS No. 157”) for financial assets and liabilities and any other assets and liabilities carried at fair value. This pronouncement defines fair value, establishes a framework for measuring fair value and expands disclosures about fair value measurements. Our adoption of SFAS No. 157 did not have a material effect on our Financial Statements for financial assets and liabilities and any other assets and liabilities carried at fair value. The carrying value of trade receivables, accounts payable and current accrued liabilities approximates fair value. The fair values of long-term variable rate bank loans approximate the recorded values, due to their variable interest. Interest rate swaps are also recorded at fair value. Please see Note 2 (Significant Accounting Policies) and Note 6 (Fair Value of Financial Instruments) to our Financial Statements included herein for more detailed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28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240"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Our board of directors consists of three persons who are designated by our general partner in its sole discretion and four who are elected by the common unitholders. Directors appointed by our general partner serve as directors for terms determined by our general partner and directors elected by our common unitholders are divided into three classes serving staggered three-year terms. The initial four directors appointed by Capital Maritime were designated as Class I, Class II and Class III elected directors. The Class I Director was re-elected during our 2008 annual meeting of unitholders with a term scheduled to expire in 2011. Our initial Class II and Class III elected directors will serve until our annual meetings of unitholders in 2009 and 2010, respectively. At each annual meeting of unitholders, directors will be elected to succeed the class of directors whose terms have expired by a plurality of the votes of the common unitholders (excluding common units held by Capital Maritime and its affiliates). Directors elected by our common unitholders will be nominated by the board of directors or by any limited partner or group of limited partners that holds at least 10% of the outstanding common units.</w:t>
      </w:r>
    </w:p>
    <w:p>
      <w:pPr>
        <w:spacing w:after="0" w:line="21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is in our best interests taking into consideration the general economic conditions, lack of any accretive acquisition targets, our business requirements, risks relating to our business as well as alternative uses available for our cash. Following such conversion, Capital Maritime owns a 46.6% interest in us, including 11,304,651common units and a 2% interest in us through its ownership of our general partner. Prior to such conversion, certain actions, including the approval of any amendments to the terms of the partnership agreement, required the approval of a majority of each of the common and subordinated units, voting separately, or in certain cases a higher percentage of common units. Following termination of the subordination period a majority of common units (or in certain cases a higher percentage), of which Capital Maritime owns 45.6%, will be required in order to amend the terms of the partnership agreement or to reach certain decisions or actions, including, amongst others removal of any appointed director for cause, alter the we distribute out cash and determine reserves, elimination of any obligation to hold an annual general meeting and changes to the quorum requirements.</w:t>
      </w:r>
    </w:p>
    <w:p>
      <w:pPr>
        <w:spacing w:after="0" w:line="220"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the names, ages and positions of our directors and director nominees and our general partner's executive officers.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20" w:type="dxa"/>
            <w:vAlign w:val="bottom"/>
            <w:shd w:val="clear" w:color="auto" w:fill="E0E0E0"/>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shd w:val="clear" w:color="auto" w:fill="E0E0E0"/>
          </w:tcPr>
          <w:p>
            <w:pPr>
              <w:spacing w:after="0"/>
              <w:rPr>
                <w:sz w:val="19"/>
                <w:szCs w:val="19"/>
                <w:color w:val="auto"/>
              </w:rPr>
            </w:pPr>
          </w:p>
        </w:tc>
        <w:tc>
          <w:tcPr>
            <w:tcW w:w="6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8"/>
              </w:rPr>
              <w:t>Age</w:t>
            </w:r>
          </w:p>
        </w:tc>
        <w:tc>
          <w:tcPr>
            <w:tcW w:w="7680" w:type="dxa"/>
            <w:vAlign w:val="bottom"/>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02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7560" w:type="dxa"/>
            <w:vAlign w:val="bottom"/>
            <w:tcBorders>
              <w:top w:val="single" w:sz="8" w:color="auto"/>
            </w:tcBorders>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Evangelos M. Marinakis (1)</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41</w:t>
            </w: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Ioannis E. Lazaridis (1)</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41</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Chief Financial Officer and Director</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Nikolaos Syntychakis (1)</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47</w:t>
            </w: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Robert Curt (2)</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58</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Director (5)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Abel Rasterhoff (3)</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68</w:t>
            </w: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Evangelos G. Bairactaris (4)</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38</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Director and Secretary</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Keith Forman (4)</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50</w:t>
            </w: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(5)</w:t>
            </w:r>
          </w:p>
        </w:tc>
      </w:tr>
    </w:tbl>
    <w:p>
      <w:pPr>
        <w:spacing w:after="0"/>
        <w:rPr>
          <w:sz w:val="20"/>
          <w:szCs w:val="20"/>
          <w:color w:val="auto"/>
        </w:rPr>
      </w:pPr>
      <w:r>
        <w:rPr>
          <w:rFonts w:ascii="Arial" w:cs="Arial" w:eastAsia="Arial" w:hAnsi="Arial"/>
          <w:sz w:val="22"/>
          <w:szCs w:val="22"/>
          <w:color w:val="auto"/>
        </w:rPr>
        <w:t>_______________</w:t>
      </w:r>
    </w:p>
    <w:p>
      <w:pPr>
        <w:spacing w:after="0" w:line="13" w:lineRule="exact"/>
        <w:rPr>
          <w:sz w:val="20"/>
          <w:szCs w:val="20"/>
          <w:color w:val="auto"/>
        </w:rPr>
      </w:pPr>
    </w:p>
    <w:p>
      <w:pPr>
        <w:ind w:left="700" w:hanging="692"/>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2010).</w:t>
      </w:r>
    </w:p>
    <w:p>
      <w:pPr>
        <w:spacing w:after="0" w:line="12"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Class I director (term expires in 2011).</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as initial Class II director (term expires in 2009).</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as initial Class III director (term expires in 2010).</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Biographical information with respect to each of our directors, our director nominees and our general partner's executive officers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for our directors and executive officers is 3 Iassonos Street Piraeus, 18537 Greece.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M. Marinakis, Director and Chairman of the Board.</w:t>
      </w:r>
    </w:p>
    <w:p>
      <w:pPr>
        <w:spacing w:after="0" w:line="28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Mr. Marinakis joined our board of directors on March 13, 2007 and serves as the Chairman of the Board. Mr. Marinakis has served as Capital Maritime's President and Chief Executive Officer and as a director since its incorporation in March 2005. From 1992 to 2005, Mr. Marinakis was the Commercial Manager of Capital Ship Management and oversaw the businesses of the group of companies that currently form Capital Maritime. For the past 15 years, Mr. Marinakis has also been active in various other family businesses, all related to the shipping industry. During this time he founded Curzon Maritime Limited, a shipping broker, and Express Sea Transport Corporation, an international vessel operator. Mr. Marinakis began his career as a Sale &amp; Purchase trainee broker at Harley Mullion in the UK, and then worked as a chartering broker for Elders Chartering Limited, also in the UK. Mr. Marinakis holds a B.A. in International Business Administration and an MSC in International Relations from the United States International University Europe, London.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Chief Executive and Chief Financial Officer and Director.</w:t>
      </w:r>
    </w:p>
    <w:p>
      <w:pPr>
        <w:spacing w:after="0" w:line="28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Mr. Lazaridis has served as the Chief Executive and Chief Financial Officer of our general partner since its formation in January 2007 and joined our board of directors on March 13, 2007. Mr. Lazaridis has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28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Mr. Bairactaris joined our board of directors on March 13, 2007 and has served as our Secretary since our formation in January 2007. Mr. Bairactaris is a Greek attorney at law and a member of the Piraeus Bar Association. Mr. Bairactaris has been a partner in G.E.Bairactaris &amp; Partners since 2000 and has acted as managing partner since 2003. He has regularly provided his professional services to our predecessor companies and many Greek and international shipping companies and banks. Mr. Bairactaris is currently a director of Hellenic Seaways S.A., a Greek company which is one the largest coastal passenger and cargo transportation services company operating in Greece. Mr. Bairactaris holds a degree in law from the Law School of the Kapodistrian University of Athens in Greece.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1997 he worked as the Chief Officer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283"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from May 2005 until his resignation in February 2007 as the chairman of the audit committee. Mr. Rasterhoff is currently a director and audit committee member of Aegean Marine Petroleum Network Inc., a company listed on the New York Stock Exchange. Mr. Rasterhoff holds a graduate business degree in economics from Groningen State University.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28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Mr. Forman joined our board of directors on April 3, 2007 and serves on our conflicts committee and our audit committee. Mr. Forman is a Partner and serves as Chief Financial Officer of Crestwood Midstream Partners. Crestwood Midstream is a private investment partnership focused on making equity investments in the midstream energy market. Crestwood’s other partners include the Blackstone Group, Kayne Anderson and GSO Capital. Mr. Forman is also a member of the board of directors of Energy Solutions International Ltd., a supplier of oil and gas pipeline software management systems.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of GulfTerra Energy Partners L.P., a publicly traded master limited partnership. In his position with GulfTerra, he was responsible for the financing activities of the partnership, including its commercial and investment banking relationships.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P. Curt, Director.</w:t>
      </w:r>
    </w:p>
    <w:p>
      <w:pPr>
        <w:spacing w:after="0" w:line="28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Mr. Curt joined our board of directors on July 24, 2007 and serves on our conflicts committee and our audit committee. He had been a career executive for more than 30 years with ExxonMobil, and was named General Manager of ExxonMobil's Marine Transportation department following the merger of Exxon and Mobil in 1999. In 2003, he was seconded to Qatargas to lead its LNG vessel acquisition program and subsequently was appointed Managing Director of Qatar Gas Transport Company, the world's largest owner of LNG vessels. In 2006, he returned to the U.S., where he served as Vice President in ExxonMobil's SeaRiver subsidiary. Mr. Curt received his B.S. degree in Marine Engineering from the U.S. Merchant Marine Academy, Kings Point, and holds an MBA in Finance from Iona College.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8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prior to our IPO in April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and our general partner were formed in January 2007. Neither we nor our general partner have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For the year ended December 31, 2008, our directors, excluding our chairman, received an aggregate amount of $290,000 as compared to $202,274 received for the period from our IPO in April 2007 to December 31, 2007. In lieu of any other compensation, our chairman receives an annual fee of $100,000 for acting as a director and as the chairman of our board of directors. For the year ended December 31, 2007 this compensation amounted to $80,205. In addition, each director is reimbursed for out–of–pocket expenses in connection with attending meetings of the board of directors or committees and is fully indemnified by us for actions associated with being a director to the extent permitted under Marshall Islands law. Please also read Item 6E: “Share Ownership --- Restricted Units” below.</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Under the three-year services agreement entered into between our general partner and Mr. Lazaridis at the time of our IPO, if a change in control occurs within two years from the date of the agreement, Mr. Lazaridis may resign within six months of such change in control.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8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seven members, four of which are independent.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240"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24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of our board of directors is composed of three or more independent directors, each of whom must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independence standards of the Nasdaq Global Market, the SEC and any other applicable laws and regulations governing independence from time to time. The audit committee is currently comprised of directors Abel Rasterhoff (chair), Robert P. Curt and Keith Forman. All members of the committee are financially literate and our board of directors has determined that Mr. Rasterhoff qualifies as an “audit committee financial expert” for purposes of the U.S. Sarbanes-Oxley Act. The audit committee, among other things, reviews our external financial reporting, engages our external auditors and oversees our internal audit activities and procedures and the adequacy of our internal accounting controls.</w:t>
      </w:r>
    </w:p>
    <w:p>
      <w:pPr>
        <w:spacing w:after="0" w:line="231"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w:t>
      </w:r>
      <w:r>
        <w:rPr>
          <w:rFonts w:ascii="Arial" w:cs="Arial" w:eastAsia="Arial" w:hAnsi="Arial"/>
          <w:sz w:val="17"/>
          <w:szCs w:val="17"/>
          <w:i w:val="1"/>
          <w:iCs w:val="1"/>
          <w:color w:val="auto"/>
        </w:rPr>
        <w:t xml:space="preserve"> </w:t>
      </w:r>
      <w:r>
        <w:rPr>
          <w:rFonts w:ascii="Arial" w:cs="Arial" w:eastAsia="Arial" w:hAnsi="Arial"/>
          <w:sz w:val="17"/>
          <w:szCs w:val="17"/>
          <w:color w:val="auto"/>
        </w:rPr>
        <w:t>Keith Forman (chair), Abel Rasterhoff and Robert P. Curt.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8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currently do not have our own executive officers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2009:</w:t>
      </w:r>
    </w:p>
    <w:p>
      <w:pPr>
        <w:spacing w:after="0" w:line="279" w:lineRule="exact"/>
        <w:rPr>
          <w:sz w:val="20"/>
          <w:szCs w:val="20"/>
          <w:color w:val="auto"/>
        </w:rPr>
      </w:pPr>
    </w:p>
    <w:p>
      <w:pPr>
        <w:ind w:left="660" w:right="3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directors, executive officers or employees (other than Mr. Marinakis), including the directors, executive officers or employees of our general partner, owned, or may be deemed to beneficially own any of our units;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units had been issued, or awards made under our Omnibus Incentive Compensation Plan described below; and</w:t>
      </w:r>
    </w:p>
    <w:p>
      <w:pPr>
        <w:spacing w:after="0" w:line="278"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Marinakis family, including our chairman Mr. Marinakis, through its ownership of Capital Maritime, may be deemed to beneficially own, or to have beneficially owned, all of the units held by Capital Maritime.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2008 our board of directors adopted an Omnibus Incentive Compensation Plan (the “Plan”) according to which we may issue a limited number of restricted units, not to exceed 500,000 restricted units, to some of our employees, consultants, directors or affiliates, including the employees, consultants or directors of our general partner, Capital Maritime, Curzon Maritime Limited, Curzon Shipbrokers Corp. and their affiliates at a future date. To date no restricted units have been issued to any person or entity under the Plan.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Unitholders</w:t>
      </w:r>
    </w:p>
    <w:p>
      <w:pPr>
        <w:spacing w:after="0" w:line="28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Following the early termination of the subordination period on February 14, 2009, all of our 8,805,522 subordinated units converted into common units on a one-for-one basis. Prior to this conversion our partners’ capital included 16,011,629 common units, 8,805,522 subordinated units and 506,472 general partner units. Following this conversion, our partners’ capital consisted of 24,817,151 common units, no subordinated units and 506,472 general partner units.</w:t>
      </w:r>
    </w:p>
    <w:p>
      <w:pPr>
        <w:spacing w:after="0" w:line="240"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The following table sets forth as of February 28, 2009, the beneficial ownership of our common units by each person we know beneficially owns more than 5.0% or more of our common,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E0E0E0"/>
          </w:tcPr>
          <w:p>
            <w:pPr>
              <w:spacing w:after="0"/>
              <w:rPr>
                <w:sz w:val="17"/>
                <w:szCs w:val="17"/>
                <w:color w:val="auto"/>
              </w:rPr>
            </w:pPr>
          </w:p>
        </w:tc>
        <w:tc>
          <w:tcPr>
            <w:tcW w:w="1440" w:type="dxa"/>
            <w:vAlign w:val="bottom"/>
            <w:shd w:val="clear" w:color="auto" w:fill="E0E0E0"/>
          </w:tcPr>
          <w:p>
            <w:pPr>
              <w:spacing w:after="0"/>
              <w:rPr>
                <w:sz w:val="17"/>
                <w:szCs w:val="17"/>
                <w:color w:val="auto"/>
              </w:rPr>
            </w:pPr>
          </w:p>
        </w:tc>
        <w:tc>
          <w:tcPr>
            <w:tcW w:w="25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5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Percentage of Common Units</w:t>
            </w:r>
          </w:p>
        </w:tc>
        <w:tc>
          <w:tcPr>
            <w:tcW w:w="140" w:type="dxa"/>
            <w:vAlign w:val="bottom"/>
            <w:shd w:val="clear" w:color="auto" w:fill="E0E0E0"/>
          </w:tcPr>
          <w:p>
            <w:pPr>
              <w:spacing w:after="0"/>
              <w:rPr>
                <w:sz w:val="17"/>
                <w:szCs w:val="17"/>
                <w:color w:val="auto"/>
              </w:rPr>
            </w:pPr>
          </w:p>
        </w:tc>
        <w:tc>
          <w:tcPr>
            <w:tcW w:w="25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Percentage of Total Common</w:t>
            </w:r>
          </w:p>
        </w:tc>
        <w:tc>
          <w:tcPr>
            <w:tcW w:w="0" w:type="dxa"/>
            <w:vAlign w:val="bottom"/>
          </w:tcPr>
          <w:p>
            <w:pPr>
              <w:spacing w:after="0"/>
              <w:rPr>
                <w:sz w:val="1"/>
                <w:szCs w:val="1"/>
                <w:color w:val="auto"/>
              </w:rPr>
            </w:pPr>
          </w:p>
        </w:tc>
      </w:tr>
      <w:tr>
        <w:trPr>
          <w:trHeight w:val="216"/>
        </w:trPr>
        <w:tc>
          <w:tcPr>
            <w:tcW w:w="2020" w:type="dxa"/>
            <w:vAlign w:val="bottom"/>
            <w:shd w:val="clear" w:color="auto" w:fill="E0E0E0"/>
          </w:tcPr>
          <w:p>
            <w:pPr>
              <w:spacing w:after="0"/>
              <w:rPr>
                <w:sz w:val="18"/>
                <w:szCs w:val="18"/>
                <w:color w:val="auto"/>
              </w:rPr>
            </w:pPr>
          </w:p>
        </w:tc>
        <w:tc>
          <w:tcPr>
            <w:tcW w:w="1440" w:type="dxa"/>
            <w:vAlign w:val="bottom"/>
            <w:shd w:val="clear" w:color="auto" w:fill="E0E0E0"/>
          </w:tcPr>
          <w:p>
            <w:pPr>
              <w:spacing w:after="0"/>
              <w:rPr>
                <w:sz w:val="18"/>
                <w:szCs w:val="18"/>
                <w:color w:val="auto"/>
              </w:rPr>
            </w:pPr>
          </w:p>
        </w:tc>
        <w:tc>
          <w:tcPr>
            <w:tcW w:w="25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Number of Common</w:t>
            </w:r>
          </w:p>
        </w:tc>
        <w:tc>
          <w:tcPr>
            <w:tcW w:w="120" w:type="dxa"/>
            <w:vAlign w:val="bottom"/>
            <w:shd w:val="clear" w:color="auto" w:fill="E0E0E0"/>
          </w:tcPr>
          <w:p>
            <w:pPr>
              <w:spacing w:after="0"/>
              <w:rPr>
                <w:sz w:val="18"/>
                <w:szCs w:val="18"/>
                <w:color w:val="auto"/>
              </w:rPr>
            </w:pPr>
          </w:p>
        </w:tc>
        <w:tc>
          <w:tcPr>
            <w:tcW w:w="25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Prior to Termination of</w:t>
            </w:r>
          </w:p>
        </w:tc>
        <w:tc>
          <w:tcPr>
            <w:tcW w:w="140" w:type="dxa"/>
            <w:vAlign w:val="bottom"/>
            <w:shd w:val="clear" w:color="auto" w:fill="E0E0E0"/>
          </w:tcPr>
          <w:p>
            <w:pPr>
              <w:spacing w:after="0"/>
              <w:rPr>
                <w:sz w:val="18"/>
                <w:szCs w:val="18"/>
                <w:color w:val="auto"/>
              </w:rPr>
            </w:pPr>
          </w:p>
        </w:tc>
        <w:tc>
          <w:tcPr>
            <w:tcW w:w="25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Units Following Termination of</w:t>
            </w:r>
          </w:p>
        </w:tc>
        <w:tc>
          <w:tcPr>
            <w:tcW w:w="0" w:type="dxa"/>
            <w:vAlign w:val="bottom"/>
          </w:tcPr>
          <w:p>
            <w:pPr>
              <w:spacing w:after="0"/>
              <w:rPr>
                <w:sz w:val="1"/>
                <w:szCs w:val="1"/>
                <w:color w:val="auto"/>
              </w:rPr>
            </w:pPr>
          </w:p>
        </w:tc>
      </w:tr>
      <w:tr>
        <w:trPr>
          <w:trHeight w:val="241"/>
        </w:trPr>
        <w:tc>
          <w:tcPr>
            <w:tcW w:w="2020" w:type="dxa"/>
            <w:vAlign w:val="bottom"/>
            <w:tcBorders>
              <w:bottom w:val="single" w:sz="8" w:color="E0E0E0"/>
            </w:tcBorders>
            <w:shd w:val="clear" w:color="auto" w:fill="E0E0E0"/>
          </w:tcPr>
          <w:p>
            <w:pPr>
              <w:spacing w:after="0"/>
              <w:rPr>
                <w:sz w:val="20"/>
                <w:szCs w:val="20"/>
                <w:color w:val="auto"/>
              </w:rPr>
            </w:pPr>
          </w:p>
        </w:tc>
        <w:tc>
          <w:tcPr>
            <w:tcW w:w="1440" w:type="dxa"/>
            <w:vAlign w:val="bottom"/>
            <w:tcBorders>
              <w:bottom w:val="single" w:sz="8" w:color="E0E0E0"/>
            </w:tcBorders>
            <w:shd w:val="clear" w:color="auto" w:fill="E0E0E0"/>
          </w:tcPr>
          <w:p>
            <w:pPr>
              <w:spacing w:after="0"/>
              <w:rPr>
                <w:sz w:val="20"/>
                <w:szCs w:val="20"/>
                <w:color w:val="auto"/>
              </w:rPr>
            </w:pPr>
          </w:p>
        </w:tc>
        <w:tc>
          <w:tcPr>
            <w:tcW w:w="256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Units Owned</w:t>
            </w:r>
          </w:p>
        </w:tc>
        <w:tc>
          <w:tcPr>
            <w:tcW w:w="120" w:type="dxa"/>
            <w:vAlign w:val="bottom"/>
            <w:tcBorders>
              <w:bottom w:val="single" w:sz="8" w:color="E0E0E0"/>
            </w:tcBorders>
            <w:shd w:val="clear" w:color="auto" w:fill="E0E0E0"/>
          </w:tcPr>
          <w:p>
            <w:pPr>
              <w:spacing w:after="0"/>
              <w:rPr>
                <w:sz w:val="20"/>
                <w:szCs w:val="20"/>
                <w:color w:val="auto"/>
              </w:rPr>
            </w:pPr>
          </w:p>
        </w:tc>
        <w:tc>
          <w:tcPr>
            <w:tcW w:w="256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Subordination</w:t>
            </w:r>
          </w:p>
        </w:tc>
        <w:tc>
          <w:tcPr>
            <w:tcW w:w="140" w:type="dxa"/>
            <w:vAlign w:val="bottom"/>
            <w:tcBorders>
              <w:bottom w:val="single" w:sz="8" w:color="E0E0E0"/>
            </w:tcBorders>
            <w:shd w:val="clear" w:color="auto" w:fill="E0E0E0"/>
          </w:tcPr>
          <w:p>
            <w:pPr>
              <w:spacing w:after="0"/>
              <w:rPr>
                <w:sz w:val="20"/>
                <w:szCs w:val="20"/>
                <w:color w:val="auto"/>
              </w:rPr>
            </w:pPr>
          </w:p>
        </w:tc>
        <w:tc>
          <w:tcPr>
            <w:tcW w:w="258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Subordination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 of Beneficial Owner</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Borders>
              <w:top w:val="single" w:sz="8" w:color="auto"/>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Maritime (1)(2)</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11,304,651</w:t>
            </w:r>
          </w:p>
        </w:tc>
        <w:tc>
          <w:tcPr>
            <w:tcW w:w="26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15.6%</w:t>
            </w:r>
          </w:p>
        </w:tc>
        <w:tc>
          <w:tcPr>
            <w:tcW w:w="27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4"/>
              </w:rPr>
              <w:t>45.56%</w:t>
            </w:r>
          </w:p>
        </w:tc>
        <w:tc>
          <w:tcPr>
            <w:tcW w:w="0" w:type="dxa"/>
            <w:vAlign w:val="bottom"/>
          </w:tcPr>
          <w:p>
            <w:pPr>
              <w:spacing w:after="0"/>
              <w:rPr>
                <w:sz w:val="1"/>
                <w:szCs w:val="1"/>
                <w:color w:val="auto"/>
              </w:rPr>
            </w:pPr>
          </w:p>
        </w:tc>
      </w:tr>
      <w:tr>
        <w:trPr>
          <w:trHeight w:val="201"/>
        </w:trPr>
        <w:tc>
          <w:tcPr>
            <w:tcW w:w="34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0"/>
              </w:rPr>
              <w:t>All executive officers and directors as a group</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72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30"/>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(7 persons) (2)</w:t>
            </w:r>
          </w:p>
        </w:tc>
        <w:tc>
          <w:tcPr>
            <w:tcW w:w="25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c>
          <w:tcPr>
            <w:tcW w:w="2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Global Advisors LLC(3)</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1,355,750</w:t>
            </w:r>
          </w:p>
        </w:tc>
        <w:tc>
          <w:tcPr>
            <w:tcW w:w="26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8.47%</w:t>
            </w:r>
          </w:p>
        </w:tc>
        <w:tc>
          <w:tcPr>
            <w:tcW w:w="27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7"/>
              </w:rPr>
              <w:t>5.46%</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w w:val="98"/>
              </w:rPr>
              <w:t>GPS Partners LLC and Brett S. Messing (4)</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1,222,136</w:t>
            </w:r>
          </w:p>
        </w:tc>
        <w:tc>
          <w:tcPr>
            <w:tcW w:w="26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7.63%</w:t>
            </w:r>
          </w:p>
        </w:tc>
        <w:tc>
          <w:tcPr>
            <w:tcW w:w="27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7"/>
              </w:rPr>
              <w:t>4.9%</w:t>
            </w:r>
          </w:p>
        </w:tc>
        <w:tc>
          <w:tcPr>
            <w:tcW w:w="0" w:type="dxa"/>
            <w:vAlign w:val="bottom"/>
          </w:tcPr>
          <w:p>
            <w:pPr>
              <w:spacing w:after="0"/>
              <w:rPr>
                <w:sz w:val="1"/>
                <w:szCs w:val="1"/>
                <w:color w:val="auto"/>
              </w:rPr>
            </w:pPr>
          </w:p>
        </w:tc>
      </w:tr>
      <w:tr>
        <w:trPr>
          <w:trHeight w:val="201"/>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Morgan Stanley, Morgan Stanley Strategic</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72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7"/>
              </w:rPr>
              <w:t>4.7%</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Inc. (5)</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1,174,166</w:t>
            </w:r>
          </w:p>
        </w:tc>
        <w:tc>
          <w:tcPr>
            <w:tcW w:w="26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7.3%</w:t>
            </w:r>
          </w:p>
        </w:tc>
        <w:tc>
          <w:tcPr>
            <w:tcW w:w="27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OppenheimerFunds, Inc. (6)</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1,029,199</w:t>
            </w:r>
          </w:p>
        </w:tc>
        <w:tc>
          <w:tcPr>
            <w:tcW w:w="26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6.43%</w:t>
            </w:r>
          </w:p>
        </w:tc>
        <w:tc>
          <w:tcPr>
            <w:tcW w:w="27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7"/>
              </w:rPr>
              <w:t>4.15%</w:t>
            </w:r>
          </w:p>
        </w:tc>
        <w:tc>
          <w:tcPr>
            <w:tcW w:w="0" w:type="dxa"/>
            <w:vAlign w:val="bottom"/>
          </w:tcPr>
          <w:p>
            <w:pPr>
              <w:spacing w:after="0"/>
              <w:rPr>
                <w:sz w:val="1"/>
                <w:szCs w:val="1"/>
                <w:color w:val="auto"/>
              </w:rPr>
            </w:pPr>
          </w:p>
        </w:tc>
      </w:tr>
      <w:tr>
        <w:trPr>
          <w:trHeight w:val="201"/>
        </w:trPr>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Kayne Anderson Capital Advisors, L.P. and</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720" w:type="dxa"/>
            <w:vAlign w:val="bottom"/>
            <w:gridSpan w:val="2"/>
            <w:vMerge w:val="restart"/>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7"/>
              </w:rPr>
              <w:t>3.73%</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Richard A. Kayne (7)</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925,852</w:t>
            </w:r>
          </w:p>
        </w:tc>
        <w:tc>
          <w:tcPr>
            <w:tcW w:w="26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5.78%</w:t>
            </w:r>
          </w:p>
        </w:tc>
        <w:tc>
          <w:tcPr>
            <w:tcW w:w="27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__________________</w:t>
      </w:r>
    </w:p>
    <w:p>
      <w:pPr>
        <w:spacing w:after="0" w:line="13" w:lineRule="exact"/>
        <w:rPr>
          <w:sz w:val="20"/>
          <w:szCs w:val="20"/>
          <w:color w:val="auto"/>
        </w:rPr>
      </w:pPr>
    </w:p>
    <w:p>
      <w:pPr>
        <w:jc w:val="both"/>
        <w:ind w:left="660" w:hanging="607"/>
        <w:spacing w:after="0" w:line="251"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Excludes the 2% general partner interest held by our general partner, a wholly owned subsidiary of Capital Maritime. Includes 8,805,522 common units owned by Capital Maritime following the automatic conversion on a one-for-one basis of all our subordinated units (8,805,522) on February 14, 2009 as a result of the early termination of the subordination period under the terms of our partnership agreement. No other parties owned any of our subordinated units at any time.</w:t>
      </w:r>
    </w:p>
    <w:p>
      <w:pPr>
        <w:jc w:val="both"/>
        <w:ind w:left="660" w:hanging="652"/>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Marinakis family, including our chairman Mr. Marinakis, through its ownership of Capital Maritime, may be deemed to beneficially own, or to have beneficially owned, all of the units held by Capital Maritime. None of our directors, director nominees or the officers of our general partner (other than Mr. Marinakis) may be deemed to beneficially own, or to have beneficially owned, any of our units.</w:t>
      </w: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by this person with the SEC on February 17, 2009.</w:t>
      </w:r>
    </w:p>
    <w:p>
      <w:pPr>
        <w:spacing w:after="0" w:line="8"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by these parties with the SEC on February 17, 2009. GPS Partners LLC manages the assets of various advisory clients who have the right to receive dividends from the units. Brett S. Messing as the controlling person of GPS Partners LLC may direct the voting and disposition of such shares.</w:t>
      </w:r>
    </w:p>
    <w:p>
      <w:pPr>
        <w:ind w:left="660" w:hanging="652"/>
        <w:spacing w:after="0" w:line="26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information is based on the Schedule 13G filed by these parties with the SEC on February 17, 2009. These units are owned, or may be deemed to be beneficially owned, by Morgan Stanley Strategic Investments, Inc., a wholly-owned subsidiary of Morgan Stanley.</w:t>
      </w:r>
    </w:p>
    <w:p>
      <w:pPr>
        <w:spacing w:after="0" w:line="1" w:lineRule="exact"/>
        <w:rPr>
          <w:rFonts w:ascii="Arial" w:cs="Arial" w:eastAsia="Arial" w:hAnsi="Arial"/>
          <w:sz w:val="17"/>
          <w:szCs w:val="17"/>
          <w:color w:val="auto"/>
        </w:rPr>
      </w:pPr>
    </w:p>
    <w:p>
      <w:pPr>
        <w:ind w:left="660" w:hanging="652"/>
        <w:spacing w:after="0" w:line="26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shared voting power and shared dispositive power as to 1,029,199 units (with respect to Oppenheimer Funds, Inc.) a. Oppenheimer Funds, Inc. is an investment adviser. This information is based on the Schedule 13G/A filed by this party with the SEC on January 26, 2009.</w:t>
      </w:r>
    </w:p>
    <w:p>
      <w:pPr>
        <w:spacing w:after="0" w:line="1" w:lineRule="exact"/>
        <w:rPr>
          <w:rFonts w:ascii="Arial" w:cs="Arial" w:eastAsia="Arial" w:hAnsi="Arial"/>
          <w:sz w:val="17"/>
          <w:szCs w:val="17"/>
          <w:color w:val="auto"/>
        </w:rPr>
      </w:pPr>
    </w:p>
    <w:p>
      <w:pPr>
        <w:jc w:val="both"/>
        <w:ind w:left="660" w:hanging="652"/>
        <w:spacing w:after="0" w:line="25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shared voting power and shared dispositive power as to 925,852 units. Kayne Anderson Capital Advisors, L.P., is an investment adviser. Richard A. Kayne, as the controlling shareholder of the corporate owner of Kayne Anderson Investment Management, Inc., the general partner of Kayne Anderson Capital Advisors, L.P. may direct voting or disposition of the 925,852 units. This information is based on the Schedule 13G filed by these parties with the SEC on February 11, 2009.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Our majority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As of February 28, 2009, Capital Maritime owned common units representing a 44.6% interest in us and also had a 2% general partner interest in us through its ownership of our general partner, which gives it the ability to control the outcome of unitholder votes on certain matters. We are not aware of any arrangements, the operation of which may at a subsequent date result in a change in control of Capital Product Partners L.P.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83"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Capital Maritime, the sole member of our general partner, owns 11,304,651 common units representing a 45.6% of our outstanding common units. In addition, our general partner owns a 2% general partner interest in us and all of the incentive distribution rights. Capital Maritime's ability, as sole member of our general partner, to control the appointment of three of the seven members of our board of directors and to approve certain significant actions we may take as well as its ownership of 45.6% of our common units which it can vote in their totality on all matters that arise under the partnership agreement, means that Capital Maritime, together with its affiliates, will have the ability to exercise significant influence regarding our management and may be able to propose amendments to the partnership agreement that are in its best interest.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from January 1, 2008 to date</w:t>
      </w:r>
    </w:p>
    <w:p>
      <w:pPr>
        <w:spacing w:after="0" w:line="279" w:lineRule="exact"/>
        <w:rPr>
          <w:sz w:val="20"/>
          <w:szCs w:val="20"/>
          <w:color w:val="auto"/>
        </w:rPr>
      </w:pPr>
    </w:p>
    <w:p>
      <w:pPr>
        <w:jc w:val="both"/>
        <w:ind w:left="340" w:hanging="332"/>
        <w:spacing w:after="0" w:line="293"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Agreement with Capital GP L.L.C re Incentive Distribution Rights (“IDRs”). </w:t>
      </w:r>
      <w:r>
        <w:rPr>
          <w:rFonts w:ascii="Arial" w:cs="Arial" w:eastAsia="Arial" w:hAnsi="Arial"/>
          <w:sz w:val="16"/>
          <w:szCs w:val="16"/>
          <w:color w:val="auto"/>
        </w:rPr>
        <w:t>On January 30, 2009, we entered into an agreement with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Capital GP LLC, whereby the general partner agrees to defer receipt of a portion of the $12.5 million incentive distribution payment it is entitled to under the terms of our partnership agreement as a result of the payment of an exceptional cash distribution in February 2009. The general partner has agreed to receive the $12.5 million of incentive payments in four equal quarterly installments, with the first installment having been paid on February 13, 2009. Payment of each deferred quarterly installment is subject to distribution of at least the minimum quarterly distribution and any arrearages of minimum quarterly distributions for the relevant quarter by us. These payments will be made from the operating surplus.</w:t>
      </w:r>
    </w:p>
    <w:p>
      <w:pPr>
        <w:spacing w:after="0" w:line="217" w:lineRule="exact"/>
        <w:rPr>
          <w:rFonts w:ascii="Arial" w:cs="Arial" w:eastAsia="Arial" w:hAnsi="Arial"/>
          <w:sz w:val="16"/>
          <w:szCs w:val="16"/>
          <w:color w:val="auto"/>
        </w:rPr>
      </w:pPr>
    </w:p>
    <w:p>
      <w:pPr>
        <w:jc w:val="both"/>
        <w:ind w:left="340" w:hanging="332"/>
        <w:spacing w:after="0" w:line="301"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Further to the provisions of the Administrative Services Agreement entered into with Capital Ship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subject to its terms we entered into a one-year Investor Relations Agreement dated January 1, 2009 with Capital Ship Management to clarify the provisions under which certain investor relations and corporate support services to assist us in our communications with holders of units representing limited partnership interests in us shall be provided to us for a fixed monthly fee of $15,000 plus reimbursement of reasonable expenses.</w:t>
      </w:r>
    </w:p>
    <w:p>
      <w:pPr>
        <w:spacing w:after="0" w:line="210"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Services Agreements with Capital Maritime. </w:t>
      </w:r>
      <w:r>
        <w:rPr>
          <w:rFonts w:ascii="Arial" w:cs="Arial" w:eastAsia="Arial" w:hAnsi="Arial"/>
          <w:sz w:val="18"/>
          <w:szCs w:val="18"/>
          <w:color w:val="auto"/>
        </w:rPr>
        <w:t>On July 31, 2008, we entered into two separate agreements with Capital Maritime under which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agreed to arrange for the provision of certain legal, accounting and administrative support services required by us a) in connection with the preparation and filing of our Registration Statement on Form F-3 in August 2008, and b) in connection with our compliance with the provisions of the Sarbanes Oxley Act, and in particular, Section 404. We agreed to reimburse Capital Maritime for its reasonable expenses within 30 days from submission of invoices.</w:t>
      </w:r>
    </w:p>
    <w:p>
      <w:pPr>
        <w:spacing w:after="0" w:line="245" w:lineRule="exact"/>
        <w:rPr>
          <w:rFonts w:ascii="Arial" w:cs="Arial" w:eastAsia="Arial" w:hAnsi="Arial"/>
          <w:sz w:val="18"/>
          <w:szCs w:val="18"/>
          <w:color w:val="auto"/>
        </w:rPr>
      </w:pPr>
    </w:p>
    <w:p>
      <w:pPr>
        <w:jc w:val="both"/>
        <w:ind w:left="340" w:hanging="332"/>
        <w:spacing w:after="0" w:line="269"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Purchase of M/T Aristofanis. </w:t>
      </w:r>
      <w:r>
        <w:rPr>
          <w:rFonts w:ascii="Arial" w:cs="Arial" w:eastAsia="Arial" w:hAnsi="Arial"/>
          <w:sz w:val="17"/>
          <w:szCs w:val="17"/>
          <w:color w:val="auto"/>
        </w:rPr>
        <w:t>On April 30, 2008, we entered into a share purchase agreement with Capital Maritime pursuant to which we acquired all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Maritime’s interests in the wholly owned subsidiary that owns the M/T Aristofanis. The aggregate purchase price for the vessel was $23.0 million under the terms of the share purchase agreement with Capital Maritime. We funded a portion of the purchase price of the vessel through the issuance of 501,308 common units to Capital Maritime at a price of $22.94 per unit, which was the weighted average unit price for the period from October 15, 2007 to February 15, 2008, and the remainder through the incurrence of $11.5 million of debt under our new credit facility. The M/T Aristofanis, a 12,000 dwt, 2005 built, double hull product tanker sister vessel to the M/T Attikos, is chartered to Shell International Trading &amp; Shipping Company Ltd under a charter with an earliest scheduled expiration date of March 2010 at a base gross rate of $13,250 per day (net rate $12,952).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these acquisitions, including a detailed explanation of how they were accounted for.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hanging="332"/>
        <w:spacing w:after="0" w:line="256"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Capital Contribution by Capital Maritime. </w:t>
      </w:r>
      <w:r>
        <w:rPr>
          <w:rFonts w:ascii="Arial" w:cs="Arial" w:eastAsia="Arial" w:hAnsi="Arial"/>
          <w:sz w:val="18"/>
          <w:szCs w:val="18"/>
          <w:color w:val="auto"/>
        </w:rPr>
        <w:t>On April 30, 2008, Capital Maritime, which owns and controls our general partner, Capital GP L.L.C., made a</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contribution of 10,026 common units to our general partner, which our general partner in turn contributed to us in exchange for the issuance of 10,026 general partner units to our general partner in order for it to maintain its 2% general partner interest in us. Following the issuance of common units in connection with the purchase of the M/T Aristofanis, Capital Maritime owned a 46.6% interest in us, including its 2% interest through its ownership of our general partner.</w:t>
      </w:r>
    </w:p>
    <w:p>
      <w:pPr>
        <w:spacing w:after="0" w:line="24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Capital Contribution by Capital Maritime. </w:t>
      </w:r>
      <w:r>
        <w:rPr>
          <w:rFonts w:ascii="Arial" w:cs="Arial" w:eastAsia="Arial" w:hAnsi="Arial"/>
          <w:sz w:val="18"/>
          <w:szCs w:val="18"/>
          <w:color w:val="auto"/>
        </w:rPr>
        <w:t>On March 31, 2008, Capital Maritime, which owns and controls our general partner, Capital GP L.L.C, made</w:t>
      </w:r>
      <w:r>
        <w:rPr>
          <w:rFonts w:ascii="Arial" w:cs="Arial" w:eastAsia="Arial" w:hAnsi="Arial"/>
          <w:sz w:val="18"/>
          <w:szCs w:val="18"/>
          <w:i w:val="1"/>
          <w:iCs w:val="1"/>
          <w:color w:val="auto"/>
        </w:rPr>
        <w:t xml:space="preserve"> </w:t>
      </w:r>
      <w:r>
        <w:rPr>
          <w:rFonts w:ascii="Arial" w:cs="Arial" w:eastAsia="Arial" w:hAnsi="Arial"/>
          <w:sz w:val="18"/>
          <w:szCs w:val="18"/>
          <w:color w:val="auto"/>
        </w:rPr>
        <w:t>a capital contribution of 40,976 common units to our general partner, which our general partner in turn contributed to us in exchange for the issuance of 40,976 general partner units to our general partner in order for it to maintain its 2% general partner interest in us. Following the issuance of common units in connection with the purchase of the M/T Amore Mio II and the capital contribution described above, Capital Maritime owned a 45.6% interest in us, including its 2% interest through its ownership of our general partner.</w:t>
      </w:r>
    </w:p>
    <w:p>
      <w:pPr>
        <w:spacing w:after="0" w:line="245"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Purchase of M/T Amore Mio II</w:t>
      </w:r>
      <w:r>
        <w:rPr>
          <w:rFonts w:ascii="Arial" w:cs="Arial" w:eastAsia="Arial" w:hAnsi="Arial"/>
          <w:sz w:val="17"/>
          <w:szCs w:val="17"/>
          <w:color w:val="auto"/>
        </w:rPr>
        <w:t>. On March 27, 2008 we entered into a share purchase agreement with Capital Maritime pursuant to which we acquired all</w:t>
      </w:r>
      <w:r>
        <w:rPr>
          <w:rFonts w:ascii="Arial" w:cs="Arial" w:eastAsia="Arial" w:hAnsi="Arial"/>
          <w:sz w:val="17"/>
          <w:szCs w:val="17"/>
          <w:i w:val="1"/>
          <w:iCs w:val="1"/>
          <w:color w:val="auto"/>
        </w:rPr>
        <w:t xml:space="preserve"> </w:t>
      </w:r>
      <w:r>
        <w:rPr>
          <w:rFonts w:ascii="Arial" w:cs="Arial" w:eastAsia="Arial" w:hAnsi="Arial"/>
          <w:sz w:val="17"/>
          <w:szCs w:val="17"/>
          <w:color w:val="auto"/>
        </w:rPr>
        <w:t>of Capital Maritime’s interests in the wholly owned subsidiary that owns the M/T Amore Mio II. The aggregate purchase price for the vessel was $95.0 million under the terms of the relevant share purchase agreement with Capital Maritime. We funded a portion of the purchase price of the vessel through the issuance of 2,048,823 common units to Capital Maritime at a price of $22.94 per unit, which was the weighted average unit price for the period from October 15, 2007 to February 15, 2008, and the remainder through the incurrence of $46.0 million of debt under our new credit facility and $2.0 million in cash. The M/T Amore Mio II, a 159,982 dwt, 2001 built, double-hull tanker, is chartered to BP Shipping Limited under a charter with an earliest scheduled expiration date of January 2011 at a base gross rate of $36,456 per day (net rate $36,000). The charter is also subject to a profit sharing arrangement which is calculated and settled monthly and which allows each party to share additional revenues above the base rate on a 50/50 basis.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these acquisitions, including a detailed explanation of how they were accounted for.</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2007</w:t>
      </w:r>
    </w:p>
    <w:p>
      <w:pPr>
        <w:spacing w:after="0" w:line="279" w:lineRule="exact"/>
        <w:rPr>
          <w:sz w:val="20"/>
          <w:szCs w:val="20"/>
          <w:color w:val="auto"/>
        </w:rPr>
      </w:pPr>
    </w:p>
    <w:p>
      <w:pPr>
        <w:jc w:val="both"/>
        <w:ind w:left="340" w:hanging="332"/>
        <w:spacing w:after="0" w:line="255"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Agreement. </w:t>
      </w:r>
      <w:r>
        <w:rPr>
          <w:rFonts w:ascii="Arial" w:cs="Arial" w:eastAsia="Arial" w:hAnsi="Arial"/>
          <w:sz w:val="18"/>
          <w:szCs w:val="18"/>
          <w:color w:val="auto"/>
        </w:rPr>
        <w:t>Pursuant to a Contribution Agreement, entered into concurrently with the closing of our IPO, Capital Maritime sold us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capital stock of eight vessel-owning subsidiaries that owned the vessels in our initial fleet (Capital Maritime retained all assets of those subsidiaries other than the vessels, and paid off all debt of those subsidiaries), in exchange for:</w:t>
      </w:r>
    </w:p>
    <w:p>
      <w:pPr>
        <w:spacing w:after="0" w:line="2" w:lineRule="exact"/>
        <w:rPr>
          <w:rFonts w:ascii="Arial" w:cs="Arial" w:eastAsia="Arial" w:hAnsi="Arial"/>
          <w:sz w:val="18"/>
          <w:szCs w:val="18"/>
          <w:color w:val="auto"/>
        </w:rPr>
      </w:pPr>
    </w:p>
    <w:p>
      <w:pPr>
        <w:ind w:left="980" w:hanging="325"/>
        <w:spacing w:after="0"/>
        <w:tabs>
          <w:tab w:leader="none" w:pos="9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issuance to Capital Maritime of 11,750,000 common units and 8,805,522 subordinated units,</w:t>
      </w:r>
    </w:p>
    <w:p>
      <w:pPr>
        <w:spacing w:after="0" w:line="8" w:lineRule="exact"/>
        <w:rPr>
          <w:rFonts w:ascii="Arial" w:cs="Arial" w:eastAsia="Arial" w:hAnsi="Arial"/>
          <w:sz w:val="18"/>
          <w:szCs w:val="18"/>
          <w:color w:val="auto"/>
        </w:rPr>
      </w:pPr>
    </w:p>
    <w:p>
      <w:pPr>
        <w:ind w:left="980" w:hanging="325"/>
        <w:spacing w:after="0"/>
        <w:tabs>
          <w:tab w:leader="none" w:pos="9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payment to Capital Maritime of a cash dividend in the amount of $25.0 million at the closing of our IPO,</w:t>
      </w:r>
    </w:p>
    <w:p>
      <w:pPr>
        <w:spacing w:after="0" w:line="8" w:lineRule="exact"/>
        <w:rPr>
          <w:rFonts w:ascii="Arial" w:cs="Arial" w:eastAsia="Arial" w:hAnsi="Arial"/>
          <w:sz w:val="18"/>
          <w:szCs w:val="18"/>
          <w:color w:val="auto"/>
        </w:rPr>
      </w:pPr>
    </w:p>
    <w:p>
      <w:pPr>
        <w:ind w:left="980" w:hanging="325"/>
        <w:spacing w:after="0" w:line="250" w:lineRule="auto"/>
        <w:tabs>
          <w:tab w:leader="none" w:pos="9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issuance to Capital Maritime of the right to receive an additional dividend of $30.0 million in cash or a number of common units necessary to satisfy the underwriters' overallotment option or a combination thereof, and</w:t>
      </w:r>
    </w:p>
    <w:p>
      <w:pPr>
        <w:ind w:left="980" w:hanging="325"/>
        <w:spacing w:after="0" w:line="260" w:lineRule="auto"/>
        <w:tabs>
          <w:tab w:leader="none" w:pos="9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issuance of the 2% general partner interest in us and all of our incentive distribution rights to Capital GP L.L.C, a wholly owned subsidiary of Capital Maritime.</w:t>
      </w:r>
    </w:p>
    <w:p>
      <w:pPr>
        <w:spacing w:after="0" w:line="23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In connection with our IPO, we entered into an omnibus agreement with Capital Maritime, Capital GP L.L.C.,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operating subsidiary. The following discussion describes provisions of the omnibus agreement.</w:t>
      </w:r>
    </w:p>
    <w:p>
      <w:pPr>
        <w:spacing w:after="0" w:line="223"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Noncompetition</w:t>
      </w:r>
      <w:r>
        <w:rPr>
          <w:rFonts w:ascii="Arial" w:cs="Arial" w:eastAsia="Arial" w:hAnsi="Arial"/>
          <w:sz w:val="18"/>
          <w:szCs w:val="18"/>
          <w:color w:val="auto"/>
        </w:rPr>
        <w:t>. Under the omnibus agreement, Capital Maritime has agreed, and has caused its controlled affiliates (other than us,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subsidiaries) to agree, not to acquire, own or operate medium range tankers under charter for two or more years. This restriction will not prevent Capital Maritime or any of its controlled affiliates (other than us and our subsidiaries) from:</w:t>
      </w:r>
    </w:p>
    <w:p>
      <w:pPr>
        <w:spacing w:after="0" w:line="236" w:lineRule="exact"/>
        <w:rPr>
          <w:rFonts w:ascii="Arial" w:cs="Arial" w:eastAsia="Arial" w:hAnsi="Arial"/>
          <w:sz w:val="18"/>
          <w:szCs w:val="18"/>
          <w:color w:val="auto"/>
        </w:rPr>
      </w:pPr>
    </w:p>
    <w:p>
      <w:pPr>
        <w:ind w:left="660" w:hanging="328"/>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acquiring, owning, chartering or operating medium range tankers under charter for less than two years;</w:t>
      </w:r>
    </w:p>
    <w:p>
      <w:pPr>
        <w:spacing w:after="0" w:line="278"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acquiring one or more medium range tankers under charter for two or more years if Capital Maritime offers to sell to us the tanker for the acquisition price plus any administrative costs associated with transfer and re-flagging, including related legal costs, to Capital Maritime that would be required to transfer the medium range tankers and related charters to us at the time it is acquired or putting a medium range tanker that Capital Maritime owns or operates under charter for two or more years if Capital Maritime offers to sell the tanker to us for fair market value at the time it is chartered for two or more years and, in each case, at each renewal or extension of that charter for two or more years;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acquiring one or more medium range tankers under charter for two or more years as part of the acquisition of a controlling interest in a business or package of assets and owning and operating or chartering those vessels provided, however, that:</w:t>
      </w:r>
    </w:p>
    <w:p>
      <w:pPr>
        <w:spacing w:after="0" w:line="223" w:lineRule="exact"/>
        <w:rPr>
          <w:rFonts w:ascii="Arial" w:cs="Arial" w:eastAsia="Arial" w:hAnsi="Arial"/>
          <w:sz w:val="18"/>
          <w:szCs w:val="18"/>
          <w:color w:val="auto"/>
        </w:rPr>
      </w:pPr>
    </w:p>
    <w:p>
      <w:pPr>
        <w:jc w:val="both"/>
        <w:ind w:left="1300" w:hanging="645"/>
        <w:spacing w:after="0" w:line="279" w:lineRule="auto"/>
        <w:tabs>
          <w:tab w:leader="none" w:pos="13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less than a majority of the value of the total assets or business acquired is attributable to those medium range tankers and related charters, as determined in good faith by the board of directors of Capital Maritime; Capital Maritime must offer to sell such medium range tankers and related charters to us for their fair market value plus any additional tax or other similar costs to Capital Maritime that would be required to transfer the medium range tankers and related charters to us separately from the acquired business.</w:t>
      </w:r>
    </w:p>
    <w:p>
      <w:pPr>
        <w:spacing w:after="0" w:line="224" w:lineRule="exact"/>
        <w:rPr>
          <w:rFonts w:ascii="Arial" w:cs="Arial" w:eastAsia="Arial" w:hAnsi="Arial"/>
          <w:sz w:val="17"/>
          <w:szCs w:val="17"/>
          <w:color w:val="auto"/>
        </w:rPr>
      </w:pPr>
    </w:p>
    <w:p>
      <w:pPr>
        <w:jc w:val="both"/>
        <w:ind w:left="1300" w:hanging="645"/>
        <w:spacing w:after="0" w:line="25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a majority or more of the value of the total assets or business acquired is attributable to the medium range tankers and related charters, as determined in good faith by the board of directors of Capital Maritime. Capital Maritime shall notify us in writing, of the proposed acquisition. We shall, not later than the 10th calendar day following receipt of such notice, notify Capital Maritime if we wish to acquire the medium range tankers and related charters forming part of the business or package of assets in cooperation and simultaneously with Capital Maritime acquiring the Non-Medium Range Tankers (as defined below) and related charters forming part of that business or package of assets. If we do not notify Capital Maritime of our intent to pursue the acquisition within 10 calendar days, Capital Maritime may proceed with the acquisition as provided in (i) above.</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acquiring a non-controlling interest in any company, business or pool of assets;</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acquiring, owning or operating medium range tankers under charter for two or more years subject to the offers to us described in paragraphs (b) and</w:t>
      </w:r>
    </w:p>
    <w:p>
      <w:pPr>
        <w:spacing w:after="0" w:line="46"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(c) above (i) pending our determination whether to accept such offers and pending the closing of any offers we accept, or (ii) if we elect to acquire the medium range tankers and related charter;</w:t>
      </w:r>
    </w:p>
    <w:p>
      <w:pPr>
        <w:spacing w:after="0" w:line="2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 whatsoever, including to medium range tankers owned by the controlled affiliates of Capital Maritime; or</w:t>
      </w:r>
    </w:p>
    <w:p>
      <w:pPr>
        <w:spacing w:after="0" w:line="22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acquiring, operating or chartering medium range tankers under charter for two or more years if we have previously advised Capital Maritime that we consent to such acquisition, operation or charter.</w:t>
      </w:r>
    </w:p>
    <w:p>
      <w:pPr>
        <w:spacing w:after="0" w:line="224" w:lineRule="exact"/>
        <w:rPr>
          <w:sz w:val="20"/>
          <w:szCs w:val="20"/>
          <w:color w:val="auto"/>
        </w:rPr>
      </w:pPr>
    </w:p>
    <w:p>
      <w:pPr>
        <w:jc w:val="both"/>
        <w:ind w:left="340"/>
        <w:spacing w:after="0" w:line="341" w:lineRule="auto"/>
        <w:rPr>
          <w:sz w:val="20"/>
          <w:szCs w:val="20"/>
          <w:color w:val="auto"/>
        </w:rPr>
      </w:pPr>
      <w:r>
        <w:rPr>
          <w:rFonts w:ascii="Arial" w:cs="Arial" w:eastAsia="Arial" w:hAnsi="Arial"/>
          <w:sz w:val="16"/>
          <w:szCs w:val="16"/>
          <w:color w:val="auto"/>
        </w:rPr>
        <w:t>If Capital Maritime or any of its controlled affiliates (other than us or our subsidiaries) acquires, owns, operates and charters medium range tankers pursuant to any of the exceptions described above, it may not subsequently expand that portion of its business other than pursuant to those exceptions.</w:t>
      </w:r>
    </w:p>
    <w:p>
      <w:pPr>
        <w:spacing w:after="0" w:line="1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only acquire, own, operate or charter medium range tankers with charters of two or more years (any vessels that are not medium range tankers will in the following be referred to as the “Non-Medium Range Tankers”). This restriction does not:</w:t>
      </w:r>
    </w:p>
    <w:p>
      <w:pPr>
        <w:spacing w:after="0" w:line="237" w:lineRule="exact"/>
        <w:rPr>
          <w:sz w:val="20"/>
          <w:szCs w:val="20"/>
          <w:color w:val="auto"/>
        </w:rPr>
      </w:pPr>
    </w:p>
    <w:p>
      <w:pPr>
        <w:jc w:val="both"/>
        <w:ind w:left="660" w:hanging="328"/>
        <w:spacing w:after="0" w:line="275"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apply to any Non-Medium Range Tanker owned, operated or chartered by us or any of our subsidiaries, and the ownership, operation or chartering of any Non-Medium Range Tanker that replaces any of those Non-Medium Range Tankers in connection with the destruction or total loss of the original tanker; the tanker being damaged to an extent that makes repairing it uneconomical or renders it permanently unfit for normal use, as determined in good faith by our board of directors within 90 days after the occurrence of the damage; or the tanker's condemnation, confiscation, requisition, seizure, forfeiture or a similar taking of title to or use of it that continues for at least six months;</w:t>
      </w:r>
    </w:p>
    <w:p>
      <w:pPr>
        <w:spacing w:after="0" w:line="229" w:lineRule="exact"/>
        <w:rPr>
          <w:rFonts w:ascii="Arial" w:cs="Arial" w:eastAsia="Arial" w:hAnsi="Arial"/>
          <w:sz w:val="17"/>
          <w:szCs w:val="17"/>
          <w:color w:val="auto"/>
        </w:rPr>
      </w:pPr>
    </w:p>
    <w:p>
      <w:pPr>
        <w:ind w:left="660" w:hanging="328"/>
        <w:spacing w:after="0" w:line="307"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prevent us or any of our subsidiaries from acquiring Non-Medium Range Tankers and any related charters as part of the acquisition of a controlling interest in a business or package of assets and owning and operating or chartering those vessels, provided, however, that:</w:t>
      </w:r>
    </w:p>
    <w:p>
      <w:pPr>
        <w:spacing w:after="0" w:line="201" w:lineRule="exact"/>
        <w:rPr>
          <w:rFonts w:ascii="Arial" w:cs="Arial" w:eastAsia="Arial" w:hAnsi="Arial"/>
          <w:sz w:val="17"/>
          <w:szCs w:val="17"/>
          <w:color w:val="auto"/>
        </w:rPr>
      </w:pPr>
    </w:p>
    <w:p>
      <w:pPr>
        <w:jc w:val="both"/>
        <w:ind w:left="1300" w:hanging="645"/>
        <w:spacing w:after="0" w:line="279"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less than a majority of the value of the total assets or business acquired is attributable to Non-Medium Range Tankers and related charters, as determined in good faith by our board of directors we must offer to sell such Non-Medium Range Tankers and related charters to Capital Maritime within 30 days for their fair market value plus any additional tax or other similar costs to us that would be required to transfer the Non-Medium Range Tankers and related charters to Capital Maritime separately from the acquired business;</w:t>
      </w:r>
    </w:p>
    <w:p>
      <w:pPr>
        <w:spacing w:after="0" w:line="224" w:lineRule="exact"/>
        <w:rPr>
          <w:rFonts w:ascii="Arial" w:cs="Arial" w:eastAsia="Arial" w:hAnsi="Arial"/>
          <w:sz w:val="17"/>
          <w:szCs w:val="17"/>
          <w:color w:val="auto"/>
        </w:rPr>
      </w:pPr>
    </w:p>
    <w:p>
      <w:pPr>
        <w:jc w:val="both"/>
        <w:ind w:left="1300" w:hanging="645"/>
        <w:spacing w:after="0" w:line="293"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a majority or more of the value of the total assets or business acquired is attributable to Non-Medium Range Tankers and related charters, as determined in good faith by our board of directors we shall notify Capital Maritime in writing of the proposed acquisition. Capital Maritime shall, not later than the 10th calendar day following receipt of such notice, notify us if it wishes to acquire the Non-Medium Range Tankers forming part of the business or package of assets in cooperation and simultaneously with the us acquiring the medium range tankers under charter for two or more years forming part of that business or package of assets. If Capital Maritime does not notify us of its intent to pursue the acquisition within 10 calendar days, we may proceed with the acquisition as provided in (i) above.</w:t>
      </w:r>
    </w:p>
    <w:p>
      <w:pPr>
        <w:spacing w:after="0" w:line="217"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prevent us from acquiring a non-controlling interest in any company, business or pool of assets;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hanging="328"/>
        <w:spacing w:after="0" w:line="34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prevent us or any of our subsidiaries from owning, operating or chartering any Non-Medium Range Tankers subject to the offer to Capital Maritime described in paragraph (b) above, pending its determination whether to accept such offer and pending the closing of any offer it accepts; or</w:t>
      </w:r>
    </w:p>
    <w:p>
      <w:pPr>
        <w:spacing w:after="0" w:line="17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operating or chartering Non-Medium Range Tankers if Capital Maritime has previously advised us that it consents to such acquisition, operation or charter.</w:t>
      </w:r>
    </w:p>
    <w:p>
      <w:pPr>
        <w:spacing w:after="0" w:line="2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If we or any of our subsidiaries owns, operates and charters Non-Medium Range Tankers pursuant to any of the exceptions described above, neither we nor such subsidiary may subsequently expand that portion of our business other than pursuant to those exceptions.</w:t>
      </w:r>
    </w:p>
    <w:p>
      <w:pPr>
        <w:spacing w:after="0" w:line="22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i w:val="1"/>
          <w:iCs w:val="1"/>
          <w:color w:val="auto"/>
        </w:rPr>
        <w:t xml:space="preserve">Rights of First Offer on Medium Range Tankers. </w:t>
      </w:r>
      <w:r>
        <w:rPr>
          <w:rFonts w:ascii="Arial" w:cs="Arial" w:eastAsia="Arial" w:hAnsi="Arial"/>
          <w:sz w:val="16"/>
          <w:szCs w:val="16"/>
          <w:color w:val="auto"/>
        </w:rPr>
        <w:t>Under the omnibus agreement, we and our subsidiaries have granted to Capital Maritime a first offer on</w:t>
      </w:r>
      <w:r>
        <w:rPr>
          <w:rFonts w:ascii="Arial" w:cs="Arial" w:eastAsia="Arial" w:hAnsi="Arial"/>
          <w:sz w:val="16"/>
          <w:szCs w:val="16"/>
          <w:i w:val="1"/>
          <w:iCs w:val="1"/>
          <w:color w:val="auto"/>
        </w:rPr>
        <w:t xml:space="preserve"> </w:t>
      </w:r>
      <w:r>
        <w:rPr>
          <w:rFonts w:ascii="Arial" w:cs="Arial" w:eastAsia="Arial" w:hAnsi="Arial"/>
          <w:sz w:val="16"/>
          <w:szCs w:val="16"/>
          <w:color w:val="auto"/>
        </w:rPr>
        <w:t>any proposed sale, transfer or other disposition of any of our medium range tankers and related charters or any Non-Medium Range Tankers and related charters owned or acquired by us. Likewise, Capital Maritime has agreed (and has caused its subsidiaries to agree) to grant a similar right of first offer to us for any medium range tankers under charter for two or more years it might own. These rights of first offer will not apply to a sale, transfer or other disposition of vessels between any affiliated subsidiaries, or pursuant to the terms of any charter or other agreement with a charter party.</w:t>
      </w:r>
    </w:p>
    <w:p>
      <w:pPr>
        <w:spacing w:after="0" w:line="214" w:lineRule="exact"/>
        <w:rPr>
          <w:sz w:val="20"/>
          <w:szCs w:val="20"/>
          <w:color w:val="auto"/>
        </w:rPr>
      </w:pPr>
    </w:p>
    <w:p>
      <w:pPr>
        <w:jc w:val="both"/>
        <w:ind w:left="360" w:hanging="352"/>
        <w:spacing w:after="0" w:line="286" w:lineRule="auto"/>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Management Agreement</w:t>
      </w:r>
      <w:r>
        <w:rPr>
          <w:rFonts w:ascii="Arial" w:cs="Arial" w:eastAsia="Arial" w:hAnsi="Arial"/>
          <w:sz w:val="16"/>
          <w:szCs w:val="16"/>
          <w:color w:val="auto"/>
        </w:rPr>
        <w:t>. We have entered into a Management Agreement with Capital Ship Management, a subsidiary of Capital Maritime,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Capital Ship Management provides us with certain commercial and technical management services. These services will be provided in a commercially reasonable manner in accordance with customary ship management practice and under our direction. Capital Ship Management may provide these services to us directly or it may subcontract for certain of these services with other entities, including other Capital Maritime subsidiaries.</w:t>
      </w:r>
    </w:p>
    <w:p>
      <w:pPr>
        <w:jc w:val="both"/>
        <w:ind w:left="580" w:hanging="221"/>
        <w:spacing w:after="0" w:line="264" w:lineRule="auto"/>
        <w:tabs>
          <w:tab w:leader="none" w:pos="5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We pay Capital Ship Management a fixed daily fee of $5,500 per time chartered vessel ($8,500 for the M/T Amore Mio II) in our fleet to provide the commercial and technical management services and costs to such time chartered vessels, which includes the cost of the first special survey. We pay a fixed daily fee of $250 per bareboat chartered vessel in our fleet, mainly to cover compliance costs, which include those costs incurred by Capital Ship Management to remain in compliance with the oil majors' requirements, including vetting requirements.</w:t>
      </w:r>
    </w:p>
    <w:p>
      <w:pPr>
        <w:spacing w:after="0" w:line="3" w:lineRule="exact"/>
        <w:rPr>
          <w:rFonts w:ascii="Arial" w:cs="Arial" w:eastAsia="Arial" w:hAnsi="Arial"/>
          <w:sz w:val="17"/>
          <w:szCs w:val="17"/>
          <w:color w:val="auto"/>
        </w:rPr>
      </w:pPr>
    </w:p>
    <w:p>
      <w:pPr>
        <w:jc w:val="both"/>
        <w:ind w:left="580" w:hanging="221"/>
        <w:spacing w:after="0" w:line="281" w:lineRule="auto"/>
        <w:tabs>
          <w:tab w:leader="none" w:pos="5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With respect to each vessel in our fleet at the time of our IPO, the management agreement has an initial term of approximately five years beginning from when each vessel commenced operations through and including the date of its next scheduled special or intermediate survey and includes the expenses for such special or intermediate survey, as applicable, and related drydocking. With respect to each vessel that has been or will be subsequently delivered the management agreement will have an initial term of approximately five years from when we take delivery of each vessel.</w:t>
      </w:r>
    </w:p>
    <w:p>
      <w:pPr>
        <w:spacing w:after="0" w:line="1" w:lineRule="exact"/>
        <w:rPr>
          <w:rFonts w:ascii="Arial" w:cs="Arial" w:eastAsia="Arial" w:hAnsi="Arial"/>
          <w:sz w:val="16"/>
          <w:szCs w:val="16"/>
          <w:color w:val="auto"/>
        </w:rPr>
      </w:pPr>
    </w:p>
    <w:p>
      <w:pPr>
        <w:ind w:left="580" w:hanging="221"/>
        <w:spacing w:after="0" w:line="260" w:lineRule="auto"/>
        <w:tabs>
          <w:tab w:leader="none" w:pos="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addition to the fixed daily fees payable under the management agreement, Capital Ship Management is entitled to supplementary remuneration for extraordinary fees and costs of any direct and indirect expenses it reasonably incurs in providing these services.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60" w:hanging="352"/>
        <w:spacing w:after="0" w:line="270" w:lineRule="auto"/>
        <w:tabs>
          <w:tab w:leader="none" w:pos="3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Administrative Services Agreement</w:t>
      </w:r>
      <w:r>
        <w:rPr>
          <w:rFonts w:ascii="Arial" w:cs="Arial" w:eastAsia="Arial" w:hAnsi="Arial"/>
          <w:sz w:val="17"/>
          <w:szCs w:val="17"/>
          <w:color w:val="auto"/>
        </w:rPr>
        <w:t>. We have entered into an administrative services agreement with Capital Ship Management,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Ship Management will provide certain administrative management services to us. The agreement has an initial term of five years from the closing date of our IPO. The services Capital Ship Management provides us with under the agreement include, among others (a) bookkeeping, audit and accounting services, (b) legal and insurance services, (c) administrative and clerical services including information technology services, (d) banking and financial services, (e) advisory services and (f), client and investor relations services. We reimburse Capital Ship Management for reasonable costs and expenses incurred in connection with the provision of these services within 15 days after Capital Ship Management submits to us an invoice for such costs and expenses, together with any supporting detail that may be reasonably required. Further to the provisions of the administrative services agreement and subject to its terms we have also entered into a five-year Information Technology Services dated April 3, 2007 to clarify the terms under which certain information technology services are to be provided to us.</w:t>
      </w:r>
    </w:p>
    <w:p>
      <w:pPr>
        <w:spacing w:after="0" w:line="233" w:lineRule="exact"/>
        <w:rPr>
          <w:rFonts w:ascii="Arial" w:cs="Arial" w:eastAsia="Arial" w:hAnsi="Arial"/>
          <w:sz w:val="17"/>
          <w:szCs w:val="17"/>
          <w:color w:val="auto"/>
        </w:rPr>
      </w:pPr>
    </w:p>
    <w:p>
      <w:pPr>
        <w:jc w:val="both"/>
        <w:ind w:left="300" w:hanging="292"/>
        <w:spacing w:after="0" w:line="259"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Share Purchase Agreement</w:t>
      </w:r>
      <w:r>
        <w:rPr>
          <w:rFonts w:ascii="Arial" w:cs="Arial" w:eastAsia="Arial" w:hAnsi="Arial"/>
          <w:sz w:val="18"/>
          <w:szCs w:val="18"/>
          <w:color w:val="auto"/>
        </w:rPr>
        <w:t>. In connection with our IPO, we entered into a share purchase agreement with Capital Maritime to purchase its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that owned the seven vessels and related charters that comprised our contracted fleet at the time of the IPO. At this time, we have completed the purchase of five of these vessels and expect delivery of the final two to take place in June and August of 2008 respectively. Please read “Item 4B: Business—Overview—Our Fleet” for more information on these acquisitions.</w:t>
      </w:r>
    </w:p>
    <w:p>
      <w:pPr>
        <w:spacing w:after="0" w:line="239" w:lineRule="exact"/>
        <w:rPr>
          <w:rFonts w:ascii="Arial" w:cs="Arial" w:eastAsia="Arial" w:hAnsi="Arial"/>
          <w:sz w:val="18"/>
          <w:szCs w:val="18"/>
          <w:color w:val="auto"/>
        </w:rPr>
      </w:pPr>
    </w:p>
    <w:p>
      <w:pPr>
        <w:jc w:val="both"/>
        <w:ind w:left="300" w:hanging="292"/>
        <w:spacing w:after="0" w:line="275" w:lineRule="auto"/>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Loans. </w:t>
      </w:r>
      <w:r>
        <w:rPr>
          <w:rFonts w:ascii="Arial" w:cs="Arial" w:eastAsia="Arial" w:hAnsi="Arial"/>
          <w:sz w:val="17"/>
          <w:szCs w:val="17"/>
          <w:color w:val="auto"/>
        </w:rPr>
        <w:t>For the financing of the construction of five of the vessels in our initial fleet, the Atlantas, Aktoras, Avax, Aiolos and Assos,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Maritime had entered into loan agreements with three separate banks on behalf of the related vessel-owning subsidiaries. Capital Maritime acted as the borrower and the vessel-owning subsidiaries acted as guarantors in all of these loan agreements. The five vessels in our initial fleet described above had been financed in the aggregate amounts of $0, $15.5 million and $95.5 million as of December 31, 2004, 2005 and 2006, respectively. These loans were repaid in their entirety by Capital Maritime with a portion of the proceeds of our IPO.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300" w:hanging="292"/>
        <w:spacing w:after="0" w:line="279" w:lineRule="auto"/>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Dividend to Capital Maritime. </w:t>
      </w:r>
      <w:r>
        <w:rPr>
          <w:rFonts w:ascii="Arial" w:cs="Arial" w:eastAsia="Arial" w:hAnsi="Arial"/>
          <w:sz w:val="17"/>
          <w:szCs w:val="17"/>
          <w:color w:val="auto"/>
        </w:rPr>
        <w:t>At the closing of our IPO, we borrowed $30.0 million under our existing credit facility, $5 million of which we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working capital purposes and </w:t>
      </w:r>
      <w:r>
        <w:rPr>
          <w:rFonts w:ascii="Arial" w:cs="Arial" w:eastAsia="Arial" w:hAnsi="Arial"/>
          <w:sz w:val="17"/>
          <w:szCs w:val="17"/>
          <w:b w:val="1"/>
          <w:bCs w:val="1"/>
          <w:color w:val="auto"/>
        </w:rPr>
        <w:t>$</w:t>
      </w:r>
      <w:r>
        <w:rPr>
          <w:rFonts w:ascii="Arial" w:cs="Arial" w:eastAsia="Arial" w:hAnsi="Arial"/>
          <w:sz w:val="17"/>
          <w:szCs w:val="17"/>
          <w:color w:val="auto"/>
        </w:rPr>
        <w:t>25.0 million of which we used to pay a cash dividend to Capital Maritime. We also issued to Capital Maritime a number of common units necessary to satisfy the underwriters' overallotment option. We accounted for the distribution to Capital Maritime of the common units necessary to satisfy the underwriters' overallotment option as a common unit dividend, which had no net impact on partners' equity.</w:t>
      </w:r>
    </w:p>
    <w:p>
      <w:pPr>
        <w:spacing w:after="0" w:line="224" w:lineRule="exact"/>
        <w:rPr>
          <w:rFonts w:ascii="Arial" w:cs="Arial" w:eastAsia="Arial" w:hAnsi="Arial"/>
          <w:sz w:val="17"/>
          <w:szCs w:val="17"/>
          <w:color w:val="auto"/>
        </w:rPr>
      </w:pPr>
    </w:p>
    <w:p>
      <w:pPr>
        <w:jc w:val="both"/>
        <w:ind w:left="300" w:hanging="292"/>
        <w:spacing w:after="0" w:line="273" w:lineRule="auto"/>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Purchase of M/T Attikos</w:t>
      </w:r>
      <w:r>
        <w:rPr>
          <w:rFonts w:ascii="Arial" w:cs="Arial" w:eastAsia="Arial" w:hAnsi="Arial"/>
          <w:sz w:val="17"/>
          <w:szCs w:val="17"/>
          <w:color w:val="auto"/>
        </w:rPr>
        <w:t>. On September 24, 2007 we entered into a share purchase agreement with Capital Maritime pursuant to which we acquired all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Maritime’s interests in the wholly owned subsidiary that owns the M/T Attikos. The aggregate purchase price for the vessel was $23.0 million. The acquisition was funded by borrowing $20.5 million under our existing revolving credit facility and the remaining $2.5 million was contributed from available cash. The M/T Attikos, a 12,000 dwt, 2005 built double-hull product tanker, is chartered to Trafigura Beheer B.V., under a charter with an earliest scheduled expiration date of September 2009 at a gross rate of $13,850 per day (net rate $13,503). The transaction was approved by our board of directors following approval by the conflicts committee of independent 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 of Experts and Counsel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To that effect, our board of directors unanimously determined to distribute available cash amounting to $39.3 million to our unitholders through an exceptional non-recurring distribution of $1.05 per unit for the fourth quarter of 2008, including a payment of $12.5 million for IDRs held by our general partner. Our board of directors determined that the payment of such a distribution was in our best interest. See below “Termination of the Subordination period” for more details regarding such distributions and its effects.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79"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224" w:lineRule="exact"/>
        <w:rPr>
          <w:sz w:val="20"/>
          <w:szCs w:val="20"/>
          <w:color w:val="auto"/>
        </w:rPr>
      </w:pPr>
    </w:p>
    <w:p>
      <w:pPr>
        <w:jc w:val="both"/>
        <w:ind w:left="980" w:hanging="325"/>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36" w:lineRule="exact"/>
        <w:rPr>
          <w:rFonts w:ascii="Arial" w:cs="Arial" w:eastAsia="Arial" w:hAnsi="Arial"/>
          <w:sz w:val="18"/>
          <w:szCs w:val="18"/>
          <w:color w:val="auto"/>
        </w:rPr>
      </w:pPr>
    </w:p>
    <w:p>
      <w:pPr>
        <w:jc w:val="both"/>
        <w:ind w:left="980" w:hanging="325"/>
        <w:spacing w:after="0" w:line="259"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Following the early termination of the subordination period in February 2008, our partnership agreement, including our cash distribution policy, may be amended with the approval of a majority of the outstanding common units, of which Capital Maritime currently owns 45.6%.</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left="980" w:hanging="325"/>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236"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the distribution would cause our liabilities to exceed the fair value of our assets.</w:t>
      </w:r>
    </w:p>
    <w:p>
      <w:pPr>
        <w:spacing w:after="0" w:line="223"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236" w:lineRule="exact"/>
        <w:rPr>
          <w:rFonts w:ascii="Arial" w:cs="Arial" w:eastAsia="Arial" w:hAnsi="Arial"/>
          <w:sz w:val="18"/>
          <w:szCs w:val="18"/>
          <w:color w:val="auto"/>
        </w:rPr>
      </w:pPr>
    </w:p>
    <w:p>
      <w:pPr>
        <w:jc w:val="both"/>
        <w:ind w:left="980" w:hanging="325"/>
        <w:spacing w:after="0" w:line="259"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revolving credit facilities which contain material financial tests and covenants that must be satisfied. Should we be unable to satisfy these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239"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236"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Distributions</w:t>
      </w:r>
    </w:p>
    <w:p>
      <w:pPr>
        <w:spacing w:after="0" w:line="279"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Our unitholders are entitled under our partnership agreement to receive a quarterly distribution to the extent we have sufficient cash on hand to pay the distribution after we establish cash reserves and pay fees and expenses. Our board has determined that in the current market and financial conditions there is little opportunity for vessel acquisitions that our accretive to our unitholders. Although we intend to continue to evaluate strategic acquisitions and to take advantage of our unique relationship with Capital Maritime in a prudent manner that is accretive to our unitholders and to long-term distribution growth there is no guarantee that we will pay a quarterly distribution on our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the terms of our credit facilities.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completion of our initial public offering on April 3, 2007, the following cash distributions have been declared and paid: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Distributions for Quarter Ended:</w:t>
            </w:r>
          </w:p>
        </w:tc>
        <w:tc>
          <w:tcPr>
            <w:tcW w:w="12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Amount of Cash Distributions</w:t>
            </w:r>
          </w:p>
        </w:tc>
        <w:tc>
          <w:tcPr>
            <w:tcW w:w="120" w:type="dxa"/>
            <w:vAlign w:val="bottom"/>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Cash Distributions per Unit</w:t>
            </w: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Jun. 30, 2007*</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$8.3 million</w:t>
            </w: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$0.3626 per unit</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Sep. 30, 2007</w:t>
            </w:r>
          </w:p>
        </w:tc>
        <w:tc>
          <w:tcPr>
            <w:tcW w:w="1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6"/>
              </w:rPr>
              <w:t>$8.8 million</w:t>
            </w:r>
          </w:p>
        </w:tc>
        <w:tc>
          <w:tcPr>
            <w:tcW w:w="1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$0.385 per unit</w:t>
            </w: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31, 2007</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$9.0 million</w:t>
            </w: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$0.395 per unit</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Mar. 31, 2008</w:t>
            </w:r>
          </w:p>
        </w:tc>
        <w:tc>
          <w:tcPr>
            <w:tcW w:w="1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4"/>
              </w:rPr>
              <w:t>$10.1 million</w:t>
            </w:r>
          </w:p>
        </w:tc>
        <w:tc>
          <w:tcPr>
            <w:tcW w:w="1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$0.400 per unit</w:t>
            </w: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 30, 2008</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$10.4 million</w:t>
            </w: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$0.410 per unit</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Sep. 30, 2008</w:t>
            </w:r>
          </w:p>
        </w:tc>
        <w:tc>
          <w:tcPr>
            <w:tcW w:w="1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4"/>
              </w:rPr>
              <w:t>$10.4 million</w:t>
            </w:r>
          </w:p>
        </w:tc>
        <w:tc>
          <w:tcPr>
            <w:tcW w:w="1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$0.410 per unit</w:t>
            </w:r>
          </w:p>
        </w:tc>
      </w:tr>
      <w:tr>
        <w:trPr>
          <w:trHeight w:val="216"/>
        </w:trPr>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31, 2008</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$39.3 million**</w:t>
            </w: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$1.050 per unit***</w:t>
            </w:r>
          </w:p>
        </w:tc>
      </w:tr>
    </w:tbl>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Prorated for the period from April 4, 2007 to June 30, 2007.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**Includes $12.5 million with respect to incentive distribution rights held by our general partner in accordance with the terms of our partnership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starting with the first quarter of 2009 distributions will return to levels more similar to those of prior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Exceptional non-recurring cash distribution.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the Subordination Period</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Payment of the exceptional distribution was made on February 13, 2009 to unitholders of record on February 10, 2009. The conversion of subordinated units to common units occurred automatically on February 14, 2009. Following such conversion Capital Maritime owns a 46.6% interest in us, including 11,304,651 common units and a 2% interest through its ownership of our general partner, and may significantly impact any vote under the terms of the partnership agreement.</w:t>
      </w:r>
    </w:p>
    <w:p>
      <w:pPr>
        <w:sectPr>
          <w:pgSz w:w="11900" w:h="16838" w:orient="portrait"/>
          <w:cols w:equalWidth="0" w:num="1">
            <w:col w:w="11420"/>
          </w:cols>
          <w:pgMar w:left="240" w:top="134" w:right="239" w:bottom="7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708"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279"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244"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The payment of the exceptional distribution described above also resulted in a distribution of $12.5 million with respect to incentive distribution rights held by our general partner, in accordance with the terms of the partnership agreement. Following discussions with our board of directors, the general partner agreed to defer receipt of a portion of the incentive distribution payment and will receive the $12.5 million of incentive payments in four equal quarterly installments, with the first installment having been paid in February 2009. Payment of each deferred quarterly installment is subject to our distributing at least the minimum quarterly distribution and any arrearages of minimum quarterly distributions for the relevant quarter.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27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shd w:val="clear" w:color="auto" w:fill="E0E0E0"/>
          </w:tcPr>
          <w:p>
            <w:pPr>
              <w:spacing w:after="0"/>
              <w:rPr>
                <w:sz w:val="18"/>
                <w:szCs w:val="18"/>
                <w:color w:val="auto"/>
              </w:rPr>
            </w:pPr>
          </w:p>
        </w:tc>
        <w:tc>
          <w:tcPr>
            <w:tcW w:w="34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3460" w:type="dxa"/>
            <w:vAlign w:val="bottom"/>
            <w:gridSpan w:val="2"/>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Marginal Percentage Interest in</w:t>
            </w:r>
          </w:p>
        </w:tc>
      </w:tr>
      <w:tr>
        <w:trPr>
          <w:trHeight w:val="241"/>
        </w:trPr>
        <w:tc>
          <w:tcPr>
            <w:tcW w:w="4360" w:type="dxa"/>
            <w:vAlign w:val="bottom"/>
            <w:tcBorders>
              <w:bottom w:val="single" w:sz="8" w:color="E0E0E0"/>
            </w:tcBorders>
            <w:shd w:val="clear" w:color="auto" w:fill="E0E0E0"/>
          </w:tcPr>
          <w:p>
            <w:pPr>
              <w:spacing w:after="0"/>
              <w:rPr>
                <w:sz w:val="20"/>
                <w:szCs w:val="20"/>
                <w:color w:val="auto"/>
              </w:rPr>
            </w:pPr>
          </w:p>
        </w:tc>
        <w:tc>
          <w:tcPr>
            <w:tcW w:w="348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E0E0E0"/>
            </w:tcBorders>
            <w:shd w:val="clear" w:color="auto" w:fill="E0E0E0"/>
          </w:tcPr>
          <w:p>
            <w:pPr>
              <w:spacing w:after="0"/>
              <w:rPr>
                <w:sz w:val="20"/>
                <w:szCs w:val="20"/>
                <w:color w:val="auto"/>
              </w:rPr>
            </w:pPr>
          </w:p>
        </w:tc>
        <w:tc>
          <w:tcPr>
            <w:tcW w:w="1220" w:type="dxa"/>
            <w:vAlign w:val="bottom"/>
            <w:tcBorders>
              <w:bottom w:val="single" w:sz="8" w:color="auto"/>
            </w:tcBorders>
            <w:shd w:val="clear" w:color="auto" w:fill="E0E0E0"/>
          </w:tcPr>
          <w:p>
            <w:pPr>
              <w:spacing w:after="0"/>
              <w:rPr>
                <w:sz w:val="20"/>
                <w:szCs w:val="20"/>
                <w:color w:val="auto"/>
              </w:rPr>
            </w:pPr>
          </w:p>
        </w:tc>
        <w:tc>
          <w:tcPr>
            <w:tcW w:w="2240" w:type="dxa"/>
            <w:vAlign w:val="bottom"/>
            <w:tcBorders>
              <w:bottom w:val="single" w:sz="8" w:color="auto"/>
            </w:tcBorders>
            <w:shd w:val="clear" w:color="auto" w:fill="E0E0E0"/>
          </w:tcPr>
          <w:p>
            <w:pPr>
              <w:jc w:val="center"/>
              <w:ind w:right="1130"/>
              <w:spacing w:after="0"/>
              <w:rPr>
                <w:sz w:val="20"/>
                <w:szCs w:val="20"/>
                <w:color w:val="auto"/>
              </w:rPr>
            </w:pPr>
            <w:r>
              <w:rPr>
                <w:rFonts w:ascii="Arial" w:cs="Arial" w:eastAsia="Arial" w:hAnsi="Arial"/>
                <w:sz w:val="18"/>
                <w:szCs w:val="18"/>
                <w:b w:val="1"/>
                <w:bCs w:val="1"/>
                <w:color w:val="auto"/>
                <w:w w:val="91"/>
              </w:rPr>
              <w:t>Distributions</w:t>
            </w:r>
          </w:p>
        </w:tc>
      </w:tr>
      <w:tr>
        <w:trPr>
          <w:trHeight w:val="223"/>
        </w:trPr>
        <w:tc>
          <w:tcPr>
            <w:tcW w:w="4360" w:type="dxa"/>
            <w:vAlign w:val="bottom"/>
            <w:shd w:val="clear" w:color="auto" w:fill="E0E0E0"/>
          </w:tcPr>
          <w:p>
            <w:pPr>
              <w:spacing w:after="0"/>
              <w:rPr>
                <w:sz w:val="19"/>
                <w:szCs w:val="19"/>
                <w:color w:val="auto"/>
              </w:rPr>
            </w:pPr>
          </w:p>
        </w:tc>
        <w:tc>
          <w:tcPr>
            <w:tcW w:w="3600" w:type="dxa"/>
            <w:vAlign w:val="bottom"/>
            <w:gridSpan w:val="2"/>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92"/>
              </w:rPr>
              <w:t>Total Quarterly Distribution Target Amount</w:t>
            </w:r>
          </w:p>
        </w:tc>
        <w:tc>
          <w:tcPr>
            <w:tcW w:w="1220" w:type="dxa"/>
            <w:vAlign w:val="bottom"/>
            <w:shd w:val="clear" w:color="auto" w:fill="E0E0E0"/>
          </w:tcPr>
          <w:p>
            <w:pPr>
              <w:jc w:val="center"/>
              <w:ind w:left="210"/>
              <w:spacing w:after="0"/>
              <w:rPr>
                <w:sz w:val="20"/>
                <w:szCs w:val="20"/>
                <w:color w:val="auto"/>
              </w:rPr>
            </w:pPr>
            <w:r>
              <w:rPr>
                <w:rFonts w:ascii="Arial" w:cs="Arial" w:eastAsia="Arial" w:hAnsi="Arial"/>
                <w:sz w:val="18"/>
                <w:szCs w:val="18"/>
                <w:b w:val="1"/>
                <w:bCs w:val="1"/>
                <w:color w:val="auto"/>
                <w:w w:val="91"/>
              </w:rPr>
              <w:t>Unitholders</w:t>
            </w:r>
          </w:p>
        </w:tc>
        <w:tc>
          <w:tcPr>
            <w:tcW w:w="2240" w:type="dxa"/>
            <w:vAlign w:val="bottom"/>
            <w:shd w:val="clear" w:color="auto" w:fill="E0E0E0"/>
          </w:tcPr>
          <w:p>
            <w:pPr>
              <w:ind w:left="640"/>
              <w:spacing w:after="0"/>
              <w:rPr>
                <w:sz w:val="20"/>
                <w:szCs w:val="20"/>
                <w:color w:val="auto"/>
              </w:rPr>
            </w:pPr>
            <w:r>
              <w:rPr>
                <w:rFonts w:ascii="Arial" w:cs="Arial" w:eastAsia="Arial" w:hAnsi="Arial"/>
                <w:sz w:val="18"/>
                <w:szCs w:val="18"/>
                <w:b w:val="1"/>
                <w:bCs w:val="1"/>
                <w:color w:val="auto"/>
              </w:rPr>
              <w:t>General Partner</w:t>
            </w:r>
          </w:p>
        </w:tc>
      </w:tr>
      <w:tr>
        <w:trPr>
          <w:trHeight w:val="216"/>
        </w:trPr>
        <w:tc>
          <w:tcPr>
            <w:tcW w:w="4360" w:type="dxa"/>
            <w:vAlign w:val="bottom"/>
            <w:tcBorders>
              <w:top w:val="single" w:sz="8" w:color="E0E0E0"/>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$0.3750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98%</w:t>
            </w:r>
          </w:p>
        </w:tc>
        <w:tc>
          <w:tcPr>
            <w:tcW w:w="22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2"/>
              </w:rPr>
              <w:t>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up to $0.4313</w:t>
            </w:r>
          </w:p>
        </w:tc>
        <w:tc>
          <w:tcPr>
            <w:tcW w:w="1220" w:type="dxa"/>
            <w:vAlign w:val="bottom"/>
          </w:tcPr>
          <w:p>
            <w:pPr>
              <w:jc w:val="center"/>
              <w:ind w:left="210"/>
              <w:spacing w:after="0"/>
              <w:rPr>
                <w:sz w:val="20"/>
                <w:szCs w:val="20"/>
                <w:color w:val="auto"/>
              </w:rPr>
            </w:pPr>
            <w:r>
              <w:rPr>
                <w:rFonts w:ascii="Arial" w:cs="Arial" w:eastAsia="Arial" w:hAnsi="Arial"/>
                <w:sz w:val="18"/>
                <w:szCs w:val="18"/>
                <w:color w:val="auto"/>
                <w:w w:val="88"/>
              </w:rPr>
              <w:t>98%</w:t>
            </w:r>
          </w:p>
        </w:tc>
        <w:tc>
          <w:tcPr>
            <w:tcW w:w="2240" w:type="dxa"/>
            <w:vAlign w:val="bottom"/>
          </w:tcPr>
          <w:p>
            <w:pPr>
              <w:jc w:val="center"/>
              <w:ind w:left="230"/>
              <w:spacing w:after="0"/>
              <w:rPr>
                <w:sz w:val="20"/>
                <w:szCs w:val="20"/>
                <w:color w:val="auto"/>
              </w:rPr>
            </w:pPr>
            <w:r>
              <w:rPr>
                <w:rFonts w:ascii="Arial" w:cs="Arial" w:eastAsia="Arial" w:hAnsi="Arial"/>
                <w:sz w:val="18"/>
                <w:szCs w:val="18"/>
                <w:color w:val="auto"/>
                <w:w w:val="92"/>
              </w:rPr>
              <w:t>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above $0.4313 up to $0.4688</w:t>
            </w:r>
          </w:p>
        </w:tc>
        <w:tc>
          <w:tcPr>
            <w:tcW w:w="12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85%</w:t>
            </w:r>
          </w:p>
        </w:tc>
        <w:tc>
          <w:tcPr>
            <w:tcW w:w="22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8"/>
              </w:rPr>
              <w:t>15%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6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above $0.4688 up to $0.5625</w:t>
            </w:r>
          </w:p>
        </w:tc>
        <w:tc>
          <w:tcPr>
            <w:tcW w:w="1220" w:type="dxa"/>
            <w:vAlign w:val="bottom"/>
          </w:tcPr>
          <w:p>
            <w:pPr>
              <w:jc w:val="center"/>
              <w:ind w:left="210"/>
              <w:spacing w:after="0"/>
              <w:rPr>
                <w:sz w:val="20"/>
                <w:szCs w:val="20"/>
                <w:color w:val="auto"/>
              </w:rPr>
            </w:pPr>
            <w:r>
              <w:rPr>
                <w:rFonts w:ascii="Arial" w:cs="Arial" w:eastAsia="Arial" w:hAnsi="Arial"/>
                <w:sz w:val="18"/>
                <w:szCs w:val="18"/>
                <w:color w:val="auto"/>
                <w:w w:val="88"/>
              </w:rPr>
              <w:t>75%</w:t>
            </w:r>
          </w:p>
        </w:tc>
        <w:tc>
          <w:tcPr>
            <w:tcW w:w="2240" w:type="dxa"/>
            <w:vAlign w:val="bottom"/>
          </w:tcPr>
          <w:p>
            <w:pPr>
              <w:jc w:val="center"/>
              <w:ind w:left="230"/>
              <w:spacing w:after="0"/>
              <w:rPr>
                <w:sz w:val="20"/>
                <w:szCs w:val="20"/>
                <w:color w:val="auto"/>
              </w:rPr>
            </w:pPr>
            <w:r>
              <w:rPr>
                <w:rFonts w:ascii="Arial" w:cs="Arial" w:eastAsia="Arial" w:hAnsi="Arial"/>
                <w:sz w:val="18"/>
                <w:szCs w:val="18"/>
                <w:color w:val="auto"/>
                <w:w w:val="88"/>
              </w:rPr>
              <w:t>25%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above $0.5625</w:t>
            </w:r>
          </w:p>
        </w:tc>
        <w:tc>
          <w:tcPr>
            <w:tcW w:w="12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50%</w:t>
            </w:r>
          </w:p>
        </w:tc>
        <w:tc>
          <w:tcPr>
            <w:tcW w:w="22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8"/>
              </w:rPr>
              <w:t>50%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279" w:lineRule="exact"/>
        <w:rPr>
          <w:sz w:val="20"/>
          <w:szCs w:val="20"/>
          <w:color w:val="auto"/>
        </w:rPr>
      </w:pPr>
    </w:p>
    <w:p>
      <w:pPr>
        <w:jc w:val="both"/>
        <w:ind w:left="980" w:hanging="325"/>
        <w:spacing w:after="0" w:line="26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January 30, 2009 we declared an exceptional non-recurring cash distribution of $1.05 per unit, which was paid on February 13, 2009, to unitholder of record on February 10, 2009. This exceptional distribution was funded from operating surplus and through a decrease in existing reserves.</w:t>
      </w:r>
    </w:p>
    <w:p>
      <w:pPr>
        <w:spacing w:after="0" w:line="236" w:lineRule="exact"/>
        <w:rPr>
          <w:rFonts w:ascii="Arial" w:cs="Arial" w:eastAsia="Arial" w:hAnsi="Arial"/>
          <w:sz w:val="18"/>
          <w:szCs w:val="18"/>
          <w:color w:val="auto"/>
        </w:rPr>
      </w:pPr>
    </w:p>
    <w:p>
      <w:pPr>
        <w:jc w:val="both"/>
        <w:ind w:left="980" w:hanging="325"/>
        <w:spacing w:after="0" w:line="275" w:lineRule="auto"/>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payment of this exceptional distribution also resulted in a distribution of $12.5 million with respect to incentive distribution rights held by our general partner, in accordance with the terms of the partnership agreement. The general partner has agreed to defer receipt of a portion of this payment and will receive the $12.5 million in four equal quarterly installments, with the first installment having been paid in February 2009. Payment of each deferred quarterly installment is subject to our distributing at least the minimum quarterly distribution and any arrearages of minimum quarterly distributions for the relevant quarter. These payments will be made from the operating surplus.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980" w:hanging="325"/>
        <w:spacing w:after="0" w:line="273"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payment of this exceptional distribution brought annual distributions to unitholders to $2.27 per unit for the year ended December 31, 2008, a level which under the terms of the partnership agreement resulted in the early termination of the subordination period and the automatic conversion of the subordinated units into common units on a one-for-one basis. Under the partnership agreement the subordination period would have ended in April 2011, if we had earned and paid at least $0.375 on each outstanding unit and corresponding distribution on the general partners' 2.0% for any three consecutive four-quarter periods. Following the conversion of the subordinated units into common units, our partners’ capital included 24,817,151 common units and 506,472 general partner units.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Please read Note 14 (Subsequent Events) to our Financial Statements included herein for more information regarding the events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13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High</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Low</w:t>
            </w: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2008</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24.93</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7420" w:type="dxa"/>
            <w:vAlign w:val="bottom"/>
          </w:tcPr>
          <w:p>
            <w:pPr>
              <w:ind w:left="660"/>
              <w:spacing w:after="0"/>
              <w:rPr>
                <w:sz w:val="20"/>
                <w:szCs w:val="20"/>
                <w:color w:val="auto"/>
              </w:rPr>
            </w:pPr>
            <w:r>
              <w:rPr>
                <w:rFonts w:ascii="Arial" w:cs="Arial" w:eastAsia="Arial" w:hAnsi="Arial"/>
                <w:sz w:val="18"/>
                <w:szCs w:val="18"/>
                <w:color w:val="auto"/>
              </w:rPr>
              <w:t>2007*</w:t>
            </w:r>
          </w:p>
        </w:tc>
        <w:tc>
          <w:tcPr>
            <w:tcW w:w="132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84"/>
              </w:rPr>
              <w:t>32.50</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December 31, 2008</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11.90</w:t>
            </w:r>
          </w:p>
        </w:tc>
        <w:tc>
          <w:tcPr>
            <w:tcW w:w="194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September 30, 2008</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20.50</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June 30, 2008</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22.07</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March 31, 2008</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24.93</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December 31, 2007</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27.75</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September 30, 2007</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32.50</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June 30, 2007*</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28.90</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Month Ended: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February 28, 2009</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10.79</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January 31, 2009</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10.50</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December 31, 2008</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8.58</w:t>
            </w:r>
          </w:p>
        </w:tc>
        <w:tc>
          <w:tcPr>
            <w:tcW w:w="194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November 30, 2008</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11.90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October 31, 2008</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11.81</w:t>
            </w:r>
          </w:p>
        </w:tc>
        <w:tc>
          <w:tcPr>
            <w:tcW w:w="19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8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September 30, 2008</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16.33</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bl>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Period commenced on March 30, 2007.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to be disclosed under Item 10B is incorporated by reference to the following sections of the prospectus included in our Registration Statement on Form F-1 filed with the SEC on March 19, 2007: “The Partnership Agreement”, “Description of the Common Units – The Units”, “Conflicts of Interest and Fiduciary Duties” and “Our Cash Distribution Policy and Restrictions on Distributions.”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8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following is a summary of each material contract, other than material contracts entered into in the ordinary course of business, to which we or any of our subsidiaries is a party, for the two years immediately preceding the date of this Annual Report, each of which is included in the list of exhibits in Item 19.</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Please read “Item 7B: Related Party Transactions” above for further details and a summary of certain contract terms.</w:t>
      </w:r>
    </w:p>
    <w:p>
      <w:pPr>
        <w:spacing w:after="0" w:line="263" w:lineRule="exact"/>
        <w:rPr>
          <w:sz w:val="20"/>
          <w:szCs w:val="20"/>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Agreement with Capital GP L.L.C re IDRs dated January 30, 2009, whereby our general partner agreed to defer receipt of a portion of the $12.5 million incentive distribution payment it is entitled to under the terms of our partnership agreement as a result of the payment of an exceptional cash distribution in February 2009.</w:t>
      </w:r>
    </w:p>
    <w:p>
      <w:pPr>
        <w:spacing w:after="0" w:line="23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 Purchase Agreement dated April 30, 2008 with Capital Maritime to acquire all of its interest in the wholly owned subsidiary that owns the M/T Aristofanis for an aggregate purchase price of $23.0 million under the terms of the relevant share purchase agreement with Capital Maritime. A portion of the acquisition price was funded through the issuance of 501,308 common units to Capital Maritime at a price of $22.94 per unit and the remainder through the issuance of $11.5 million of debt under our new credit facility. The transaction was approved by our board of directors following approval by the conflicts committee of independent directors. Please see “Item 5B: Operating and Financial Review and Prospects— Liquidity and Capital Resources—Net Cash Used in Investing Activities” and Note 1 (Basis of Presentation and General Information) to our Financial Statements included herein for more information regarding these acquisitions, including a detailed explanation of how they were accounted for.</w:t>
      </w:r>
    </w:p>
    <w:p>
      <w:pPr>
        <w:spacing w:after="0" w:line="24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 Purchase Agreement dated March 27, 2008 with Capital Maritime to acquire all of its interest in the wholly owned subsidiary that owns the M/T Amore Mio II for an aggregate purchase price of $95.0 million under the terms of the relevant share purchase agreement with Capital Maritime. A portion of the acquisition price was funded through the issuance of 2,048,823 common units to Capital Maritime at a price of $22.94 per unit and the remainder through the issuance of $46.0 million of debt under our new credit facility and $2.0 million in cash.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these acquisitions, including a detailed explanation of how they were accounted for.</w:t>
      </w:r>
    </w:p>
    <w:p>
      <w:pPr>
        <w:spacing w:after="0" w:line="24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 Purchase Agreement dated September 24, 2007 with Capital Maritime to acquire all of its interest in the wholly owned subsidiary that owns the M/T Attikos for an aggregate purchase price of $23.0 million. The transaction was approved by our board of directors following approval by the conflicts committee of independent directors.</w:t>
      </w:r>
    </w:p>
    <w:p>
      <w:pPr>
        <w:spacing w:after="0" w:line="236"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Revolving Facility Agreement, dated March 19, 2008, for a new 10-year revolving credit facility of up to $350.0 million with HSH Nordbank AG which is non-amortizing until March 2013. The credit facility bears interest at US$ LIBOR plus a margin of 1.1% and may be used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$107.5 million of this facility to fund part of the acquisition price of the M/T Amore Mio II, M/T Aristofanis, M/T Aristotelis II, and M/T Aris II from Capital Maritime. Please read “Item 5B: Operating and Financial Review and Prospects —Liquidity and Capital Resources—Revolving Credit Facilities” for a full description of the new credit facility.</w:t>
      </w:r>
    </w:p>
    <w:p>
      <w:pPr>
        <w:spacing w:after="0" w:line="229"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Revolving Facility Agreement, dated March 22, 2007, as amended September 19, 2007 and June 11, 2008, for a 10-year revolving credit facility of up to $370.0 million with HSH Nordbank AG which is non-amortizing until June 2012. The credit facility bears interest at US$ LIBOR plus a margin of 0.75%. The credit facility may be used for acquisitions and for general partnership purposes. Our obligations under the facility are secured by first-priority mortgages on 14 product tankers. Please read “Item 5B: Operating and Financial Review and Prospects —Liquidity and Capital Resources—Revolving Credit Facilities” for a full description of the existing credit facility.</w:t>
      </w:r>
    </w:p>
    <w:p>
      <w:pPr>
        <w:spacing w:after="0" w:line="229"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Omnibus Agreement with Capital Maritime &amp; Trading Corp., Capital GP LLC, our general partner, and Capital Product Operating GP LLC dated April 3, 2007.</w:t>
      </w:r>
    </w:p>
    <w:p>
      <w:pPr>
        <w:spacing w:after="0" w:line="22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Management Agreement with Capital Ship Management pursuant to which Capital Ship Management shall provide commercial and technical management services to us dated April 3, 2007, as amended on September 24, 2007 and March 27, 2008 to reflect the acquisitions of the M/T Attikos and the M/T Amore Mio II, respectively.</w:t>
      </w:r>
    </w:p>
    <w:p>
      <w:pPr>
        <w:spacing w:after="0" w:line="23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Administrative Services Agreement with Capital Ship Management pursuant to which Capital Ship Management shall provide administrative support services to us dated April 3, 2007.</w:t>
      </w:r>
    </w:p>
    <w:p>
      <w:pPr>
        <w:spacing w:after="0" w:line="22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Contribution Agreement with Capital Maritime &amp; Trading Corp., Capital GP LLC, our general partner, and Capital Product Operating GP LLC pursuant to which certain vessels were contributed to us at the time of our IPO dated April 3, 2007.</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Share Purchase Agreement with Capital Maritime to purchase its interest in the subsidiaries that owned the seven vessels and related charters we agreed to purchase from Capital Maritime at the time of our IPO dated April 3, 2007.</w:t>
      </w:r>
    </w:p>
    <w:p>
      <w:pPr>
        <w:spacing w:after="0" w:line="219"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 Taxation</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and our controlled affiliates will, conduct business or operations in the Republic of The Marshall Islands, neither we nor our controlled affiliates will be subject to income, capital gains, profits or other taxation under current Marshall Islands law. As a result, distributions by our operating subsidiary and our controlled affiliates to us will not be subject to Marshall Islands taxation.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unitholders. This discussion is based upon provisions of the Code as currently in effect on the date of this prospectus, Treasury Regulations, and current administrative rulings and court decisions, all of which are subject to change, possibly with retroactive effect. Changes in these authorities may cause the tax consequences to vary substantially from the consequences described below.</w:t>
      </w:r>
    </w:p>
    <w:p>
      <w:pPr>
        <w:spacing w:after="0" w:line="240"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following discussion does not comment on all aspects of U.S. federal income taxation which may be important to particular unitholders in light of their individual circumstances, such as unitholders subject to special tax rules (e.g., financial institutions, insurance companies, broker-dealers, tax-exempt organizations, or former citizens or long-term residents of the United States) or to persons that will hold the units as part of a straddle, hedge, conversion, constructive sale, or other integrated transaction for U.S. federal income tax purposes, partnerships or their partners, or that have a functional currency other than the U.S. dollar, all of whom may be subject to tax rules that differ significantly from those summarized below. If a partnership or other entity classified as a partnership for U.S. federal income tax purposes holds our units, the tax treatment of a partner thereof will generally depend upon the status of the partner and upon the activities of the partnership. If you are a partner in a partnership holding our units, you should consult your tax advisor.</w:t>
      </w:r>
    </w:p>
    <w:p>
      <w:pPr>
        <w:spacing w:after="0" w:line="21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No ruling has been or will be requested from the Internal Revenue Service regarding any matter affecting us or our unitholders. The statements made here may not be sustained by a court if contested by the IRS.</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units. Each unitholder is urged to consult its tax advisor regarding the U.S. federal, state, local and other tax consequences of the ownership or disposition of our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27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have elected to be taxed as a corporation for U.S. federal income tax purposes. As such, among other consequences, U.S. Holders (as defined below) will not directly be subject to U.S. federal income tax on our income, but rather will be subject to U.S. federal income tax on distributions received from us and dispositions of units as described below. As a corporation, we are subject to U.S. federal income tax on our income to the extent it is from U.S. sources or otherwise is effectively connected with the conduct of a trade or business in the United States as discussed below.</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expect that substantially all of our gross income will continue to be attributable to the transportation of crude oil and related oil products.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both time charter or bareboat charter income.</w:t>
      </w:r>
    </w:p>
    <w:p>
      <w:pPr>
        <w:spacing w:after="0" w:line="240"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50.0% derived from sources within the United States. Transportation Income attributable to transportation that both begins and ends in the United States (or “U.S. Source Domestic Transportation Income”) will be considered to be 100.0%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ectPr>
          <w:pgSz w:w="11900" w:h="16838" w:orient="portrait"/>
          <w:cols w:equalWidth="0" w:num="1">
            <w:col w:w="11420"/>
          </w:cols>
          <w:pgMar w:left="240" w:top="134" w:right="239" w:bottom="2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249"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the exemption from U.S. taxation under Section 883 of the Code (or the “Section 883 Exemption”) applies.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27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(or the “Section 883 Regulations”), it will not be subject to the net basis and branch taxes or 4.0% gross basis tax described below on its U.S. Source International Transportation Income. The Section 883 Exemption only applies to U.S. Source International Income.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279" w:lineRule="exact"/>
        <w:rPr>
          <w:sz w:val="20"/>
          <w:szCs w:val="20"/>
          <w:color w:val="auto"/>
        </w:rPr>
      </w:pPr>
    </w:p>
    <w:p>
      <w:pPr>
        <w:ind w:left="660" w:hanging="328"/>
        <w:spacing w:after="0" w:line="25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64"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The Publicly Traded Test requires that one or more classes of equity representing more than 50.0% of the voting power and value in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50.0% of the combined vote and value of the non-U.S. corporation are listed on such market and certain trading volume requirements are met or deemed met as described below. For this purpose, if one or more “5.0% unitholders” (i.e., a unitholder holding, actually or constructively, at least 5.0% of the vote and value of a class of equity) own in the aggregate 50.0% or more of the vote and value of a class of equity, such class of equity will not be treated as primarily and regularly traded on an established securities market (the “Closely Held Block Exception”).</w:t>
      </w:r>
    </w:p>
    <w:p>
      <w:pPr>
        <w:spacing w:after="0" w:line="234"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any such income earned by our subsidiaries that have properly elected to be treated as partnerships or disregarded as entities separate from us for U.S. federal income tax purposes) will be exempt from U.S. federal income taxation provided we meet the Publicly Traded Test. These conclusions, however, are based upon legal authorities which do not expressly contemplate an organization structure such as ours. In particular, although we have elected to be treated as a corporation for U.S. federal income tax purposes, for corporate law purposes we are organized as a limited partnership under Marshall Islands law and our general partner will be responsible for managing our business and affairs and has been grated certain veto rights over decisions of our board of directors. Accordingly, it is possible that the IRS could assert that our units do not meet the “regularly traded” test.</w:t>
      </w:r>
    </w:p>
    <w:p>
      <w:pPr>
        <w:spacing w:after="0" w:line="21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Since our units will only be traded on the Nasdaq Global Market, which is considered to be an established securities market, our units will be deemed to be “primarily traded” on an established securities market. In addition since our units represent more than 50.0% of our vote and value they will be considered to be “regularly traded” on an established securities market.</w:t>
      </w:r>
    </w:p>
    <w:p>
      <w:pPr>
        <w:spacing w:after="0" w:line="23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Provided our units are treated as representing more than 50.0% of our vote and value, we believe we will meet the trading volume requirements described previously because the pertinent regulations provide that trading volume requirements will be deemed to be met with respect to a class of equity traded on an established securities market in the United States where, as will be the case for our units, the units are regularly quoted by dealers who regularly and actively make offers, purchases and sales of such units to unrelated persons in the ordinary course of business.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addition, we expect that our units will not lose eligibility for the Section 883 Exemption as a result of the Closely Held Block Exemption, because our partnership agreement provides that the voting rights of any 5.0% unitholders are limited to a 4.9% voting interest in us regardless of how many units are held by that 5.0% unitholder. Thus, although the matter is not free from doubt, we believe that we will satisfy the Publicly Traded Test. Should any of the facts described above cease to correct, our ability to satisfy the test will be compromised.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Net Basis Tax and Branch Profits Tax</w:t>
      </w:r>
    </w:p>
    <w:p>
      <w:pPr>
        <w:spacing w:after="0" w:line="279"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21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w:t>
      </w:r>
      <w:r>
        <w:rPr>
          <w:rFonts w:ascii="Arial" w:cs="Arial" w:eastAsia="Arial" w:hAnsi="Arial"/>
          <w:sz w:val="18"/>
          <w:szCs w:val="18"/>
          <w:b w:val="1"/>
          <w:bCs w:val="1"/>
          <w:i w:val="1"/>
          <w:iCs w:val="1"/>
          <w:color w:val="auto"/>
        </w:rPr>
        <w:t>t</w:t>
      </w:r>
      <w:r>
        <w:rPr>
          <w:rFonts w:ascii="Arial" w:cs="Arial" w:eastAsia="Arial" w:hAnsi="Arial"/>
          <w:sz w:val="18"/>
          <w:szCs w:val="18"/>
          <w:color w:val="auto"/>
        </w:rPr>
        <w:t>ly 35.0%). In addition, a 30.0% branch profits tax imposed under Section 884 of the Code also would apply to such income, and a branch interest tax could be imposed on certain interest paid or deemed paid by us.</w:t>
      </w:r>
    </w:p>
    <w:p>
      <w:pPr>
        <w:spacing w:after="0" w:line="23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the sale of a vessel that has produced Effectively Connected Income, we could be subject to the net basis corporate income tax and to the 30.0% branch profits tax with respect to our gain not in excess of certain prior deductions for depreciation that reduced Effectively Connected Income. Otherwise, we would not be subject to U.S. federal income tax with respect to gain realized on the sale of a vessel, provided the sale is considered to occur outside of the United States under U.S. federal income tax principles.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4.0% Gross Basis Tax</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Section 883 Exemption does not apply and the net basis tax does not apply, we would be subject to a 4.0% U.S. federal income tax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source portion of our gross U.S. Source International Transportation Income, without benefit of deductions.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U.S. Holder</w:t>
      </w:r>
      <w:r>
        <w:rPr>
          <w:rFonts w:ascii="Arial" w:cs="Arial" w:eastAsia="Arial" w:hAnsi="Arial"/>
          <w:sz w:val="18"/>
          <w:szCs w:val="18"/>
          <w:color w:val="auto"/>
        </w:rPr>
        <w:t xml:space="preserve"> means a beneficial owner of our units that:</w:t>
      </w:r>
    </w:p>
    <w:p>
      <w:pPr>
        <w:spacing w:after="0" w:line="279" w:lineRule="exact"/>
        <w:rPr>
          <w:sz w:val="20"/>
          <w:szCs w:val="20"/>
          <w:color w:val="auto"/>
        </w:rPr>
      </w:pPr>
    </w:p>
    <w:p>
      <w:pPr>
        <w:jc w:val="both"/>
        <w:ind w:left="980" w:hanging="325"/>
        <w:spacing w:after="0" w:line="286"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ind w:left="980" w:hanging="325"/>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owns the units as a capital asset, generally, for investment purposes, and</w:t>
      </w:r>
    </w:p>
    <w:p>
      <w:pPr>
        <w:spacing w:after="0" w:line="8" w:lineRule="exact"/>
        <w:rPr>
          <w:rFonts w:ascii="Arial" w:cs="Arial" w:eastAsia="Arial" w:hAnsi="Arial"/>
          <w:sz w:val="18"/>
          <w:szCs w:val="18"/>
          <w:color w:val="auto"/>
        </w:rPr>
      </w:pPr>
    </w:p>
    <w:p>
      <w:pPr>
        <w:ind w:left="980" w:hanging="325"/>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owns less than 10% of our units for United States federal income tax purposes.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Distributions</w:t>
      </w:r>
    </w:p>
    <w:p>
      <w:pPr>
        <w:spacing w:after="0" w:line="279"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Subject to the discussion of the rules applicable to passive foreign investment companies (or PFICs) below, any distributions made by us with respect to our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units on a dollar-for-dollar basis and thereafter as capital gain. U.S. Holders that are corporations generally will not be entitled to claim a dividends received deduction with respect to any distributions they receive from us. Dividends paid with respect to our units generally will be treated as “passive category income” for purposes of computing allowable foreign tax credits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Dividends paid on our units to a U.S. Holder who is an individual, trust or estate (or a U.S. Individual Holder) will be treated as “qualified dividend income” that is taxable to such U.S. Individual Holder at preferential capital gain tax rates (through 2010) provided that: (i) our units are readily tradable on an established securities market in the United States (such as the Nasdaq Global Market on which our units are traded); (ii) we are not a PFIC for the taxable year during which the dividend is paid or the immediately preceding taxable year (which we do not believe we are, have been or will be, as discussed below);</w:t>
      </w:r>
    </w:p>
    <w:p>
      <w:pPr>
        <w:spacing w:after="0" w:line="1" w:lineRule="exact"/>
        <w:rPr>
          <w:sz w:val="20"/>
          <w:szCs w:val="20"/>
          <w:color w:val="auto"/>
        </w:rPr>
      </w:pPr>
    </w:p>
    <w:p>
      <w:pPr>
        <w:jc w:val="both"/>
        <w:ind w:firstLine="8"/>
        <w:spacing w:after="0" w:line="250" w:lineRule="auto"/>
        <w:tabs>
          <w:tab w:leader="none" w:pos="3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U.S. Individual Holder has owned the units for more than 60 days in the 121-day period beginning 60 days before the date on which the units become ex-dividend; and (iv) the U.S. Individual Holder is not under an obligation to make related payments with respect to positions in substantially similar or related property. There is no assurance that any dividends paid on our units will be eligible for these preferential rates in the hands of a U.S. Individual Holder, and any dividends paid on our units that are not eligible for these preferential rates will be taxed as ordinary income to a U.S. Individual Holder. In the absence of legislation extending the term of the preferential tax rates for qualified dividend income, all dividends received by a taxpayer in tax years beginning January 1, 2011 or later will be taxed at rates applicable to ordinary income.</w:t>
      </w:r>
    </w:p>
    <w:p>
      <w:pPr>
        <w:spacing w:after="0" w:line="1" w:lineRule="exact"/>
        <w:rPr>
          <w:rFonts w:ascii="Arial" w:cs="Arial" w:eastAsia="Arial" w:hAnsi="Arial"/>
          <w:sz w:val="18"/>
          <w:szCs w:val="18"/>
          <w:color w:val="auto"/>
        </w:rPr>
      </w:pPr>
    </w:p>
    <w:p>
      <w:pPr>
        <w:jc w:val="both"/>
        <w:ind w:firstLine="647"/>
        <w:spacing w:after="0" w:line="273" w:lineRule="auto"/>
        <w:rPr>
          <w:rFonts w:ascii="Arial" w:cs="Arial" w:eastAsia="Arial" w:hAnsi="Arial"/>
          <w:sz w:val="18"/>
          <w:szCs w:val="18"/>
          <w:color w:val="auto"/>
        </w:rPr>
      </w:pPr>
      <w:r>
        <w:rPr>
          <w:rFonts w:ascii="Arial" w:cs="Arial" w:eastAsia="Arial" w:hAnsi="Arial"/>
          <w:sz w:val="17"/>
          <w:szCs w:val="17"/>
          <w:color w:val="auto"/>
        </w:rPr>
        <w:t>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units that is treated as “qualified dividend income”, then any loss derived by a U.S. Individual Holder from the sale or exchange of such units will be treated as long-term capital loss to the extent of the amount of such dividend.</w:t>
      </w:r>
    </w:p>
    <w:p>
      <w:pPr>
        <w:spacing w:after="0" w:line="229"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In addition, under previously proposed legislation, the preferential rate of federal income tax currently imposed on qualified dividend income would be denied with respect to dividends received form a non-U.S. corporation, unless the non-U.S. corporation either is eligible for benefits of a comprehensive income tax treaty with the United States or is created or organized under the laws of a foreign country which has a comprehensive income tax system. Because the Marshall Islands has not entered into a comprehensive income tax treaty with the United States and imposes only limited taxes on corporations organized under its laws, it is unlikely that we could satisfy either of these requirements. Consequently, if this legislation were enacted the preferential tax rates imposed on qualified dividend income may no longer be applicable to dividends received from us. Any dividends paid on our shares that are not eligible for the preferential rate will be taxed as ordinary income to a U.S. Individual Holder. As of the date hereof, it is not possible to predict with any certainty whether this previously proposed legislation will be reintroduced or enacted.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 Exchange or other Disposition of Units</w:t>
      </w:r>
    </w:p>
    <w:p>
      <w:pPr>
        <w:spacing w:after="0" w:line="27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Subject to the discussion of PFICs below, a U.S. Holder generally will recognize taxable gain or loss upon a sale, exchange or other disposition of our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7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units, either:</w:t>
      </w:r>
    </w:p>
    <w:p>
      <w:pPr>
        <w:spacing w:after="0" w:line="237" w:lineRule="exact"/>
        <w:rPr>
          <w:sz w:val="20"/>
          <w:szCs w:val="20"/>
          <w:color w:val="auto"/>
        </w:rPr>
      </w:pPr>
    </w:p>
    <w:p>
      <w:pPr>
        <w:ind w:left="660" w:right="200" w:hanging="328"/>
        <w:spacing w:after="0" w:line="25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 w:lineRule="exact"/>
        <w:rPr>
          <w:rFonts w:ascii="Arial" w:cs="Arial" w:eastAsia="Arial" w:hAnsi="Arial"/>
          <w:sz w:val="18"/>
          <w:szCs w:val="18"/>
          <w:color w:val="auto"/>
        </w:rPr>
      </w:pPr>
    </w:p>
    <w:p>
      <w:pPr>
        <w:ind w:left="660" w:right="40" w:hanging="328"/>
        <w:spacing w:after="0" w:line="26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23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w:t>
      </w:r>
    </w:p>
    <w:p>
      <w:pPr>
        <w:spacing w:after="0" w:line="237"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Based on our current and projected methods of operation we do not believe that we have been a PFIC nor do we expect to become a PFIC with respect to any future taxable year. Although there is no legal authority directly on point, and we are not obtaining a ruling from the IRS on this issue, we will take the position that, for purposes of determining whether we are a PFIC, the gross income we derive or are deemed to derive from the time chartering activities of our wholly owned subsidiaries should constitute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 We intend to treat our income from time chartering activities as non-passive income, and the vessels engaged in those activities as non-passive assets. Certain vessels in our fleet are engaged in activities that may be characterized as passive for PFIC purposes and the income from that portion of our fleet may be treated as passive income for PFIC purposes. We believe that there is substantial legal authority supporting our position consisting of case law and IRS pronouncements concerning the characterization of income derived from time charters as services income for other tax purposes. However, in the absence of any legal authority specifically relating to the statutory provisions governing PFICs, the IRS or a court could disagree with this position. In addition, although we intend to conduct our affairs in a manner to avoid being classified as a PFIC with respect to any taxable year, we cannot assure you that the nature of our operations will not change in the future.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units, as discussed below.</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7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units will be increased to reflect taxed but undistributed earnings and profits. Distributions of earnings and profits that had been previously taxed will result in a corresponding reduction in the adjusted tax basis in the units and will not be taxed again once distributed. An Electing Holder would generally recognize capital gain or loss on the sale, exchange or other disposition of our units. A U.S. Holder would make a QEF election with respect to any year that we are a PFIC by filing one copy of IRS Form 8621 with his U.S. federal income tax return and a second copy in accordance with the instructions to such form. If we were to be treated as a PFIC for any taxable year, we would provide each U.S. Holder with all necessary information in order to make the QEF election described above.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79"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Alternatively, if we were to be treated as a PFIC for any taxable year and, as we anticipate, our units were treated as “marketable stock”, a U.S. Holder would be allowed to make a “mark-to-market” election with respect to our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units at the end of the taxable year over such holder’s adjusted tax basis in the units. The U.S. Holder would also be permitted an ordinary loss in respect of the excess, if any, of the U.S. Holder’s adjusted tax basis in the units over the fair market value thereof at the end of the taxable year, but only to the extent of the net amount previously included in income as a result of the mark-to-market election. A U.S. Holder’s tax basis in his units would be adjusted to reflect any such income or loss amount. Gain realized on the sale, exchange or other disposition of our units would be treated as ordinary income, and any loss realized on the sale, exchange or other disposition of the units would be treated as ordinary loss to the extent that such loss does not exceed the net mark-to-market gains previously included by the U.S. Holder.</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7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units in a taxable year in excess of 125 percent of the average annual distributions received by the Non-Electing Holder in the three preceding taxable years, or, if shorter, the Non-Electing Holder’s holding period for the units), and (2) any gain realized on the sale, exchange or other disposition of our units. Under these special rules:</w:t>
      </w:r>
    </w:p>
    <w:p>
      <w:pPr>
        <w:spacing w:after="0" w:line="229"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units;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ind w:left="660" w:right="80" w:hanging="328"/>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243"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units. If we were treated as a PFIC for any taxable year and a Non-Electing Holder who is an individual dies while owning our units, such holder’s successor generally would not receive a step-up in tax basis with respect to such units.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79"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A beneficial owner of our units (other than a partnership, including any entity or arrangement treated as a partnership for U.S. federal income tax purposes) that is not a U.S. Holder is a Non-U.S. Holder.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Distributions</w:t>
      </w:r>
    </w:p>
    <w:p>
      <w:pPr>
        <w:spacing w:after="0" w:line="27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will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79"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The U.S. federal income taxation of Non-U.S. Holders on any gain resulting from the disposition of our units is generally the same as described above regarding distributions. However, individual Non-U.S. Holders may be subject to tax on gain resulting from the disposition of our units if they are present in the United States for 183 days or more during the taxable year in which those shares are disposed and meet certain other requirements.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79"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In general, payments of distributions or the proceeds of a disposition of our units to a non-corporate U.S. Holder will be subject to information reporting requirements. These payments to a non-corporate U.S. Holder also may be subject to backup withholding, if the non-corporate U.S. Holder:</w:t>
      </w:r>
    </w:p>
    <w:p>
      <w:pPr>
        <w:spacing w:after="0" w:line="20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is notified by the IRS that he has failed to report all interest or corporate distributions required to be shown on its U.S. federal income tax returns; or</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64"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W-8ECI or W-8IMY, as applicable.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his liability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(and a refund of any amounts withheld in excess of such liability) by filing a return with the IRS.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Safe Harbor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83"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have filed with the SEC a registration statement on Form F-1 regarding the common units. This Annual Report does not contain all of the information found in the registration statement. For further information regarding us and our common units, you may wish to review the full registration statement, including its exhibits. The registration statement,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2008.</w:t>
      </w:r>
    </w:p>
    <w:p>
      <w:pPr>
        <w:sectPr>
          <w:pgSz w:w="11900" w:h="16838" w:orient="portrait"/>
          <w:cols w:equalWidth="0" w:num="1">
            <w:col w:w="11420"/>
          </w:cols>
          <w:pgMar w:left="240" w:top="134" w:right="239" w:bottom="10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058"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279" w:lineRule="exact"/>
        <w:rPr>
          <w:sz w:val="20"/>
          <w:szCs w:val="20"/>
          <w:color w:val="auto"/>
        </w:rPr>
      </w:pPr>
    </w:p>
    <w:p>
      <w:pPr>
        <w:jc w:val="both"/>
        <w:ind w:right="20" w:firstLine="647"/>
        <w:spacing w:after="0" w:line="341"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 material currency exposure risk. We generate all of our revenues in U.S. Dollars and incur less than 5% of our expenses in currencies other than U.S. Dollars. For accounting purposes, expenses incurred in currencies other than the U.S. Dollar are translated into U.S. Dollars at the exchange rate prevailing on the date of each transaction. As of December 31, 2008, less than 5% of liabilities were denominated in currencies other than U.S. Dollars (mainly in Euros). These liabilities were translated into U.S. Dollars at the exchange rate prevailing on December 31, 2008. We have not hedged currency exchange risks and our operating results could be adversely affected as a result.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existing credit facility of $370.0 million bears floating interest of 0.75% per annum over US$ LIBOR. Our $350.0 million new credit facility bears floating interest of 1.10% per annum over US$ LIBOR. Therefore, we are exposed to the risk that our interest expense may increase if interest rates rise.</w:t>
      </w:r>
    </w:p>
    <w:p>
      <w:pPr>
        <w:spacing w:after="0" w:line="240"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In order to hedge our exposure to interest rate changes, we have entered into ten interest rate swap agreements at varying rates to fix the LIBOR portion of our interest rate $366.5 million in borrowings drawn down under our existing facility for a period up to June 2012. We have also entered into four interest rate swap agreements to fix the LIBOR portion of our interest rate at varying rates for $107.5 million in borrowings drawn down under our new credit facility for a period up to March 2013. We intend to swap the LIBOR portion of any further amounts drawn down under the existing credit facility and the new credit facility into a fixed rate until the end of the non-amortizing period in June 2012 and March 2013 respectively. As our interest rate is fixed under the swap agreements changes in LIBOR during the swapped period would not affect our interest expense. However, as a result of a market disruption in determining the cost of funds for our banks, any increases by the banks to their “funding costs” under our agreements will lead to proportional increases in the relevant interest amounts interest payable under our agreement on a quarterly basis. Interest expenses for the three month period ended March 31, 2009 has increased by 0.55297% under our existing credit facility and by 0.3928%, under new credit facility, respectively, in accordance with the terms of each facility. Please refer to “Item 5B: Operating and Financial Review and Prospects—Liquidity and Capital Resources—Revolving Credit Facilities” for more information on the specific rates we have entered into under each swap agreement.</w:t>
      </w:r>
    </w:p>
    <w:p>
      <w:pPr>
        <w:spacing w:after="0" w:line="23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Please read Note 2 (Significant Accounting Policies – Interest Rate Swap Agreements), Note 5 (Long-Term Debt) and Note 6 (Fair Value of Financial Instruments) to our Financial Statements included herein, which provide additional information with respect to our derivative financial instruments and existing debt agreements.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interest rate swap agreements, and trade accounts receivable. We place our cash and cash equivalents, consisting mostly of deposits, and enter into interest rate swap agreements with creditworthy financial institutions as rated by qualified rating agencies. For the years ended December 31, 2008 and December 31, 2007, 87% and 82% of our revenues, respectively, were derived from two charterers. We do not obtain rights to collateral to reduce our credit risk. Please refer to “Item 5B: Operating and Financial Review and Prospects—Liquidity and Capital Resources—Revolving Credit Facilities” for more information on our interest rate swap agreements.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79"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However, certain extraordinary fees and costs we are obligated to pay to Capital Ship Management under our management agreement, which amounted to approximately $1.0 million for the year ended December 31, 2008, may further increase to reflect the continuing inflationary vessel cost environment.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279"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We completed our IPO on April 3, 2007. We did not receive any proceeds from the sale of our common units by Capital Maritime. Capital Maritime used the proceeds from our IPO to repay the existing debt on the eight vessels that made up our fleet at the time of our IPO. Capital Maritime also paid the offering expenses, underwriting discounts, selling commissions and brokerage fees incurred in connection with the IPO.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83"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As of December 31, 2008, our management (with the participation of our chief executive officer and chief financial officer) conducted an evaluation pursuant to Rule 13a-15(b) and 15d-15 promulgated under the U.S. Securities Exchange Act of 1934, as amended (the “Exchange Act”), of the effectiveness of the design and operation of our disclosure controls and procedures. Our management, including our chief executive and chief financial officer,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218"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However, based on this evaluation, our chief executive officer and chief financial officer concluded that as of December 31, 2008, our disclosure controls and procedures, which include, without limitation, controls and procedures designed to ensure that information required to be disclosed by us in the reports we file or submit under the Exchange Act is accumulated and communicated to the management, including our chief executive officer and chief financial officer,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83"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202"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the our assets that could have a material effect on the financial statements.</w:t>
      </w:r>
    </w:p>
    <w:p>
      <w:pPr>
        <w:spacing w:after="0" w:line="214"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upon the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2008.</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4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internal control over financial reporting of Capital Product Partners L.P. (the “Partnership”) as December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Partnership's internal control over financial reporting based on our audit.</w:t>
      </w:r>
    </w:p>
    <w:p>
      <w:pPr>
        <w:spacing w:after="0" w:line="229" w:lineRule="exact"/>
        <w:rPr>
          <w:sz w:val="20"/>
          <w:szCs w:val="20"/>
          <w:color w:val="auto"/>
        </w:rPr>
      </w:pPr>
    </w:p>
    <w:p>
      <w:pPr>
        <w:jc w:val="both"/>
        <w:ind w:firstLine="496"/>
        <w:spacing w:after="0" w:line="27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9"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24" w:lineRule="exact"/>
        <w:rPr>
          <w:sz w:val="20"/>
          <w:szCs w:val="20"/>
          <w:color w:val="auto"/>
        </w:rPr>
      </w:pPr>
    </w:p>
    <w:p>
      <w:pPr>
        <w:jc w:val="both"/>
        <w:ind w:firstLine="647"/>
        <w:spacing w:after="0" w:line="341" w:lineRule="auto"/>
        <w:rPr>
          <w:sz w:val="20"/>
          <w:szCs w:val="20"/>
          <w:color w:val="auto"/>
        </w:rPr>
      </w:pPr>
      <w:r>
        <w:rPr>
          <w:rFonts w:ascii="Arial" w:cs="Arial" w:eastAsia="Arial" w:hAnsi="Arial"/>
          <w:sz w:val="16"/>
          <w:szCs w:val="16"/>
          <w:color w:val="auto"/>
        </w:rPr>
        <w:t xml:space="preserve">In our opinion, the Partnership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79"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and combined financial statements as of and for the year ended December 31, 2008 of the Partnership and our report dated March 26, 2009 expressed an unqualified opinion on those financial statements and included explanatory paragraphs relating to (1) the formation of Capital Product Partners L.P. and the preparation of the portion of the combined financial statements attributable to the period through April 4, 2007 from the separate records maintained by Capital Maritime &amp; Trading Corp., and (2) the preparation of the portion of the combined financial statements attributable to the Ross Shipmanagement Co., Baymont Enterprises Incorporated, and Forbes Maritime Co., prior to the vessel acquisition by the Partnership, from the separate records maintained by Capital Maritime &amp; Trading Corp.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83"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Our board of directors has determined that director Abel Rasterhoff, the chairman of our audit committee, qualifies as an audit committee financial expert for purposes of the U.S. Sarbanes-Oxley Act and is independent under applicable Nasdaq Global Market and SEC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board of directors has adopted a Code of Business Conduct and Ethics that includes a Code of Ethics that applies to our chief executive officer, chief financial officer, principal accounting officer and persons performing similar functions. 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Business Conduct and Ethics for the benefit of any of our directors and executive officers.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8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Our principal accountant for 2008 and 2007 was Deloitte. The following table shows the fees we paid or accrued for audit services provided by Deloitte for 2008 and 2007 (in 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Fees</w:t>
            </w:r>
          </w:p>
        </w:tc>
        <w:tc>
          <w:tcPr>
            <w:tcW w:w="1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$585</w:t>
            </w:r>
          </w:p>
        </w:tc>
        <w:tc>
          <w:tcPr>
            <w:tcW w:w="25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25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 (2)</w:t>
            </w:r>
          </w:p>
        </w:tc>
        <w:tc>
          <w:tcPr>
            <w:tcW w:w="14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156</w:t>
            </w:r>
          </w:p>
        </w:tc>
        <w:tc>
          <w:tcPr>
            <w:tcW w:w="16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34"/>
        </w:trPr>
        <w:tc>
          <w:tcPr>
            <w:tcW w:w="63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5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$741</w:t>
            </w:r>
          </w:p>
        </w:tc>
        <w:tc>
          <w:tcPr>
            <w:tcW w:w="25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$227</w:t>
            </w:r>
          </w:p>
        </w:tc>
      </w:tr>
    </w:tbl>
    <w:p>
      <w:pPr>
        <w:spacing w:after="0" w:line="237" w:lineRule="exact"/>
        <w:rPr>
          <w:sz w:val="20"/>
          <w:szCs w:val="20"/>
          <w:color w:val="auto"/>
        </w:rPr>
      </w:pPr>
    </w:p>
    <w:p>
      <w:pPr>
        <w:jc w:val="both"/>
        <w:ind w:left="980" w:hanging="648"/>
        <w:spacing w:after="0" w:line="254"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statements and audit services provided in connection with other regulatory filings. Fees in connection with the review of our regulatory filings for our IPO of common units in April 2007 amounted to $1.0 million and were paid by Capital Maritime with part of the proceeds from the IPO.</w:t>
      </w:r>
    </w:p>
    <w:p>
      <w:pPr>
        <w:spacing w:after="0" w:line="1" w:lineRule="exact"/>
        <w:rPr>
          <w:rFonts w:ascii="Arial" w:cs="Arial" w:eastAsia="Arial" w:hAnsi="Arial"/>
          <w:sz w:val="18"/>
          <w:szCs w:val="18"/>
          <w:color w:val="auto"/>
        </w:rPr>
      </w:pPr>
    </w:p>
    <w:p>
      <w:pPr>
        <w:ind w:left="980" w:hanging="648"/>
        <w:spacing w:after="0" w:line="260"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provided in connection with various U.S. income tax compliance and information reporting matters.</w:t>
      </w:r>
    </w:p>
    <w:p>
      <w:pPr>
        <w:spacing w:after="0" w:line="23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2008 and 2007.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83"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On March 27, 2008, we issued 2,048,823 common units to Capital Maritime at a price of $22.94 per unit, which was the weighted average unit price for the period from October 15, 2007 to February 15, 2008, in order to finance a portion of the acquisition price of the M/T Amore Mio II which we acquired from Capital Maritime on the same date. On March 31, 2008, Capital Maritime, which owns and controls our general partner, Capital GP L.L.C, made a capital contribution of 40,976 common units to our general partner, which our general partner then contributed to us in exchange for the issuance of 40,976 general partner units to our general partner in order for it to maintain its 2% general partner interest in us.</w:t>
      </w:r>
    </w:p>
    <w:p>
      <w:pPr>
        <w:spacing w:after="0" w:line="229"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On April 30, 2008, we issued 501,308 common units to Capital Maritime at a price of $22.94 per unit, which was the weighted average unit price for the period from October 15, 2007 to February 15, 2008, in order to finance a portion of the acquisition price of the M/T Aristofanis which we acquired from Capital Maritime on the same date. On April 30, 2008, Capital Maritime, which owns and controls our general partner, Capital GP L.L.C, made a capital contribution of 10.026 common units to our general partner, which our general partner then contributed to us in exchange for the issuance of 10,026 general partner units to our general partner in order for it to maintain its 2% general partner interest in us.</w:t>
      </w:r>
    </w:p>
    <w:p>
      <w:pPr>
        <w:sectPr>
          <w:pgSz w:w="11900" w:h="16838" w:orient="portrait"/>
          <w:cols w:equalWidth="0" w:num="1">
            <w:col w:w="11420"/>
          </w:cols>
          <w:pgMar w:left="240" w:top="134" w:right="239" w:bottom="3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303"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Following these transactions, Capital Maritime owned 2,499,129 common units and 8,805,522 subordinated units, representing a 44.6% limited partner interest in us. In addition, our general partner, which is owned and controlled by Capital Maritime, owned a 2% general partner interest in us and all of the incentive distribution rights.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83"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The Nasdaq Global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Market’s corporate governance rules as though we were a U.S. limited partnership. Accordingly, we do not believe there are any significant differences between our corporate governance practices and those that would typically apply to a U.S. domestic issuer that is a limited partnership under the corporate governance standards of the Nasdaq Global Market. Please see “Item 6C: Board Practices” and “Item 10B: Memorandum and Articles of Association” for more detail regarding our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520" w:type="dxa"/>
            <w:vAlign w:val="bottom"/>
          </w:tcPr>
          <w:p>
            <w:pPr>
              <w:spacing w:after="0"/>
              <w:rPr>
                <w:sz w:val="20"/>
                <w:szCs w:val="20"/>
                <w:color w:val="auto"/>
              </w:rPr>
            </w:pPr>
            <w:r>
              <w:rPr>
                <w:rFonts w:ascii="Arial" w:cs="Arial" w:eastAsia="Arial" w:hAnsi="Arial"/>
                <w:sz w:val="18"/>
                <w:szCs w:val="18"/>
                <w:b w:val="1"/>
                <w:bCs w:val="1"/>
                <w:color w:val="auto"/>
              </w:rPr>
              <w:t>INDEX TO FINANCIAL STATEMENTS</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432"/>
        </w:trPr>
        <w:tc>
          <w:tcPr>
            <w:tcW w:w="1052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900" w:type="dxa"/>
            <w:vAlign w:val="bottom"/>
          </w:tcPr>
          <w:p>
            <w:pPr>
              <w:spacing w:after="0"/>
              <w:rPr>
                <w:sz w:val="24"/>
                <w:szCs w:val="24"/>
                <w:color w:val="auto"/>
              </w:rPr>
            </w:pPr>
          </w:p>
        </w:tc>
      </w:tr>
      <w:tr>
        <w:trPr>
          <w:trHeight w:val="413"/>
        </w:trPr>
        <w:tc>
          <w:tcPr>
            <w:tcW w:w="105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Consolidated and Combined Balance Sheets as of December 31, 2008 and 2007</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F-2</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Consolidated and Combined Statements of Income for the years ended December 31, 2008, 2007 and 2006</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F-3</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w w:val="92"/>
              </w:rPr>
              <w:t>Consolidated and Combined Statement of Changes in Partners’/ Stockholders’ Equity for the years ended December 31, 2008, 2007 and 2006</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F-4</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Consolidated and Combined Statements of Cash Flows for the years ended December 31, 2008, 2007 and 2006</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F-6</w:t>
            </w:r>
          </w:p>
        </w:tc>
      </w:tr>
      <w:tr>
        <w:trPr>
          <w:trHeight w:val="234"/>
        </w:trPr>
        <w:tc>
          <w:tcPr>
            <w:tcW w:w="10520" w:type="dxa"/>
            <w:vAlign w:val="bottom"/>
          </w:tcPr>
          <w:p>
            <w:pPr>
              <w:spacing w:after="0"/>
              <w:rPr>
                <w:sz w:val="20"/>
                <w:szCs w:val="20"/>
                <w:color w:val="auto"/>
              </w:rPr>
            </w:pPr>
            <w:r>
              <w:rPr>
                <w:rFonts w:ascii="Arial" w:cs="Arial" w:eastAsia="Arial" w:hAnsi="Arial"/>
                <w:sz w:val="18"/>
                <w:szCs w:val="18"/>
                <w:color w:val="auto"/>
              </w:rPr>
              <w:t>Notes to the Consolidated and Combined Financial Statements</w:t>
            </w:r>
          </w:p>
        </w:tc>
        <w:tc>
          <w:tcPr>
            <w:tcW w:w="900" w:type="dxa"/>
            <w:vAlign w:val="bottom"/>
          </w:tcPr>
          <w:p>
            <w:pPr>
              <w:ind w:left="640"/>
              <w:spacing w:after="0"/>
              <w:rPr>
                <w:sz w:val="20"/>
                <w:szCs w:val="20"/>
                <w:color w:val="auto"/>
              </w:rPr>
            </w:pPr>
            <w:r>
              <w:rPr>
                <w:rFonts w:ascii="Arial" w:cs="Arial" w:eastAsia="Arial" w:hAnsi="Arial"/>
                <w:sz w:val="18"/>
                <w:szCs w:val="18"/>
                <w:b w:val="1"/>
                <w:bCs w:val="1"/>
                <w:color w:val="auto"/>
                <w:w w:val="88"/>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17"/>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Certificate of Limited Partnership of Capital Product Partners L.P.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First Amended and Restated Agreement of Limited Partnership of Capital Product Partners L.P. (2)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1.3</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Certificate of Formation of Capital GP L.L.C.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1.4</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Limited Liability Company Agreement of Capital GP L.L.C.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1.5</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Certificate of Formation of Capital Product Operating GP L.L.C.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Revolving $370.0 Million Credit Facility dated March 22, 2007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Amendment to Revolving $370.0 million Credit Facility dated September 19, 2007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Supplemental Agreement to Revolving $370.0 Million Credit Facility dated June 11, 2008 (4)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Omnibus Agreement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Management Agreement with Capital Ship Management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Amendment 1 to Management Agreement with Capital Ship Management dated September 24, 2007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Amendment 2 to Management Agreement with Capital Ship Management dated March 27, 2008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Amendment 3 to the Management Agreement with Capital Ship Management dated April 30, 2008 (4)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Administrative Services Agreement with Capital Ship Management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Contribution and Conveyance Agreement for Initial Fleet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Share Purchase Agreement for 2007 and 2008 Vessels (1)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4.12</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Revolving $350.0 Million Credit Facility dated March 19, 2008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4.13</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Share Purchase Agreement for M/T Attikos dated September 24, 2007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4.14</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Share Purchase Agreement for M/T Amore Mio II dated March 27, 2008 (3)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4.15</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Share Purchase Agreement for M/T Aristofanis dated April 30, 2008 (4)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4.16</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Capital Product Partners L.P. 2008 Omnibus Incentive Compensation Plan dated April 29, 2008 (5)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4.17</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Agreement between Capital Product Partners and Capital GP LLC dated January 30, 2009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List of Subsidiaries of Capital Product Partners L.P.</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12.2</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13.1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w w:val="95"/>
              </w:rPr>
              <w:t>Capital Product Partners L.P. Certification of Ioannis E. Lazaridis, Chief Executive Officer and Chief Financial Officer, pursuant to 18</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15.1</w:t>
            </w: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Consent of Deloitte Hadjipavlou, Sofianos &amp; Cambanis S.A.</w:t>
            </w:r>
          </w:p>
        </w:tc>
      </w:tr>
    </w:tbl>
    <w:p>
      <w:pPr>
        <w:spacing w:after="0" w:line="200" w:lineRule="exact"/>
        <w:rPr>
          <w:sz w:val="20"/>
          <w:szCs w:val="20"/>
          <w:color w:val="auto"/>
        </w:rPr>
      </w:pPr>
    </w:p>
    <w:p>
      <w:pPr>
        <w:spacing w:after="0" w:line="325" w:lineRule="exact"/>
        <w:rPr>
          <w:sz w:val="20"/>
          <w:szCs w:val="20"/>
          <w:color w:val="auto"/>
        </w:rPr>
      </w:pPr>
    </w:p>
    <w:p>
      <w:pPr>
        <w:ind w:left="980" w:right="180" w:hanging="648"/>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223"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as Appendix A to the Partnership’s Rule 424(b)(4) Prospectus filed with the SEC on March 30, 2007, and hereby incorporated by reference to this Annual Report.</w:t>
      </w:r>
    </w:p>
    <w:p>
      <w:pPr>
        <w:spacing w:after="0" w:line="223"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spacing w:after="0" w:line="223" w:lineRule="exact"/>
        <w:rPr>
          <w:rFonts w:ascii="Arial" w:cs="Arial" w:eastAsia="Arial" w:hAnsi="Arial"/>
          <w:sz w:val="18"/>
          <w:szCs w:val="18"/>
          <w:color w:val="auto"/>
        </w:rPr>
      </w:pPr>
    </w:p>
    <w:p>
      <w:pPr>
        <w:ind w:left="980" w:hanging="648"/>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278" w:lineRule="exact"/>
        <w:rPr>
          <w:rFonts w:ascii="Arial" w:cs="Arial" w:eastAsia="Arial" w:hAnsi="Arial"/>
          <w:sz w:val="18"/>
          <w:szCs w:val="18"/>
          <w:color w:val="auto"/>
        </w:rPr>
      </w:pPr>
    </w:p>
    <w:p>
      <w:pPr>
        <w:ind w:left="980" w:hanging="648"/>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PRODUCT PARTNERS L.P.,</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Capital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6350</wp:posOffset>
            </wp:positionV>
            <wp:extent cx="3178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Ioannis E. Lazaridis</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  Chief Executive Officer and Chief Financial Officer of</w:t>
      </w:r>
    </w:p>
    <w:p>
      <w:pPr>
        <w:spacing w:after="0" w:line="2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Capital GP L.L.C.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00"/>
          </w:cols>
          <w:pgMar w:left="240" w:top="134" w:right="75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27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have audited the accompanying consolidated and combined balance sheets of Capital Product Partners L.P. (the “Partnership”) as of December 31, 2008 and 2007, and the related consolidated and combined statements of income, changes in partners’/stockholders’ equity, and cash flows for each of the three years in the period ended December 31, 2008. These financial statements are the responsibility of the Partnership’s management. Our responsibility is to express an opinion on these financial statements based on our audits.</w:t>
      </w:r>
    </w:p>
    <w:p>
      <w:pPr>
        <w:spacing w:after="0" w:line="240"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 our opinion, such consolidated and combined financial statements present fairly, in all material respects, the financial position of Capital Product Partners L.P. as of December 31, 2008 and 2007, and the results of its operations and its cash flows for each of the three years in the period ended December 31, 2008, in conformity with accounting principles generally accepted in the United States of America.</w:t>
      </w:r>
    </w:p>
    <w:p>
      <w:pPr>
        <w:spacing w:after="0" w:line="237"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As discussed in Note 1 to the consolidated and combined financial statements, on January 16, 2007, Capital Product Partners L.P. was formed for the purpose of acquiring interests in eight wholly owned subsidiaries of Capital Maritime &amp; Trading Corp. On April 4, 2007 the acquisition was completed and Capital Product Partners L.P. began operating as a separate company. Through April 4, 2007 the accompanying combined financial statements have been prepared from the separate records maintained by Capital Maritime &amp; Trading Corp. and may not necessarily be indicative of the conditions that would have existed or the results of operations if the Partnership had been operated as an unaffiliated entity.</w:t>
      </w:r>
    </w:p>
    <w:p>
      <w:pPr>
        <w:spacing w:after="0" w:line="229"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Also as discussed in Note 1 to the consolidated and combined financial statements, through September 24, 2007, March 27, 2008, and April 30, 2008 the portion of the accompanying combined financial statements attributable to Ross Shipmanagement Co., Baymont Enterprises Incorporated, and Forbes Maritime Co., respectively, have been prepared from the separate records maintained by Capital Maritime &amp; Trading Corp. and may not necessarily be indicative of the conditions that would have existed or the results of operations if Ross Shipmanagement Co., Baymont Enterprise Incorporated, and Forbes Maritime Co. had been operated as unaffiliated entities.</w:t>
      </w:r>
    </w:p>
    <w:p>
      <w:pPr>
        <w:spacing w:after="0" w:line="24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Partnership’s internal control over financial reporting as of December 31, 2008,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26, 2009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Combined Balance Sheets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December 31, 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December 31, 2007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19,919</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Short term investment</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Due from related parties (Note 3)</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51,220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27,511</w:t>
            </w:r>
          </w:p>
        </w:tc>
      </w:tr>
      <w:tr>
        <w:trPr>
          <w:trHeight w:val="216"/>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Fixed assets</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Vessels, net (Note 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525,199</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fixed assets</w:t>
            </w:r>
          </w:p>
        </w:tc>
        <w:tc>
          <w:tcPr>
            <w:tcW w:w="1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641,607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525,199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charges, net</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(Notes 2, 5)</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648,934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529,480</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700,154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556,991</w:t>
            </w:r>
          </w:p>
        </w:tc>
      </w:tr>
      <w:tr>
        <w:trPr>
          <w:trHeight w:val="216"/>
        </w:trPr>
        <w:tc>
          <w:tcPr>
            <w:tcW w:w="79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 Stockholders’ Equity</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portion of related party long-term debt (Note 3)</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5,933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Due to related parties (Note 3)</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(Note 7)</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3,473</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12,273</w:t>
            </w:r>
          </w:p>
        </w:tc>
      </w:tr>
      <w:tr>
        <w:trPr>
          <w:trHeight w:val="216"/>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5)</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281,812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Long-term related party debt (Note 3)</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62,984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Derivative instruments (Notes 2, 6)</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47,414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14,051</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359,537</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527,979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371,810</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 1,000 shares issued and outstanding at December 31, 2007)</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18,060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Partners’ Equity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interest (2% interest)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Limited Partners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 Common (16,011,629 and 13,512,500 units issued and outstanding at December 31, 2008 and 2007,</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102,130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 Subordinated (8,805,522 units issued and outstanding at December 31, 2008 and 2007)</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82,794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66,653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(Notes 2, 6)</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(10,288)</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partners’ / stockholders’ equity</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172,175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185,181</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700,154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556,991</w:t>
            </w: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Combined Statements of Income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earnings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10"/>
          </w:tcPr>
          <w:p>
            <w:pPr>
              <w:jc w:val="right"/>
              <w:ind w:right="740"/>
              <w:spacing w:after="0"/>
              <w:rPr>
                <w:sz w:val="20"/>
                <w:szCs w:val="20"/>
                <w:color w:val="auto"/>
              </w:rPr>
            </w:pPr>
            <w:r>
              <w:rPr>
                <w:rFonts w:ascii="Arial" w:cs="Arial" w:eastAsia="Arial" w:hAnsi="Arial"/>
                <w:sz w:val="18"/>
                <w:szCs w:val="18"/>
                <w:b w:val="1"/>
                <w:bCs w:val="1"/>
                <w:color w:val="auto"/>
              </w:rPr>
              <w:t>For the years ended December 31,</w:t>
            </w:r>
          </w:p>
        </w:tc>
      </w:tr>
      <w:tr>
        <w:trPr>
          <w:trHeight w:val="241"/>
        </w:trPr>
        <w:tc>
          <w:tcPr>
            <w:tcW w:w="5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86,545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24,605</w:t>
            </w:r>
          </w:p>
        </w:tc>
      </w:tr>
      <w:tr>
        <w:trPr>
          <w:trHeight w:val="216"/>
        </w:trPr>
        <w:tc>
          <w:tcPr>
            <w:tcW w:w="56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Voyage expenses (Note 8)</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 related party (Notes 3, 8)</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Vessel operating expenses (Note 8)</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Depreciation and amortization (Note 4)</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15,363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47,177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13,561</w:t>
            </w:r>
          </w:p>
        </w:tc>
      </w:tr>
      <w:tr>
        <w:trPr>
          <w:trHeight w:val="216"/>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Loss on interest rate agreements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(16,218)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(5,167)</w:t>
            </w:r>
          </w:p>
        </w:tc>
      </w:tr>
      <w:tr>
        <w:trPr>
          <w:trHeight w:val="27"/>
        </w:trPr>
        <w:tc>
          <w:tcPr>
            <w:tcW w:w="56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30,959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8,394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 income attributable to CMTC operations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8,394</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50,767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2,473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 interest in Partnership’s net income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per: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Common units (basic and diluted)</w:t>
            </w:r>
          </w:p>
        </w:tc>
        <w:tc>
          <w:tcPr>
            <w:tcW w:w="1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   Subordinated units (basic and diluted)</w:t>
            </w: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Total units (basic and diluted)</w:t>
            </w:r>
          </w:p>
        </w:tc>
        <w:tc>
          <w:tcPr>
            <w:tcW w:w="1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Weighted-average units outstanding:</w:t>
            </w: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Common units (basic and diluted)</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15,379,212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13,512,500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   Subordinated units (basic and diluted)</w:t>
            </w: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8,805,522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8,805,522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Total units (basic and diluted)</w:t>
            </w:r>
          </w:p>
        </w:tc>
        <w:tc>
          <w:tcPr>
            <w:tcW w:w="1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24,184,734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22,318,022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4720"/>
        <w:spacing w:after="0" w:line="260" w:lineRule="auto"/>
        <w:rPr>
          <w:sz w:val="20"/>
          <w:szCs w:val="20"/>
          <w:color w:val="auto"/>
        </w:rPr>
      </w:pPr>
      <w:r>
        <w:rPr>
          <w:rFonts w:ascii="Arial" w:cs="Arial" w:eastAsia="Arial" w:hAnsi="Arial"/>
          <w:sz w:val="18"/>
          <w:szCs w:val="18"/>
          <w:b w:val="1"/>
          <w:bCs w:val="1"/>
          <w:color w:val="auto"/>
        </w:rPr>
        <w:t>Consolidated and Combined Statements of Changes in Partners’ / Stockholders’ Equity (In thousands of United States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4"/>
          </w:tcPr>
          <w:p>
            <w:pPr>
              <w:ind w:left="60"/>
              <w:spacing w:after="0"/>
              <w:rPr>
                <w:sz w:val="20"/>
                <w:szCs w:val="20"/>
                <w:color w:val="auto"/>
              </w:rPr>
            </w:pPr>
            <w:r>
              <w:rPr>
                <w:rFonts w:ascii="Arial" w:cs="Arial" w:eastAsia="Arial" w:hAnsi="Arial"/>
                <w:sz w:val="18"/>
                <w:szCs w:val="18"/>
                <w:b w:val="1"/>
                <w:bCs w:val="1"/>
                <w:color w:val="auto"/>
              </w:rPr>
              <w:t>Partners’ Capital</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42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Comprehensive</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Common</w:t>
            </w: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rPr>
              <w:t>Subordinated</w:t>
            </w: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General Partner</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25,566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25,566</w:t>
            </w:r>
          </w:p>
        </w:tc>
        <w:tc>
          <w:tcPr>
            <w:tcW w:w="0" w:type="dxa"/>
            <w:vAlign w:val="bottom"/>
          </w:tcPr>
          <w:p>
            <w:pPr>
              <w:spacing w:after="0"/>
              <w:rPr>
                <w:sz w:val="1"/>
                <w:szCs w:val="1"/>
                <w:color w:val="auto"/>
              </w:rPr>
            </w:pPr>
          </w:p>
        </w:tc>
      </w:tr>
      <w:tr>
        <w:trPr>
          <w:trHeight w:val="201"/>
        </w:trPr>
        <w:tc>
          <w:tcPr>
            <w:tcW w:w="18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Capital contribution by</w:t>
            </w: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340"/>
              <w:spacing w:after="0"/>
              <w:rPr>
                <w:sz w:val="20"/>
                <w:szCs w:val="20"/>
                <w:color w:val="auto"/>
              </w:rPr>
            </w:pPr>
            <w:r>
              <w:rPr>
                <w:rFonts w:ascii="Arial" w:cs="Arial" w:eastAsia="Arial" w:hAnsi="Arial"/>
                <w:sz w:val="18"/>
                <w:szCs w:val="18"/>
                <w:color w:val="auto"/>
              </w:rPr>
              <w:t>CMTC (Note 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23"/>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w w:val="97"/>
              </w:rPr>
              <w:t>Comprehensive 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8,394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51,907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51,907</w:t>
            </w:r>
          </w:p>
        </w:tc>
        <w:tc>
          <w:tcPr>
            <w:tcW w:w="0" w:type="dxa"/>
            <w:vAlign w:val="bottom"/>
          </w:tcPr>
          <w:p>
            <w:pPr>
              <w:spacing w:after="0"/>
              <w:rPr>
                <w:sz w:val="1"/>
                <w:szCs w:val="1"/>
                <w:color w:val="auto"/>
              </w:rPr>
            </w:pPr>
          </w:p>
        </w:tc>
      </w:tr>
      <w:tr>
        <w:trPr>
          <w:trHeight w:val="201"/>
        </w:trPr>
        <w:tc>
          <w:tcPr>
            <w:tcW w:w="18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Capital contribution by</w:t>
            </w: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CMTC (Note 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31,279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31,279</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attributable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 CMTC</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01"/>
        </w:trPr>
        <w:tc>
          <w:tcPr>
            <w:tcW w:w="1860" w:type="dxa"/>
            <w:vAlign w:val="bottom"/>
          </w:tcPr>
          <w:p>
            <w:pPr>
              <w:spacing w:after="0" w:line="201" w:lineRule="exact"/>
              <w:rPr>
                <w:sz w:val="20"/>
                <w:szCs w:val="20"/>
                <w:color w:val="auto"/>
              </w:rPr>
            </w:pPr>
            <w:r>
              <w:rPr>
                <w:rFonts w:ascii="Arial" w:cs="Arial" w:eastAsia="Arial" w:hAnsi="Arial"/>
                <w:sz w:val="18"/>
                <w:szCs w:val="18"/>
                <w:color w:val="auto"/>
              </w:rPr>
              <w:t>Equity of contributed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companies retained by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CMTC (Note 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 of Initial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Vessels’ retained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earnings as of April 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2007 to CMTC (Note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01"/>
        </w:trPr>
        <w:tc>
          <w:tcPr>
            <w:tcW w:w="1860" w:type="dxa"/>
            <w:vAlign w:val="bottom"/>
          </w:tcPr>
          <w:p>
            <w:pPr>
              <w:spacing w:after="0" w:line="201" w:lineRule="exact"/>
              <w:rPr>
                <w:sz w:val="20"/>
                <w:szCs w:val="20"/>
                <w:color w:val="auto"/>
              </w:rPr>
            </w:pPr>
            <w:r>
              <w:rPr>
                <w:rFonts w:ascii="Arial" w:cs="Arial" w:eastAsia="Arial" w:hAnsi="Arial"/>
                <w:sz w:val="18"/>
                <w:szCs w:val="18"/>
                <w:color w:val="auto"/>
                <w:w w:val="98"/>
              </w:rPr>
              <w:t>Issuance of partnership</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units in exchange for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4"/>
              </w:rPr>
              <w:t>common equity (Notes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and 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(55,073)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162,214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105,863</w:t>
            </w:r>
          </w:p>
        </w:tc>
        <w:tc>
          <w:tcPr>
            <w:tcW w:w="5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5,471</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273,548</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218,475</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Excess of purchase price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over acquired 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(47,954)</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(31,295)</w:t>
            </w:r>
          </w:p>
        </w:tc>
        <w:tc>
          <w:tcPr>
            <w:tcW w:w="5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(80,866)</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(80,866)</w:t>
            </w:r>
          </w:p>
        </w:tc>
        <w:tc>
          <w:tcPr>
            <w:tcW w:w="0" w:type="dxa"/>
            <w:vAlign w:val="bottom"/>
          </w:tcPr>
          <w:p>
            <w:pPr>
              <w:spacing w:after="0"/>
              <w:rPr>
                <w:sz w:val="1"/>
                <w:szCs w:val="1"/>
                <w:color w:val="auto"/>
              </w:rPr>
            </w:pPr>
          </w:p>
        </w:tc>
      </w:tr>
      <w:tr>
        <w:trPr>
          <w:trHeight w:val="201"/>
        </w:trPr>
        <w:tc>
          <w:tcPr>
            <w:tcW w:w="1860" w:type="dxa"/>
            <w:vAlign w:val="bottom"/>
          </w:tcPr>
          <w:p>
            <w:pPr>
              <w:spacing w:after="0" w:line="201" w:lineRule="exact"/>
              <w:rPr>
                <w:sz w:val="20"/>
                <w:szCs w:val="20"/>
                <w:color w:val="auto"/>
              </w:rPr>
            </w:pPr>
            <w:r>
              <w:rPr>
                <w:rFonts w:ascii="Arial" w:cs="Arial" w:eastAsia="Arial" w:hAnsi="Arial"/>
                <w:sz w:val="18"/>
                <w:szCs w:val="18"/>
                <w:color w:val="auto"/>
                <w:w w:val="98"/>
              </w:rPr>
              <w:t>Dividend paid to CMTC</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(Note 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(14,825)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(9,675)</w:t>
            </w:r>
          </w:p>
        </w:tc>
        <w:tc>
          <w:tcPr>
            <w:tcW w:w="5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Dividends declared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paid to unitholders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(Note 11)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(10,096)</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(6,589)</w:t>
            </w:r>
          </w:p>
        </w:tc>
        <w:tc>
          <w:tcPr>
            <w:tcW w:w="5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(17,026)</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w w:val="99"/>
              </w:rPr>
              <w:t>Partnership net income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21,571</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12,791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8,349</w:t>
            </w:r>
          </w:p>
        </w:tc>
        <w:tc>
          <w:tcPr>
            <w:tcW w:w="5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21,571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741"/>
        </w:trPr>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F-4</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4720"/>
        <w:spacing w:after="0" w:line="260" w:lineRule="auto"/>
        <w:rPr>
          <w:sz w:val="20"/>
          <w:szCs w:val="20"/>
          <w:color w:val="auto"/>
        </w:rPr>
      </w:pPr>
      <w:r>
        <w:rPr>
          <w:rFonts w:ascii="Arial" w:cs="Arial" w:eastAsia="Arial" w:hAnsi="Arial"/>
          <w:sz w:val="18"/>
          <w:szCs w:val="18"/>
          <w:b w:val="1"/>
          <w:bCs w:val="1"/>
          <w:color w:val="auto"/>
        </w:rPr>
        <w:t>Consolidated and Combined Statements of Changes in Partners’ / Stockholders’ Equity (In thousands of United States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96"/>
              </w:rPr>
              <w:t>Partners’ Capital</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Comprehensive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Stockholders’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Common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Subordinated</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General Partner</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00" w:type="dxa"/>
            <w:vAlign w:val="bottom"/>
          </w:tcPr>
          <w:p>
            <w:pPr>
              <w:ind w:left="160"/>
              <w:spacing w:after="0"/>
              <w:rPr>
                <w:sz w:val="20"/>
                <w:szCs w:val="20"/>
                <w:color w:val="auto"/>
              </w:rPr>
            </w:pPr>
            <w:r>
              <w:rPr>
                <w:rFonts w:ascii="Arial" w:cs="Arial" w:eastAsia="Arial" w:hAnsi="Arial"/>
                <w:sz w:val="18"/>
                <w:szCs w:val="18"/>
                <w:color w:val="auto"/>
              </w:rPr>
              <w:t>·   Unrealized loss on</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340"/>
              <w:spacing w:after="0"/>
              <w:rPr>
                <w:sz w:val="20"/>
                <w:szCs w:val="20"/>
                <w:color w:val="auto"/>
              </w:rPr>
            </w:pPr>
            <w:r>
              <w:rPr>
                <w:rFonts w:ascii="Arial" w:cs="Arial" w:eastAsia="Arial" w:hAnsi="Arial"/>
                <w:sz w:val="18"/>
                <w:szCs w:val="18"/>
                <w:color w:val="auto"/>
              </w:rPr>
              <w:t>derivative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(10,288)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(10,288)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Comprehensive income</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20,671</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900" w:type="dxa"/>
            <w:vAlign w:val="bottom"/>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Pr>
          <w:p>
            <w:pPr>
              <w:ind w:left="340"/>
              <w:spacing w:after="0"/>
              <w:rPr>
                <w:sz w:val="20"/>
                <w:szCs w:val="20"/>
                <w:color w:val="auto"/>
              </w:rPr>
            </w:pPr>
            <w:r>
              <w:rPr>
                <w:rFonts w:ascii="Arial" w:cs="Arial" w:eastAsia="Arial" w:hAnsi="Arial"/>
                <w:sz w:val="18"/>
                <w:szCs w:val="18"/>
                <w:b w:val="1"/>
                <w:bCs w:val="1"/>
                <w:color w:val="auto"/>
              </w:rPr>
              <w:t>31, 2007</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23,242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102,130</w:t>
            </w:r>
          </w:p>
        </w:tc>
        <w:tc>
          <w:tcPr>
            <w:tcW w:w="1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66,653</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3,444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172,227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185,181</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Dividends declared and</w:t>
            </w: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paid to unitholders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(Note 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(39,890)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(39,890)</w:t>
            </w:r>
          </w:p>
        </w:tc>
        <w:tc>
          <w:tcPr>
            <w:tcW w:w="0" w:type="dxa"/>
            <w:vAlign w:val="bottom"/>
          </w:tcPr>
          <w:p>
            <w:pPr>
              <w:spacing w:after="0"/>
              <w:rPr>
                <w:sz w:val="1"/>
                <w:szCs w:val="1"/>
                <w:color w:val="auto"/>
              </w:rPr>
            </w:pPr>
          </w:p>
        </w:tc>
      </w:tr>
      <w:tr>
        <w:trPr>
          <w:trHeight w:val="201"/>
        </w:trPr>
        <w:tc>
          <w:tcPr>
            <w:tcW w:w="1900" w:type="dxa"/>
            <w:vAlign w:val="bottom"/>
          </w:tcPr>
          <w:p>
            <w:pPr>
              <w:spacing w:after="0" w:line="201" w:lineRule="exact"/>
              <w:rPr>
                <w:sz w:val="20"/>
                <w:szCs w:val="20"/>
                <w:color w:val="auto"/>
              </w:rPr>
            </w:pPr>
            <w:r>
              <w:rPr>
                <w:rFonts w:ascii="Arial" w:cs="Arial" w:eastAsia="Arial" w:hAnsi="Arial"/>
                <w:sz w:val="18"/>
                <w:szCs w:val="18"/>
                <w:color w:val="auto"/>
              </w:rPr>
              <w:t>Net loss attributable to</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CMTC</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of contributed</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companies retained by</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CMTC (Note 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(21,738)</w:t>
            </w:r>
          </w:p>
        </w:tc>
        <w:tc>
          <w:tcPr>
            <w:tcW w:w="0" w:type="dxa"/>
            <w:vAlign w:val="bottom"/>
          </w:tcPr>
          <w:p>
            <w:pPr>
              <w:spacing w:after="0"/>
              <w:rPr>
                <w:sz w:val="1"/>
                <w:szCs w:val="1"/>
                <w:color w:val="auto"/>
              </w:rPr>
            </w:pPr>
          </w:p>
        </w:tc>
      </w:tr>
      <w:tr>
        <w:trPr>
          <w:trHeight w:val="201"/>
        </w:trPr>
        <w:tc>
          <w:tcPr>
            <w:tcW w:w="19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units for vessels’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w w:val="97"/>
              </w:rPr>
              <w:t>acquisitions (Notes 1, 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28,686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18,163</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956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47,805</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Excess of purchase price</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over acquired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Partnership net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50,767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30,711</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17,583</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2,473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50,767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50,767</w:t>
            </w: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right="9660" w:hanging="170"/>
        <w:spacing w:after="0" w:line="258" w:lineRule="auto"/>
        <w:tabs>
          <w:tab w:leader="none" w:pos="4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Unrealized loss on derivative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(33,363)</w:t>
            </w:r>
          </w:p>
        </w:tc>
        <w:tc>
          <w:tcPr>
            <w:tcW w:w="5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(33,363)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(33,363)</w:t>
            </w:r>
          </w:p>
        </w:tc>
      </w:tr>
      <w:tr>
        <w:trPr>
          <w:trHeight w:val="223"/>
        </w:trPr>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Comprehensive income</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1900" w:type="dxa"/>
            <w:vAlign w:val="bottom"/>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00" w:type="dxa"/>
            <w:vAlign w:val="bottom"/>
          </w:tcPr>
          <w:p>
            <w:pPr>
              <w:ind w:left="340"/>
              <w:spacing w:after="0"/>
              <w:rPr>
                <w:sz w:val="20"/>
                <w:szCs w:val="20"/>
                <w:color w:val="auto"/>
              </w:rPr>
            </w:pPr>
            <w:r>
              <w:rPr>
                <w:rFonts w:ascii="Arial" w:cs="Arial" w:eastAsia="Arial" w:hAnsi="Arial"/>
                <w:sz w:val="18"/>
                <w:szCs w:val="18"/>
                <w:b w:val="1"/>
                <w:bCs w:val="1"/>
                <w:color w:val="auto"/>
              </w:rPr>
              <w:t>31, 2008</w:t>
            </w:r>
          </w:p>
        </w:tc>
        <w:tc>
          <w:tcPr>
            <w:tcW w:w="1200" w:type="dxa"/>
            <w:vAlign w:val="bottom"/>
          </w:tcPr>
          <w:p>
            <w:pPr>
              <w:spacing w:after="0"/>
              <w:rPr>
                <w:sz w:val="20"/>
                <w:szCs w:val="20"/>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3"/>
              </w:rPr>
              <w:t>$  127,259</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82,794</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5,773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  215,826</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(43,651)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172,175</w:t>
            </w:r>
          </w:p>
        </w:tc>
      </w:tr>
      <w:tr>
        <w:trPr>
          <w:trHeight w:val="27"/>
        </w:trPr>
        <w:tc>
          <w:tcPr>
            <w:tcW w:w="19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Combined Statements of Cash Flows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gridSpan w:val="10"/>
          </w:tcPr>
          <w:p>
            <w:pPr>
              <w:jc w:val="right"/>
              <w:ind w:right="720"/>
              <w:spacing w:after="0"/>
              <w:rPr>
                <w:sz w:val="20"/>
                <w:szCs w:val="20"/>
                <w:color w:val="auto"/>
              </w:rPr>
            </w:pPr>
            <w:r>
              <w:rPr>
                <w:rFonts w:ascii="Arial" w:cs="Arial" w:eastAsia="Arial" w:hAnsi="Arial"/>
                <w:sz w:val="18"/>
                <w:szCs w:val="18"/>
                <w:b w:val="1"/>
                <w:bCs w:val="1"/>
                <w:color w:val="auto"/>
              </w:rPr>
              <w:t>For the years ended December 31,</w:t>
            </w:r>
          </w:p>
        </w:tc>
      </w:tr>
      <w:tr>
        <w:trPr>
          <w:trHeight w:val="234"/>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49,263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8,394</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charges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Loss on interest rate swap agreement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(5,819)</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Dry docking expenses paid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10,265</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Vessel acquisitions (Note 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(331,797)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(142,795)</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Vessel advances – new buildings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Increase of restricted cash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 term investment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(203,269)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(335,047)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(162,047)</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199,500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77,426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related party debt/financing</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(22,161)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of related party debt/financing</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(2,254)</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Loan issuance costs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expenses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7180" w:type="dxa"/>
            <w:vAlign w:val="bottom"/>
          </w:tcPr>
          <w:p>
            <w:pPr>
              <w:spacing w:after="0" w:line="201" w:lineRule="exact"/>
              <w:rPr>
                <w:sz w:val="20"/>
                <w:szCs w:val="20"/>
                <w:color w:val="auto"/>
              </w:rPr>
            </w:pPr>
            <w:r>
              <w:rPr>
                <w:rFonts w:ascii="Arial" w:cs="Arial" w:eastAsia="Arial" w:hAnsi="Arial"/>
                <w:sz w:val="18"/>
                <w:szCs w:val="18"/>
                <w:color w:val="auto"/>
                <w:w w:val="93"/>
              </w:rPr>
              <w:t>Excess of purchase price over book value of vessels acquired from entity under common control</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(Note 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(80,866)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Cash balance that was distributed to the previous owner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by CMTC</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17,947</w:t>
            </w:r>
          </w:p>
        </w:tc>
      </w:tr>
      <w:tr>
        <w:trPr>
          <w:trHeight w:val="27"/>
        </w:trPr>
        <w:tc>
          <w:tcPr>
            <w:tcW w:w="7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153,713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300,713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153,014</w:t>
            </w:r>
          </w:p>
        </w:tc>
      </w:tr>
      <w:tr>
        <w:trPr>
          <w:trHeight w:val="216"/>
        </w:trPr>
        <w:tc>
          <w:tcPr>
            <w:tcW w:w="7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7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43,149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1,239</w:t>
            </w:r>
          </w:p>
        </w:tc>
      </w:tr>
      <w:tr>
        <w:trPr>
          <w:trHeight w:val="216"/>
        </w:trPr>
        <w:tc>
          <w:tcPr>
            <w:tcW w:w="7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18,163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w:t>
            </w:r>
          </w:p>
        </w:tc>
      </w:tr>
      <w:tr>
        <w:trPr>
          <w:trHeight w:val="216"/>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liabilities assumed by CMTC upon vessel contribution to the Partnership (Note 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213,743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74,239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Units issued to acquire vessel owning company of M/T Amore Mio II.</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Units issued to acquire vessel owning company of M/T Aristofanis.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 in payable offering expenses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w:t>
      </w:r>
    </w:p>
    <w:p>
      <w:pPr>
        <w:spacing w:after="0" w:line="200" w:lineRule="exact"/>
        <w:rPr>
          <w:sz w:val="20"/>
          <w:szCs w:val="20"/>
          <w:color w:val="auto"/>
        </w:rPr>
      </w:pPr>
    </w:p>
    <w:p>
      <w:pPr>
        <w:spacing w:after="0" w:line="35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CAPITAL PRODUCT PARTNERS L.P. (the “Partnership” or “CPP”) was formed on January 16, 2007 under the laws of the Marshall Islands for the purpose of acquiring interests in eight wholly owned subsidiaries of Capital Maritime &amp; Trading Corp. (“CMTC”), each of which owned, a double-hull medium-range product tanker (the “Initial Vessels”).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Partnership is engaged in the seaborne transportation services of crude oil and refined petroleum products, edible oils and soft chemicals, by chartering its vessels under medium to long-term time and bareboat charters.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3, 2007, the Initial Public Offering (the “IPO” or the “Offering”) of CPP on the NASDAQ Global Market was completed successfully. In connection with the Offering the Partnership entered into several new agreements including:</w:t>
      </w:r>
    </w:p>
    <w:p>
      <w:pPr>
        <w:spacing w:after="0" w:line="224" w:lineRule="exact"/>
        <w:rPr>
          <w:sz w:val="20"/>
          <w:szCs w:val="20"/>
          <w:color w:val="auto"/>
        </w:rPr>
      </w:pPr>
    </w:p>
    <w:p>
      <w:pPr>
        <w:jc w:val="both"/>
        <w:ind w:left="200" w:hanging="192"/>
        <w:spacing w:after="0" w:line="255" w:lineRule="auto"/>
        <w:tabs>
          <w:tab w:leader="none" w:pos="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contribution agreement with CMTC, pursuant to which the Partnership purchased all of the outstanding capital stock of the vessel owning companies of the Initial Vessels having net book value of $273,548 as of April 3, 2007 (CMTC retained all assets of those subsidiaries other than the vessels, and paid off all debt of those subsidiaries), in exchange for:</w:t>
      </w:r>
    </w:p>
    <w:p>
      <w:pPr>
        <w:spacing w:after="0" w:line="2" w:lineRule="exact"/>
        <w:rPr>
          <w:rFonts w:ascii="Arial" w:cs="Arial" w:eastAsia="Arial" w:hAnsi="Arial"/>
          <w:sz w:val="18"/>
          <w:szCs w:val="18"/>
          <w:color w:val="auto"/>
        </w:rPr>
      </w:pPr>
    </w:p>
    <w:p>
      <w:pPr>
        <w:ind w:left="980" w:hanging="215"/>
        <w:spacing w:after="0"/>
        <w:tabs>
          <w:tab w:leader="none" w:pos="9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the issuance to CMTC of 11,750,000 common units and 8,805,522 subordinated units,</w:t>
      </w:r>
    </w:p>
    <w:p>
      <w:pPr>
        <w:spacing w:after="0" w:line="8" w:lineRule="exact"/>
        <w:rPr>
          <w:rFonts w:ascii="Arial" w:cs="Arial" w:eastAsia="Arial" w:hAnsi="Arial"/>
          <w:sz w:val="18"/>
          <w:szCs w:val="18"/>
          <w:color w:val="auto"/>
        </w:rPr>
      </w:pPr>
    </w:p>
    <w:p>
      <w:pPr>
        <w:ind w:left="980" w:hanging="226"/>
        <w:spacing w:after="0"/>
        <w:tabs>
          <w:tab w:leader="none" w:pos="9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the payment to CMTC of a cash dividend in the amount of $25,000,</w:t>
      </w:r>
    </w:p>
    <w:p>
      <w:pPr>
        <w:spacing w:after="0" w:line="8" w:lineRule="exact"/>
        <w:rPr>
          <w:rFonts w:ascii="Arial" w:cs="Arial" w:eastAsia="Arial" w:hAnsi="Arial"/>
          <w:sz w:val="18"/>
          <w:szCs w:val="18"/>
          <w:color w:val="auto"/>
        </w:rPr>
      </w:pPr>
    </w:p>
    <w:p>
      <w:pPr>
        <w:ind w:left="980" w:hanging="215"/>
        <w:spacing w:after="0" w:line="250" w:lineRule="auto"/>
        <w:tabs>
          <w:tab w:leader="none" w:pos="9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the issuance to CMTC of the right to receive an additional dividend of $30,000 in cash or a number of common units necessary to satisfy the underwriters’ overallotment option or a combination thereof, and</w:t>
      </w:r>
    </w:p>
    <w:p>
      <w:pPr>
        <w:jc w:val="both"/>
        <w:ind w:left="980" w:hanging="226"/>
        <w:spacing w:after="0" w:line="255" w:lineRule="auto"/>
        <w:tabs>
          <w:tab w:leader="none" w:pos="9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the issuance to the Partnership's general partner, Capital GP L.L.C. (“CGP”), a wholly owned subsidiary of CMTC, 419,500 general partner units representing a 2% general partner interest in the Partnership and all of incentive distribution rights which will entitle CGP to increasing percentages of the cash that the Partnership will distribute in excess of $0.4313 per unit per quarter.</w:t>
      </w:r>
    </w:p>
    <w:p>
      <w:pPr>
        <w:spacing w:after="0" w:line="243"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omnibus agreement with CMTC, CGP and others governing, among other things, the circumstances under which the Partnership and CMTC can compete with each other and certain rights of first offer on medium range product tankers;</w:t>
      </w:r>
    </w:p>
    <w:p>
      <w:pPr>
        <w:spacing w:after="0" w:line="250" w:lineRule="exact"/>
        <w:rPr>
          <w:rFonts w:ascii="Arial" w:cs="Arial" w:eastAsia="Arial" w:hAnsi="Arial"/>
          <w:sz w:val="18"/>
          <w:szCs w:val="18"/>
          <w:color w:val="auto"/>
        </w:rPr>
      </w:pPr>
    </w:p>
    <w:p>
      <w:pPr>
        <w:ind w:left="220" w:right="20" w:hanging="172"/>
        <w:spacing w:after="0" w:line="277" w:lineRule="auto"/>
        <w:tabs>
          <w:tab w:leader="none" w:pos="2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management agreement with Capital Shipmanagement Corp. (the “Manager” or “CSM”), a wholly owned subsidiary of CMTC, pursuant to which the Manager agreed to provide commercial and technical management services to the Partnership;</w:t>
      </w:r>
    </w:p>
    <w:p>
      <w:pPr>
        <w:spacing w:after="0" w:line="223" w:lineRule="exact"/>
        <w:rPr>
          <w:rFonts w:ascii="Arial" w:cs="Arial" w:eastAsia="Arial" w:hAnsi="Arial"/>
          <w:sz w:val="18"/>
          <w:szCs w:val="18"/>
          <w:color w:val="auto"/>
        </w:rPr>
      </w:pPr>
    </w:p>
    <w:p>
      <w:pPr>
        <w:ind w:left="220" w:hanging="172"/>
        <w:spacing w:after="0" w:line="277" w:lineRule="auto"/>
        <w:tabs>
          <w:tab w:leader="none" w:pos="2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pursuant to which the Manager agreed to provide administrative management services to the Partnership; and</w:t>
      </w:r>
    </w:p>
    <w:p>
      <w:pPr>
        <w:spacing w:after="0" w:line="223" w:lineRule="exact"/>
        <w:rPr>
          <w:rFonts w:ascii="Arial" w:cs="Arial" w:eastAsia="Arial" w:hAnsi="Arial"/>
          <w:sz w:val="18"/>
          <w:szCs w:val="18"/>
          <w:color w:val="auto"/>
        </w:rPr>
      </w:pPr>
    </w:p>
    <w:p>
      <w:pPr>
        <w:jc w:val="both"/>
        <w:ind w:left="220" w:hanging="172"/>
        <w:spacing w:after="0" w:line="263" w:lineRule="auto"/>
        <w:tabs>
          <w:tab w:leader="none" w:pos="2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share purchase agreement with CMTC to purchase for a total consideration of $368,000 its interests in seven wholly owned subsidiaries each of which owns a newly built, double-hull medium-range product tanker (the “Committed Vessels”). These vessels were acquired by the Partnership between May 2007 and August 2008.</w:t>
      </w:r>
    </w:p>
    <w:p>
      <w:pPr>
        <w:spacing w:after="0" w:line="236" w:lineRule="exact"/>
        <w:rPr>
          <w:rFonts w:ascii="Arial" w:cs="Arial" w:eastAsia="Arial" w:hAnsi="Arial"/>
          <w:sz w:val="18"/>
          <w:szCs w:val="18"/>
          <w:color w:val="auto"/>
        </w:rPr>
      </w:pPr>
    </w:p>
    <w:p>
      <w:pPr>
        <w:ind w:left="240" w:hanging="219"/>
        <w:spacing w:after="0" w:line="277" w:lineRule="auto"/>
        <w:tabs>
          <w:tab w:leader="none" w:pos="2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Revolving credit facility of up to $370,000 and swapped the interest portion for $366,500 in order to reduce the exposure of interest rates fluctuations (Notes 2, 6).</w:t>
      </w:r>
    </w:p>
    <w:p>
      <w:pPr>
        <w:spacing w:after="0" w:line="22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April 3, 2007, CMTC sold the 11,750,000 common units to the public through the underwriters receiving $236,330. On the same date, the Partnership issued an additional 1,762,500 common units to CMTC in order to fully satisfy the underwriters’ overallotment option. CMTC received an additional amount of $34,143 from the sale of these units. Following the exercise of the over-allotment option, the Partnership issued an additional 35,970 general partner units to CGP in order to maintain its 2% interest in the Partnership. The total proceeds of the Offering were used by CMTC to repay $213,843 of existing debt of the Initial Vessels and the Offering expenses. In connection with the completion of the Offering the Partnership also borrowed $30,000 under the revolving credit facility, $5,000 of which was used for working capital purposes and $25,000 of which was used to pay a cash dividend to CMTC. Following the completion of the Offering, CMTC owned 8,805,522 subordinated units representing a 40.7% interest in the Partnership, including a 2% interest through its ownership of CGP.</w:t>
      </w:r>
    </w:p>
    <w:p>
      <w:pPr>
        <w:spacing w:after="0" w:line="24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On September 24, 2007, the Partnership remitted to CMTC the amount of $23,000 in exchange for the acquisition of the shares of the vessel owning company of the M/T Attikos, a 12,000 DWT, 2005-built double hull product tanker. M/T Attikos was neither an Initial nor a Committed Vessel.</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 – Continued</w:t>
      </w:r>
    </w:p>
    <w:p>
      <w:pPr>
        <w:spacing w:after="0" w:line="28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March 19, 2008, the Partnership entered into a new loan agreement with a syndicate of financial institutions including HSH Nordbank AG (the “Agent”), for a non amortizing credit facility of up to $350,000 for the partial financing of the acquisition cost of the shares of the vessel owning companies of the M/T Amore Mio II, the M/T Aristofanis, and any further modern tanker (Note 5). As of December 31, 2008, the Partnership had drawn down $107,500 and swapped the interest portion for the same amount in order to reduce its exposure to interest rate fluctuations (Notes 2, 6).</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2008, the Partnership entered into a share purchase agreement with CMTC for the acquisition of the shares of the vessel owning company of the M/T Amore Mio II, a 159,982 dwt, 2001 built, double hull tanker from CMTC and took delivery of the vessel on the same date. The total purchase price for the shares of the vessel owning company of the M/T Amore Mio II was $85,739. The acquisition of the shares of the vessel owning company was funded by $2,000 from available cash, $46,000 through a draw down from the new revolving $350,000 credit facility, and the remaining amount through the issuance of 2,048,823 common units to CMTC at a price of $18.42 per unit as quoted on the Nasdaq Stock Exchange on March 26, 2008, the day prior to the acquisition. M/T Amore Mio II was neither an Initial nor a Committed Vessel.</w:t>
      </w: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2008, CMTC made a capital contribution of 40,976 common units to the Partnership in exchange for the issuance of the same number of general partner units to CGP in order for it to maintain its 2% general partner interest in the Partnership.</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30, 2008, the Partnership entered into a share purchase agreement with CMTC for the acquisition of the shares of the vessel owning company of the M/T Aristofanis, a 12,000 dwt, 2005 built, double hull tanker from CMTC and took delivery of the vessel on the same date. The total purchase price for the shares of the vessel owning company of the M/T Aristofanis was $21,566. The acquisition of the shares of the vessel owning company was funded by $11,500 through a draw down from the new revolving $350,000 credit facility, and the remaining amount through the issuance of 501,308 common units to CMTC at a price of $20.08 per unit as quoted on the Nasdaq Stock Exchange on April 29, 2008, the day prior to the acquisition. M/T Aristofanis was neither an Initial nor a Committed Vessel.</w:t>
      </w: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30, 2008, CMTC made a capital contribution of 10,026 common units to the Partnership in exchange for the issuance of the same number of general partner units to CGP in order for it to maintain its 2% general partner interest in the Partnership.</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the issuance of the additional common units relating to the acquisition of the M/T Amore Mio II and the M/T Aristofanis and the capital contribution from CMTC to the Partnership in order for CGP to maintain its 2% general partner interest in the Partnership, third parties owned 13,512,500 common units, CMTC owned 2,499,129 common units and 8,805,522 subordinated units together representing a 44.6% limited partner interest in the Partnership. In addition, CGP owned a 2% general partner interest in the Partnership and all of the incentive distribution rights.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guidance provided by the provision of EITF No. 87-21 “Change of Accounting Basis in Master Limited Partnerships” the Initial Vessels were transferred to the Partnership at historical cost at the date of transfer and were accounted for as a combination of entities under common control. All assets, liabilities and equity other than the relevant vessel, related charter agreement and related permits of these vessels’ ship-owning companies were retained by CMTC.</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required by the provision of Statement of Financial Accounting Standards No. 141, “Business Combinations” (“SFAS No. 141”), the Partnership accounted for the acquisition of the vessel owning company of the M/T Attikos, the M/T Amore Mio II and the M/T Aristofanis (together, the “Non Contracted Vessels”) as a transfer of equity interest between entities under common control. For a combination between entities under common control, the purchase cost provisions (as they relate to purchase business combinations involving unrelated entities) of SFAS No. 141 explicitly do not apply; instead the method of accounting prescribed by SFAS No. 141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(that is, no recognition is made for a purchase premium or discount representing any difference between the cash consideration paid and the book value of the net assets acquired).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acquisition of the vessel owning companies of the Non Contracted Vessels from CMTC, the Partnership recognized the vessels acquired at their carrying amounts (historical cost) in the accounts of CMTC (the transferring entity) at the date of transfer. In addition, transfers of equity interest between entities under common control are accounted for as if the transfer occurred at the beginning of the period, and prior years are retroactively adjusted to furnish comparative information similar to the pooling method. The amount of the purchase price in excess of CMTC’s basis in the net assets is recognized as a reduction to partners’ equity.</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General Information – Continued</w:t>
      </w:r>
    </w:p>
    <w:p>
      <w:pPr>
        <w:spacing w:after="0" w:line="28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The Committed Vessels were delivered to CMTC from the shipyards (unrelated parties) and on the same date the Partnership acquired the shares of the vessel owning companies. These vessel owning companies did not have an operating history, as such, there is no information to retroactively restate that should be considered. Accordingly the Committed Vessels (M/T Atrotos, M/T Akeraios, M/T Apostolos, M/T Anemos I, M/T Alexandros II, M/T Aristotelis II, and M/T Aris II) were transferred to the Partnership at historical cost of CMTC at the date of transfer. All assets, other than the vessels, liabilities and equity that the vessel owning companies of the Committed Vessels had at the time of the transfer were retained by CMTC.</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Combined information presented in these financial statements reflect the historical carrying costs, operations and cash flows of the contributed companies, as each vessel owning company was under the common control of CMTC. These financial statements are collectively referred to as “combined” financial statements. Financial statements presented reflecting the Partnerships’ balance sheets, results of operations and cash flows are referred to as “consolidated” financial statements.</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and combined financial statements include the following vessel owning companies and management company which were all incorporated under the laws of the Marshall Islands.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Vessel</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Date acquired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Date of</w:t>
            </w:r>
          </w:p>
        </w:tc>
        <w:tc>
          <w:tcPr>
            <w:tcW w:w="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by the</w:t>
            </w:r>
          </w:p>
        </w:tc>
        <w:tc>
          <w:tcPr>
            <w:tcW w:w="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Date acquired</w:t>
            </w:r>
          </w:p>
        </w:tc>
      </w:tr>
      <w:tr>
        <w:trPr>
          <w:trHeight w:val="234"/>
        </w:trPr>
        <w:tc>
          <w:tcPr>
            <w:tcW w:w="39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Subsidiary</w:t>
            </w:r>
          </w:p>
        </w:tc>
        <w:tc>
          <w:tcPr>
            <w:tcW w:w="20" w:type="dxa"/>
            <w:vAlign w:val="bottom"/>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Incorporation</w:t>
            </w:r>
          </w:p>
        </w:tc>
        <w:tc>
          <w:tcPr>
            <w:tcW w:w="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Subsidiary</w:t>
            </w:r>
          </w:p>
        </w:tc>
        <w:tc>
          <w:tcPr>
            <w:tcW w:w="40" w:type="dxa"/>
            <w:vAlign w:val="bottom"/>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DWT</w:t>
            </w:r>
          </w:p>
        </w:tc>
        <w:tc>
          <w:tcPr>
            <w:tcW w:w="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Partnership</w:t>
            </w:r>
          </w:p>
        </w:tc>
        <w:tc>
          <w:tcPr>
            <w:tcW w:w="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by CMTC</w:t>
            </w:r>
          </w:p>
        </w:tc>
      </w:tr>
      <w:tr>
        <w:trPr>
          <w:trHeight w:val="263"/>
        </w:trPr>
        <w:tc>
          <w:tcPr>
            <w:tcW w:w="3920" w:type="dxa"/>
            <w:vAlign w:val="bottom"/>
          </w:tcPr>
          <w:p>
            <w:pPr>
              <w:spacing w:after="0"/>
              <w:rPr>
                <w:sz w:val="20"/>
                <w:szCs w:val="20"/>
                <w:color w:val="auto"/>
              </w:rPr>
            </w:pPr>
            <w:r>
              <w:rPr>
                <w:rFonts w:ascii="Arial" w:cs="Arial" w:eastAsia="Arial" w:hAnsi="Arial"/>
                <w:sz w:val="18"/>
                <w:szCs w:val="18"/>
                <w:color w:val="auto"/>
              </w:rPr>
              <w:t>Capital Product Operating GP LLC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01/16/2007</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Shipping Rider Co.</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09/16/2003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Atlantas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36,760</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04/26/2006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Canvey Shipmanagement Co.</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03/18/2004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Assos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47,872</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05/17/2006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Centurion Navigation Limited</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08/27/2003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Aktoras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36,759</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07/12/2006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Polarwind Maritime S.A.</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10/10/2003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Agisilaos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36,760</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08/16/2006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11/10/2003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Arionas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36,725</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11/02/2006</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Apollonas Shipping Company</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02/10/2004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Avax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47,834</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01/12/2007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Tempest Maritime Inc.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09/12/2003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Aiolos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36,725</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03/02/2007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Iraklitos Shipping Company</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02/10/2004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Axios (1)</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47,872</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04/04/2007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02/28/2007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Epicurus Shipping Company</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02/11/2004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Atrotos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47,786</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05/08/2007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05/08/2007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Laredo Maritime Inc.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02/03/2004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Akeraios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47,781</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07/13/2007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07/13/2007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05/26/2004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Apostolos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47,782</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09/20/2007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09/20/2007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Splendor Shipholding S.A.</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07/08/2004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Anemos I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47,782</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09/28/2007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09/28/2007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12/29/2003</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Attikos (3)</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12,000</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09/24/2007</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01/20/2005</w:t>
            </w:r>
          </w:p>
        </w:tc>
      </w:tr>
      <w:tr>
        <w:trPr>
          <w:trHeight w:val="228"/>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Alexandros II (M/T</w:t>
            </w: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Sorrel Shipmanagement Inc.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02/07/2006</w:t>
            </w:r>
          </w:p>
        </w:tc>
        <w:tc>
          <w:tcPr>
            <w:tcW w:w="4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Overseas Serifos)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51,258</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01/29/2008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01/29/2008</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05/29/2007</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Amore Mio II (3)</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159,982</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03/27/2008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07/31/2007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Forbes Maritime Co.</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02/03/2004</w:t>
            </w:r>
          </w:p>
        </w:tc>
        <w:tc>
          <w:tcPr>
            <w:tcW w:w="40" w:type="dxa"/>
            <w:vAlign w:val="bottom"/>
          </w:tcPr>
          <w:p>
            <w:pPr>
              <w:spacing w:after="0"/>
              <w:rPr>
                <w:sz w:val="21"/>
                <w:szCs w:val="21"/>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Aristofanis (3)</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12,000</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04/30/2008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06/02/2005</w:t>
            </w:r>
          </w:p>
        </w:tc>
      </w:tr>
      <w:tr>
        <w:trPr>
          <w:trHeight w:val="228"/>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M/T Aristotelis II (M/T</w:t>
            </w: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Wind Dancer Shipping Inc.</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02/07/2006</w:t>
            </w:r>
          </w:p>
        </w:tc>
        <w:tc>
          <w:tcPr>
            <w:tcW w:w="4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Overseas Sifnos)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51,226</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06/17/2008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06/17/2008</w:t>
            </w:r>
          </w:p>
        </w:tc>
      </w:tr>
      <w:tr>
        <w:trPr>
          <w:trHeight w:val="228"/>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9"/>
              </w:rPr>
              <w:t>M/T Aris II (M/T Overseas</w:t>
            </w: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Belerion Maritime Co.</w:t>
            </w:r>
          </w:p>
        </w:tc>
        <w:tc>
          <w:tcPr>
            <w:tcW w:w="1480" w:type="dxa"/>
            <w:vAlign w:val="bottom"/>
            <w:gridSpan w:val="2"/>
          </w:tcPr>
          <w:p>
            <w:pPr>
              <w:jc w:val="right"/>
              <w:ind w:right="550"/>
              <w:spacing w:after="0"/>
              <w:rPr>
                <w:sz w:val="20"/>
                <w:szCs w:val="20"/>
                <w:color w:val="auto"/>
              </w:rPr>
            </w:pPr>
            <w:r>
              <w:rPr>
                <w:rFonts w:ascii="Arial" w:cs="Arial" w:eastAsia="Arial" w:hAnsi="Arial"/>
                <w:sz w:val="18"/>
                <w:szCs w:val="18"/>
                <w:color w:val="auto"/>
                <w:w w:val="90"/>
              </w:rPr>
              <w:t>01/24/2006</w:t>
            </w:r>
          </w:p>
        </w:tc>
        <w:tc>
          <w:tcPr>
            <w:tcW w:w="4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Kimolos) (2)</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51,218</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08/20/2008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08/20/2008</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 Initial Vessels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Committed Vessels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Non Contracted Vessels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40" w:hanging="632"/>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83" w:lineRule="exact"/>
        <w:rPr>
          <w:sz w:val="20"/>
          <w:szCs w:val="20"/>
          <w:color w:val="auto"/>
        </w:rPr>
      </w:pPr>
    </w:p>
    <w:p>
      <w:pPr>
        <w:jc w:val="both"/>
        <w:ind w:left="660" w:hanging="652"/>
        <w:spacing w:after="0" w:line="255" w:lineRule="auto"/>
        <w:tabs>
          <w:tab w:leader="none" w:pos="6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Principles of Consolidation and Combination: </w:t>
      </w:r>
      <w:r>
        <w:rPr>
          <w:rFonts w:ascii="Arial" w:cs="Arial" w:eastAsia="Arial" w:hAnsi="Arial"/>
          <w:sz w:val="18"/>
          <w:szCs w:val="18"/>
          <w:color w:val="auto"/>
        </w:rPr>
        <w:t>The accompanying consolidated and combined financial statements have been prepared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accounting principles generally accepted in the United States of America (“U.S. GAAP”), after giving retroactive effect to the combination of entities under common control in 2008 as described in Note 1 to the consolidated and combined financial statements, and include the accounts of the legal entities comprising the Partnership as discussed in Note 1. Intra-group balances and transactions have been eliminated upon consolidation and combination. Intercompany balances and transactions with CMTC and its affiliates have not been eliminated, but are presented as balances and transactions with related parties.</w:t>
      </w:r>
    </w:p>
    <w:p>
      <w:pPr>
        <w:spacing w:after="0" w:line="245" w:lineRule="exact"/>
        <w:rPr>
          <w:rFonts w:ascii="Arial" w:cs="Arial" w:eastAsia="Arial" w:hAnsi="Arial"/>
          <w:sz w:val="18"/>
          <w:szCs w:val="18"/>
          <w:b w:val="1"/>
          <w:bCs w:val="1"/>
          <w:i w:val="1"/>
          <w:iCs w:val="1"/>
          <w:color w:val="auto"/>
        </w:rPr>
      </w:pPr>
    </w:p>
    <w:p>
      <w:pPr>
        <w:jc w:val="both"/>
        <w:ind w:left="660" w:hanging="652"/>
        <w:spacing w:after="0" w:line="296" w:lineRule="auto"/>
        <w:tabs>
          <w:tab w:leader="none" w:pos="6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and combined financial statements in conformity with U.S. GAAP requires management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 Additionally, these consolidated financial statements include allocations for certain expenses, including corporate overhead expenses that are normally incurred by a listed company, such expenses have not incurred in the periods covered by the combined financial statements.</w:t>
      </w:r>
    </w:p>
    <w:p>
      <w:pPr>
        <w:spacing w:after="0" w:line="214" w:lineRule="exact"/>
        <w:rPr>
          <w:rFonts w:ascii="Arial" w:cs="Arial" w:eastAsia="Arial" w:hAnsi="Arial"/>
          <w:sz w:val="16"/>
          <w:szCs w:val="16"/>
          <w:b w:val="1"/>
          <w:bCs w:val="1"/>
          <w:i w:val="1"/>
          <w:iCs w:val="1"/>
          <w:color w:val="auto"/>
        </w:rPr>
      </w:pPr>
    </w:p>
    <w:p>
      <w:pPr>
        <w:jc w:val="both"/>
        <w:ind w:left="660" w:hanging="652"/>
        <w:spacing w:after="0" w:line="256" w:lineRule="auto"/>
        <w:tabs>
          <w:tab w:leader="none" w:pos="6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The Partnership follows the provisions of Statement of Financial Accounting Standards (“SFAS”) No. 130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Comprehensive Income” (SFAS 130) which requires separate presentation of certain transactions, which are recorded directly as components of partners’ / stockholders’ equity. For the years ended December 31, 2008 and 2007 the Partnership had accumulated other Comprehensive Loss of $43,651 and $10,288 respectively, related to the change of the fair value of derivatives that qualify for cash flow hedge accounting.</w:t>
      </w:r>
    </w:p>
    <w:p>
      <w:pPr>
        <w:spacing w:after="0" w:line="245" w:lineRule="exact"/>
        <w:rPr>
          <w:rFonts w:ascii="Arial" w:cs="Arial" w:eastAsia="Arial" w:hAnsi="Arial"/>
          <w:sz w:val="18"/>
          <w:szCs w:val="18"/>
          <w:b w:val="1"/>
          <w:bCs w:val="1"/>
          <w:i w:val="1"/>
          <w:iCs w:val="1"/>
          <w:color w:val="auto"/>
        </w:rPr>
      </w:pPr>
    </w:p>
    <w:p>
      <w:pPr>
        <w:jc w:val="both"/>
        <w:ind w:left="660" w:hanging="652"/>
        <w:spacing w:after="0" w:line="293" w:lineRule="auto"/>
        <w:tabs>
          <w:tab w:leader="none" w:pos="6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Accounting for Revenue, Voyage and Operating Expenses</w:t>
      </w:r>
      <w:r>
        <w:rPr>
          <w:rFonts w:ascii="Arial" w:cs="Arial" w:eastAsia="Arial" w:hAnsi="Arial"/>
          <w:sz w:val="16"/>
          <w:szCs w:val="16"/>
          <w:color w:val="auto"/>
        </w:rPr>
        <w:t>: The Partnership generates its revenues from charterers for the charter hire of its vessels.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are chartered using either time charters or bareboat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customer generally assumes all risk and costs of operation during the lease term.</w:t>
      </w:r>
    </w:p>
    <w:p>
      <w:pPr>
        <w:spacing w:after="0" w:line="217" w:lineRule="exact"/>
        <w:rPr>
          <w:rFonts w:ascii="Arial" w:cs="Arial" w:eastAsia="Arial" w:hAnsi="Arial"/>
          <w:sz w:val="16"/>
          <w:szCs w:val="16"/>
          <w:b w:val="1"/>
          <w:bCs w:val="1"/>
          <w:i w:val="1"/>
          <w:iCs w:val="1"/>
          <w:color w:val="auto"/>
        </w:rPr>
      </w:pPr>
    </w:p>
    <w:p>
      <w:pPr>
        <w:jc w:val="both"/>
        <w:ind w:left="660"/>
        <w:spacing w:after="0" w:line="291" w:lineRule="auto"/>
        <w:rPr>
          <w:rFonts w:ascii="Arial" w:cs="Arial" w:eastAsia="Arial" w:hAnsi="Arial"/>
          <w:sz w:val="16"/>
          <w:szCs w:val="16"/>
          <w:b w:val="1"/>
          <w:bCs w:val="1"/>
          <w:i w:val="1"/>
          <w:iCs w:val="1"/>
          <w:color w:val="auto"/>
        </w:rPr>
      </w:pPr>
      <w:r>
        <w:rPr>
          <w:rFonts w:ascii="Arial" w:cs="Arial" w:eastAsia="Arial" w:hAnsi="Arial"/>
          <w:sz w:val="16"/>
          <w:szCs w:val="16"/>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agreement in accordance with SFAS No. 13 “Accounting for Leases”, paragraph 19b. Revenues from profit sharing arrangements in time charters represent 50%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219" w:lineRule="exact"/>
        <w:rPr>
          <w:rFonts w:ascii="Arial" w:cs="Arial" w:eastAsia="Arial" w:hAnsi="Arial"/>
          <w:sz w:val="16"/>
          <w:szCs w:val="16"/>
          <w:b w:val="1"/>
          <w:bCs w:val="1"/>
          <w:i w:val="1"/>
          <w:iCs w:val="1"/>
          <w:color w:val="auto"/>
        </w:rPr>
      </w:pPr>
    </w:p>
    <w:p>
      <w:pPr>
        <w:jc w:val="both"/>
        <w:ind w:left="660"/>
        <w:spacing w:after="0" w:line="256" w:lineRule="auto"/>
        <w:rPr>
          <w:rFonts w:ascii="Arial" w:cs="Arial" w:eastAsia="Arial" w:hAnsi="Arial"/>
          <w:sz w:val="16"/>
          <w:szCs w:val="16"/>
          <w:b w:val="1"/>
          <w:bCs w:val="1"/>
          <w:i w:val="1"/>
          <w:iCs w:val="1"/>
          <w:color w:val="auto"/>
        </w:rPr>
      </w:pPr>
      <w:r>
        <w:rPr>
          <w:rFonts w:ascii="Arial" w:cs="Arial" w:eastAsia="Arial" w:hAnsi="Arial"/>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for which we are liable, are assumed by the charterer. With the exception of our Morgan Stanley Capital Group Inc. time charter agreements, and Overseas Shipholding Group Inc. bareboat charter agreements where the charterer is responsible for the commissions.</w:t>
      </w:r>
    </w:p>
    <w:p>
      <w:pPr>
        <w:spacing w:after="0" w:line="245" w:lineRule="exact"/>
        <w:rPr>
          <w:rFonts w:ascii="Arial" w:cs="Arial" w:eastAsia="Arial" w:hAnsi="Arial"/>
          <w:sz w:val="16"/>
          <w:szCs w:val="16"/>
          <w:b w:val="1"/>
          <w:bCs w:val="1"/>
          <w:i w:val="1"/>
          <w:iCs w:val="1"/>
          <w:color w:val="auto"/>
        </w:rPr>
      </w:pPr>
    </w:p>
    <w:p>
      <w:pPr>
        <w:jc w:val="both"/>
        <w:ind w:left="660"/>
        <w:spacing w:after="0" w:line="256" w:lineRule="auto"/>
        <w:rPr>
          <w:rFonts w:ascii="Arial" w:cs="Arial" w:eastAsia="Arial" w:hAnsi="Arial"/>
          <w:sz w:val="16"/>
          <w:szCs w:val="16"/>
          <w:b w:val="1"/>
          <w:bCs w:val="1"/>
          <w:i w:val="1"/>
          <w:iCs w:val="1"/>
          <w:color w:val="auto"/>
        </w:rPr>
      </w:pPr>
      <w:r>
        <w:rPr>
          <w:rFonts w:ascii="Arial" w:cs="Arial" w:eastAsia="Arial" w:hAnsi="Arial"/>
          <w:sz w:val="18"/>
          <w:szCs w:val="18"/>
          <w:color w:val="auto"/>
        </w:rPr>
        <w:t>Vessel operating expenses presented in the consolidated financial statements consist of management fees payable to the Manager. The Manager provides commercial and technical services such as crewing, repairs and maintenance, insurance, stores, spares, lubricants through a management agreement for a fixed daily fee of $5.5 per vessel for the time chartered vessels (except for the M/T Amore Mio II for which the daily fixed fee is $8.5). The fee also includes expenses related to the next scheduled special or intermediate survey as applicable and related dry-docking for each vessel.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83"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Revenue, Voyage and Operating Expenses – Continued:</w:t>
      </w:r>
    </w:p>
    <w:p>
      <w:pPr>
        <w:spacing w:after="0" w:line="278" w:lineRule="exact"/>
        <w:rPr>
          <w:rFonts w:ascii="Arial" w:cs="Arial" w:eastAsia="Arial" w:hAnsi="Arial"/>
          <w:sz w:val="18"/>
          <w:szCs w:val="18"/>
          <w:b w:val="1"/>
          <w:bCs w:val="1"/>
          <w:i w:val="1"/>
          <w:iCs w:val="1"/>
          <w:color w:val="auto"/>
        </w:rPr>
      </w:pPr>
    </w:p>
    <w:p>
      <w:pPr>
        <w:jc w:val="both"/>
        <w:ind w:left="66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Furthermore, pursuant to the management agreement, the Manager may charge the Partnership for extraordinary costs such as insurance deductibles, vetting, and repairs and spares which relate to unforeseen and extraordinary events. For bareboat chartered vessels, the bareboat charterer is responsible for vessel operating expenses such as crewing, repairs and maintenance, insurance, stores, spares, lubricants and the Partnership pays a fixed daily fee of $0.3 to the Manager for expenses mainly to cover compliance costs.</w:t>
      </w:r>
    </w:p>
    <w:p>
      <w:pPr>
        <w:spacing w:after="0" w:line="224" w:lineRule="exact"/>
        <w:rPr>
          <w:rFonts w:ascii="Arial" w:cs="Arial" w:eastAsia="Arial" w:hAnsi="Arial"/>
          <w:sz w:val="18"/>
          <w:szCs w:val="18"/>
          <w:b w:val="1"/>
          <w:bCs w:val="1"/>
          <w:i w:val="1"/>
          <w:iCs w:val="1"/>
          <w:color w:val="auto"/>
        </w:rPr>
      </w:pPr>
    </w:p>
    <w:p>
      <w:pPr>
        <w:jc w:val="both"/>
        <w:ind w:left="660" w:right="2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Vessel operating expenses presented in the combined financial statements consist of all expenses relating to the operation of the vessels including crewing, repairs and maintenance, insurances, stores and lubricants, management fees and miscellaneous expenses. Vessel operating expenses are expensed as incurred.</w:t>
      </w:r>
    </w:p>
    <w:p>
      <w:pPr>
        <w:spacing w:after="0" w:line="236" w:lineRule="exact"/>
        <w:rPr>
          <w:rFonts w:ascii="Arial" w:cs="Arial" w:eastAsia="Arial" w:hAnsi="Arial"/>
          <w:sz w:val="18"/>
          <w:szCs w:val="18"/>
          <w:b w:val="1"/>
          <w:bCs w:val="1"/>
          <w:i w:val="1"/>
          <w:iCs w:val="1"/>
          <w:color w:val="auto"/>
        </w:rPr>
      </w:pPr>
    </w:p>
    <w:p>
      <w:pPr>
        <w:jc w:val="both"/>
        <w:ind w:left="660" w:hanging="652"/>
        <w:spacing w:after="0" w:line="293" w:lineRule="auto"/>
        <w:tabs>
          <w:tab w:leader="none" w:pos="66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Foreign Currency Transactions: </w:t>
      </w:r>
      <w:r>
        <w:rPr>
          <w:rFonts w:ascii="Arial" w:cs="Arial" w:eastAsia="Arial" w:hAnsi="Arial"/>
          <w:sz w:val="16"/>
          <w:szCs w:val="16"/>
          <w:color w:val="auto"/>
        </w:rPr>
        <w:t>The functional currency of the Partnership is the U.S. dollar because the Partnership’s vessels operate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that date. Gains or losses resulting from foreign currency transactions and translations are included in foreign currency gains and losses, net in the accompanying consolidated and combined statements of income.</w:t>
      </w:r>
    </w:p>
    <w:p>
      <w:pPr>
        <w:spacing w:after="0" w:line="217" w:lineRule="exact"/>
        <w:rPr>
          <w:rFonts w:ascii="Arial" w:cs="Arial" w:eastAsia="Arial" w:hAnsi="Arial"/>
          <w:sz w:val="16"/>
          <w:szCs w:val="16"/>
          <w:b w:val="1"/>
          <w:bCs w:val="1"/>
          <w:i w:val="1"/>
          <w:iCs w:val="1"/>
          <w:color w:val="auto"/>
        </w:rPr>
      </w:pPr>
    </w:p>
    <w:p>
      <w:pPr>
        <w:ind w:left="660" w:hanging="652"/>
        <w:spacing w:after="0" w:line="277" w:lineRule="auto"/>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 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223" w:lineRule="exact"/>
        <w:rPr>
          <w:rFonts w:ascii="Arial" w:cs="Arial" w:eastAsia="Arial" w:hAnsi="Arial"/>
          <w:sz w:val="18"/>
          <w:szCs w:val="18"/>
          <w:b w:val="1"/>
          <w:bCs w:val="1"/>
          <w:i w:val="1"/>
          <w:iCs w:val="1"/>
          <w:color w:val="auto"/>
        </w:rPr>
      </w:pPr>
    </w:p>
    <w:p>
      <w:pPr>
        <w:ind w:left="660" w:hanging="652"/>
        <w:spacing w:after="0" w:line="277" w:lineRule="auto"/>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Short term investment: </w:t>
      </w:r>
      <w:r>
        <w:rPr>
          <w:rFonts w:ascii="Arial" w:cs="Arial" w:eastAsia="Arial" w:hAnsi="Arial"/>
          <w:sz w:val="18"/>
          <w:szCs w:val="18"/>
          <w:color w:val="auto"/>
        </w:rPr>
        <w:t>Short term investment consists of cash time deposits with original maturity of three to twelve months and amounted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$1,080 and $0 for the years ended December 31, 2008 and 2007 respectively.</w:t>
      </w:r>
    </w:p>
    <w:p>
      <w:pPr>
        <w:spacing w:after="0" w:line="223" w:lineRule="exact"/>
        <w:rPr>
          <w:rFonts w:ascii="Arial" w:cs="Arial" w:eastAsia="Arial" w:hAnsi="Arial"/>
          <w:sz w:val="18"/>
          <w:szCs w:val="18"/>
          <w:b w:val="1"/>
          <w:bCs w:val="1"/>
          <w:i w:val="1"/>
          <w:iCs w:val="1"/>
          <w:color w:val="auto"/>
        </w:rPr>
      </w:pPr>
    </w:p>
    <w:p>
      <w:pPr>
        <w:jc w:val="both"/>
        <w:ind w:left="660" w:hanging="652"/>
        <w:spacing w:after="0" w:line="263" w:lineRule="auto"/>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In order for the Partnership to comply with the debt covenants under its credit facility it must maintain minimum cash at the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at all times. Such amount is considered by the Partnership as restricted cash. As of December 31, 2008 and 2007 restricted cash amounted to $4,500 and $3,250 respectively and is presented under other non current assets.</w:t>
      </w:r>
    </w:p>
    <w:p>
      <w:pPr>
        <w:spacing w:after="0" w:line="236" w:lineRule="exact"/>
        <w:rPr>
          <w:rFonts w:ascii="Arial" w:cs="Arial" w:eastAsia="Arial" w:hAnsi="Arial"/>
          <w:sz w:val="18"/>
          <w:szCs w:val="18"/>
          <w:b w:val="1"/>
          <w:bCs w:val="1"/>
          <w:i w:val="1"/>
          <w:iCs w:val="1"/>
          <w:color w:val="auto"/>
        </w:rPr>
      </w:pPr>
    </w:p>
    <w:p>
      <w:pPr>
        <w:jc w:val="both"/>
        <w:ind w:left="660" w:hanging="652"/>
        <w:spacing w:after="0" w:line="286" w:lineRule="auto"/>
        <w:tabs>
          <w:tab w:leader="none" w:pos="66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Trade Accounts Receivable: </w:t>
      </w:r>
      <w:r>
        <w:rPr>
          <w:rFonts w:ascii="Arial" w:cs="Arial" w:eastAsia="Arial" w:hAnsi="Arial"/>
          <w:sz w:val="17"/>
          <w:szCs w:val="17"/>
          <w:color w:val="auto"/>
        </w:rPr>
        <w:t>The amount shown as trade accounts receivable primarily consists of profit share earned but not yet collected. At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 sheet date all potentially uncollectible accounts are assessed individually for purposes of determining the appropriate provision for doubtful accounts. No allowance for doubtful accounts was established at December 31, 2008 and 2007 respectively.</w:t>
      </w:r>
    </w:p>
    <w:p>
      <w:pPr>
        <w:spacing w:after="0" w:line="218" w:lineRule="exact"/>
        <w:rPr>
          <w:rFonts w:ascii="Arial" w:cs="Arial" w:eastAsia="Arial" w:hAnsi="Arial"/>
          <w:sz w:val="17"/>
          <w:szCs w:val="17"/>
          <w:b w:val="1"/>
          <w:bCs w:val="1"/>
          <w:i w:val="1"/>
          <w:iCs w:val="1"/>
          <w:color w:val="auto"/>
        </w:rPr>
      </w:pPr>
    </w:p>
    <w:p>
      <w:pPr>
        <w:ind w:left="660" w:hanging="652"/>
        <w:spacing w:after="0" w:line="277" w:lineRule="auto"/>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223" w:lineRule="exact"/>
        <w:rPr>
          <w:rFonts w:ascii="Arial" w:cs="Arial" w:eastAsia="Arial" w:hAnsi="Arial"/>
          <w:sz w:val="18"/>
          <w:szCs w:val="18"/>
          <w:b w:val="1"/>
          <w:bCs w:val="1"/>
          <w:i w:val="1"/>
          <w:iCs w:val="1"/>
          <w:color w:val="auto"/>
        </w:rPr>
      </w:pPr>
    </w:p>
    <w:p>
      <w:pPr>
        <w:jc w:val="both"/>
        <w:ind w:left="660" w:hanging="652"/>
        <w:spacing w:after="0" w:line="275" w:lineRule="auto"/>
        <w:tabs>
          <w:tab w:leader="none" w:pos="66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Fixed Assets: </w:t>
      </w:r>
      <w:r>
        <w:rPr>
          <w:rFonts w:ascii="Arial" w:cs="Arial" w:eastAsia="Arial" w:hAnsi="Arial"/>
          <w:sz w:val="17"/>
          <w:szCs w:val="17"/>
          <w:color w:val="auto"/>
        </w:rPr>
        <w:t>Fixed assets consist of vessels which are stated at cost, less accumulated depreciation. Vessel cost consists of the contract price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 and any material expenses incurred upon their construction (improvements and delivery expenses, on-site supervision costs incurred during the construction periods, as well as capitalized interest expense during the construction period). The cost of each of the Partnership’s vessels is depreciated beginning when the vessel is ready for its intended use, on a straight-line basis over the vessels’ remaining economic useful life, after considering the estimated residual value. Management estimates the useful life to be 25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00" w:lineRule="exact"/>
        <w:rPr>
          <w:sz w:val="20"/>
          <w:szCs w:val="20"/>
          <w:color w:val="auto"/>
        </w:rPr>
      </w:pPr>
    </w:p>
    <w:p>
      <w:pPr>
        <w:spacing w:after="0" w:line="352" w:lineRule="exact"/>
        <w:rPr>
          <w:sz w:val="20"/>
          <w:szCs w:val="20"/>
          <w:color w:val="auto"/>
        </w:rPr>
      </w:pPr>
    </w:p>
    <w:p>
      <w:pPr>
        <w:jc w:val="both"/>
        <w:ind w:left="660" w:hanging="652"/>
        <w:spacing w:after="0" w:line="253" w:lineRule="auto"/>
        <w:tabs>
          <w:tab w:leader="none" w:pos="6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Partnership applies SFAS No. 144, “Accounting for the Impairment or Disposal of Long-lived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(“SFAS 144”) which addresses financial accounting and reporting for the impairment or disposal of long-lived assets. SFAS 144 requires that long-lived assets and certain identifiable intangibles held and used or disposed of by an entity be reviewed for impairment whenever events or changes in circumstances indicate that the carrying amount of the assets may not be recoverable. An impairment loss for an asset held for use is recognized when the estimate of undiscounted cash flows expected to be generated by the use and eventual disposition of the asset is less than its carrying amount. Measurement of the impairment loss is based on the fair value of the asset. The Partnership regularly assesses whether impairment indicators are present. The Partnership evaluated all of its long-lived assets as at December 31, 2008, and determined that the undiscounted estimated future net cash flows related to these assets continued to support their recorded values. No impairment loss was recorded for any of the periods presented.</w:t>
      </w:r>
    </w:p>
    <w:p>
      <w:pPr>
        <w:spacing w:after="0" w:line="248" w:lineRule="exact"/>
        <w:rPr>
          <w:rFonts w:ascii="Arial" w:cs="Arial" w:eastAsia="Arial" w:hAnsi="Arial"/>
          <w:sz w:val="18"/>
          <w:szCs w:val="18"/>
          <w:b w:val="1"/>
          <w:bCs w:val="1"/>
          <w:i w:val="1"/>
          <w:iCs w:val="1"/>
          <w:color w:val="auto"/>
        </w:rPr>
      </w:pPr>
    </w:p>
    <w:p>
      <w:pPr>
        <w:jc w:val="both"/>
        <w:ind w:left="660" w:hanging="652"/>
        <w:spacing w:after="0" w:line="341" w:lineRule="auto"/>
        <w:tabs>
          <w:tab w:leader="none" w:pos="660" w:val="left"/>
        </w:tabs>
        <w:numPr>
          <w:ilvl w:val="0"/>
          <w:numId w:val="9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Charges: </w:t>
      </w:r>
      <w:r>
        <w:rPr>
          <w:rFonts w:ascii="Arial" w:cs="Arial" w:eastAsia="Arial" w:hAnsi="Arial"/>
          <w:sz w:val="16"/>
          <w:szCs w:val="16"/>
          <w:color w:val="auto"/>
        </w:rPr>
        <w:t>Deferred charges are comprised mainly of fees paid to lenders for obtaining new loans or refinancing existing loans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as deferred finance charges and amortized to interest expense over the term of the respective loan using the effective interest rate method.</w:t>
      </w:r>
    </w:p>
    <w:p>
      <w:pPr>
        <w:spacing w:after="0" w:line="178" w:lineRule="exact"/>
        <w:rPr>
          <w:rFonts w:ascii="Arial" w:cs="Arial" w:eastAsia="Arial" w:hAnsi="Arial"/>
          <w:sz w:val="16"/>
          <w:szCs w:val="16"/>
          <w:b w:val="1"/>
          <w:bCs w:val="1"/>
          <w:i w:val="1"/>
          <w:iCs w:val="1"/>
          <w:color w:val="auto"/>
        </w:rPr>
      </w:pPr>
    </w:p>
    <w:p>
      <w:pPr>
        <w:jc w:val="both"/>
        <w:ind w:left="660" w:hanging="652"/>
        <w:spacing w:after="0" w:line="263" w:lineRule="auto"/>
        <w:tabs>
          <w:tab w:leader="none" w:pos="6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Pension and Retirement Benefit Obligations</w:t>
      </w:r>
      <w:r>
        <w:rPr>
          <w:rFonts w:ascii="Arial" w:cs="Arial" w:eastAsia="Arial" w:hAnsi="Arial"/>
          <w:sz w:val="18"/>
          <w:szCs w:val="18"/>
          <w:color w:val="auto"/>
        </w:rPr>
        <w:t>: The vessel-owning companies included in the consolidated and combined financial statements employ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crew on board under short-term contracts (usually up to seven months) and accordingly, they are not liable for any pension or post retirement benefits.</w:t>
      </w:r>
    </w:p>
    <w:p>
      <w:pPr>
        <w:spacing w:after="0" w:line="236" w:lineRule="exact"/>
        <w:rPr>
          <w:rFonts w:ascii="Arial" w:cs="Arial" w:eastAsia="Arial" w:hAnsi="Arial"/>
          <w:sz w:val="18"/>
          <w:szCs w:val="18"/>
          <w:b w:val="1"/>
          <w:bCs w:val="1"/>
          <w:i w:val="1"/>
          <w:iCs w:val="1"/>
          <w:color w:val="auto"/>
        </w:rPr>
      </w:pPr>
    </w:p>
    <w:p>
      <w:pPr>
        <w:jc w:val="both"/>
        <w:ind w:left="660" w:hanging="652"/>
        <w:spacing w:after="0" w:line="270" w:lineRule="auto"/>
        <w:tabs>
          <w:tab w:leader="none" w:pos="660" w:val="left"/>
        </w:tabs>
        <w:numPr>
          <w:ilvl w:val="0"/>
          <w:numId w:val="9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Financial instruments which potentially subject the Partnership to significant concentrations of credit risk, consist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principally of cash and cash equivalents, interest rate swaps, and trade accounts receivable. The Partnership places its cash and cash equivalents consisting, mostly of deposits, and enters into interest rate swap agreements with creditworthy financial institutions as rated by qualified rating agencies. Most of the Partnership’s revenues were derived from a few charterers. For the year ended December 31, 2008 British Petroleum Shipping Limited and Morgan Stanley Capital Group Inc. accounted for 54% and 33% of the total revenue, respectively. For the year ended December 31, 2007, British Petroleum Shipping Limited and Morgan Stanley Capital Group Inc. accounted for 58% and 24% of the total revenue, respectively. For the year ended December 31, 2006, British Petroleum Shipping Limited, Morgan Stanley Capital Group Inc., Canterbury Tankers Inc., and Shell international Trading &amp; Shipping Company Ltd. accounted for 42%, 18%, 20% and 20% of the total revenue, respectively. The Partnership does not obtain rights of collateral from its charterers to reduce its credit risk.</w:t>
      </w:r>
    </w:p>
    <w:p>
      <w:pPr>
        <w:spacing w:after="0" w:line="233" w:lineRule="exact"/>
        <w:rPr>
          <w:rFonts w:ascii="Arial" w:cs="Arial" w:eastAsia="Arial" w:hAnsi="Arial"/>
          <w:sz w:val="17"/>
          <w:szCs w:val="17"/>
          <w:b w:val="1"/>
          <w:bCs w:val="1"/>
          <w:i w:val="1"/>
          <w:iCs w:val="1"/>
          <w:color w:val="auto"/>
        </w:rPr>
      </w:pPr>
    </w:p>
    <w:p>
      <w:pPr>
        <w:jc w:val="both"/>
        <w:ind w:left="660" w:hanging="652"/>
        <w:spacing w:after="0" w:line="272" w:lineRule="auto"/>
        <w:tabs>
          <w:tab w:leader="none" w:pos="660" w:val="left"/>
        </w:tabs>
        <w:numPr>
          <w:ilvl w:val="0"/>
          <w:numId w:val="9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Fair Value of Financial Instruments: </w:t>
      </w:r>
      <w:r>
        <w:rPr>
          <w:rFonts w:ascii="Arial" w:cs="Arial" w:eastAsia="Arial" w:hAnsi="Arial"/>
          <w:sz w:val="17"/>
          <w:szCs w:val="17"/>
          <w:color w:val="auto"/>
        </w:rPr>
        <w:t>On January 1, 2008, the Partnership adopted SFAS No. 157, Fair Value Measurements, (“SFAS No. 157”)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assets and liabilities and any other assets and liabilities carried at fair value. This pronouncement defines fair value, establishes a framework for measuring fair value and expands disclosures about fair value measurements. The Partnership’s adoption of SFAS No. 157 did not have a material effect on the Partnership’s Consolidated and Combined Financial Statements for financial assets and liabilities and any other assets and liabilities carried at fair value. The carrying value of trade receivables, accounts payable and current accrued liabilities approximates fair value. The fair values of long-term variable rate bank loans approximate the recorded values, due to their variable interest. Interest rate swaps are recorded at fair value on the consolidated and combined balance sheet.</w:t>
      </w:r>
    </w:p>
    <w:p>
      <w:pPr>
        <w:spacing w:after="0" w:line="229" w:lineRule="exact"/>
        <w:rPr>
          <w:rFonts w:ascii="Arial" w:cs="Arial" w:eastAsia="Arial" w:hAnsi="Arial"/>
          <w:sz w:val="17"/>
          <w:szCs w:val="17"/>
          <w:b w:val="1"/>
          <w:bCs w:val="1"/>
          <w:i w:val="1"/>
          <w:iCs w:val="1"/>
          <w:color w:val="auto"/>
        </w:rPr>
      </w:pPr>
    </w:p>
    <w:p>
      <w:pPr>
        <w:jc w:val="both"/>
        <w:ind w:left="660" w:hanging="652"/>
        <w:spacing w:after="0" w:line="269" w:lineRule="auto"/>
        <w:tabs>
          <w:tab w:leader="none" w:pos="660" w:val="left"/>
        </w:tabs>
        <w:numPr>
          <w:ilvl w:val="0"/>
          <w:numId w:val="9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Interest Rate Swap Agreements: </w:t>
      </w:r>
      <w:r>
        <w:rPr>
          <w:rFonts w:ascii="Arial" w:cs="Arial" w:eastAsia="Arial" w:hAnsi="Arial"/>
          <w:sz w:val="17"/>
          <w:szCs w:val="17"/>
          <w:color w:val="auto"/>
        </w:rPr>
        <w:t>The Partnership designates its derivatives based upon the criteria established by SFAS No. 133 Accounting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instruments and hedging activities which establish accounting and reporting standards for derivative instruments, including certain derivative instruments embedded in other contracts, and for hedging activities. SFAS 133, as amended by Statement of Financial Accounting Standards No. 138, Accounting for Certain Derivative Instruments and Certain Hedging Activities—An amendment of SFAS 133, (SFAS 138) and Statement of Financial Accounting Standards No. 149, Amendment of Statement 133 on Derivative Instruments and Hedging Activities, (SFAS 149),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hedge, the change in fair value is recognized at the end of each accounting period on the income statement. For a derivative that qualifies as a cash flow hedge, the change in fair value is recognized at the end of each reporting period in other comprehensive income/ (loss) (effective portion) until the hedged item is recognized in income. The ineffective portion of a derivative’s change in fair value is immediately recognized in the income statement.</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00" w:lineRule="exact"/>
        <w:rPr>
          <w:sz w:val="20"/>
          <w:szCs w:val="20"/>
          <w:color w:val="auto"/>
        </w:rPr>
      </w:pPr>
    </w:p>
    <w:p>
      <w:pPr>
        <w:spacing w:after="0" w:line="352" w:lineRule="exact"/>
        <w:rPr>
          <w:sz w:val="20"/>
          <w:szCs w:val="20"/>
          <w:color w:val="auto"/>
        </w:rPr>
      </w:pPr>
    </w:p>
    <w:p>
      <w:pPr>
        <w:jc w:val="both"/>
        <w:ind w:left="660" w:hanging="652"/>
        <w:spacing w:after="0" w:line="255" w:lineRule="auto"/>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Net Income (loss) Per Limited Partner Unit: </w:t>
      </w:r>
      <w:r>
        <w:rPr>
          <w:rFonts w:ascii="Arial" w:cs="Arial" w:eastAsia="Arial" w:hAnsi="Arial"/>
          <w:sz w:val="18"/>
          <w:szCs w:val="18"/>
          <w:color w:val="auto"/>
        </w:rPr>
        <w:t>Basic and diluted net income per limited partner unit is calculated by dividing limited partners’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net income, less pro forma general partner incentive distributions under EITF Issue No. 03-6, “Participating Securities and the Two — Class Method Under FASB Statement No. 128”, or EITF 03-6, by the weighted-average number of outstanding limited partner units during the period (Note 12). Diluted net income per limited partner unit reflects the potential dilution that could occur if securities or other contracts to issue common stock were exercised. The Partnership had no dilutive securities outstanding during the year ended December 31, 2008 and for the period from April 4, 2007 to December 31, 2007.</w:t>
      </w:r>
    </w:p>
    <w:p>
      <w:pPr>
        <w:spacing w:after="0" w:line="245" w:lineRule="exact"/>
        <w:rPr>
          <w:rFonts w:ascii="Arial" w:cs="Arial" w:eastAsia="Arial" w:hAnsi="Arial"/>
          <w:sz w:val="18"/>
          <w:szCs w:val="18"/>
          <w:b w:val="1"/>
          <w:bCs w:val="1"/>
          <w:i w:val="1"/>
          <w:iCs w:val="1"/>
          <w:color w:val="auto"/>
        </w:rPr>
      </w:pPr>
    </w:p>
    <w:p>
      <w:pPr>
        <w:ind w:left="660" w:right="20" w:hanging="652"/>
        <w:spacing w:after="0" w:line="277" w:lineRule="auto"/>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not subject to the payment of any income tax on its income. Instead, a tax is levied based on the tonnage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which is included in operating expenses (Note 9).</w:t>
      </w:r>
    </w:p>
    <w:p>
      <w:pPr>
        <w:spacing w:after="0" w:line="223" w:lineRule="exact"/>
        <w:rPr>
          <w:rFonts w:ascii="Arial" w:cs="Arial" w:eastAsia="Arial" w:hAnsi="Arial"/>
          <w:sz w:val="18"/>
          <w:szCs w:val="18"/>
          <w:b w:val="1"/>
          <w:bCs w:val="1"/>
          <w:i w:val="1"/>
          <w:iCs w:val="1"/>
          <w:color w:val="auto"/>
        </w:rPr>
      </w:pPr>
    </w:p>
    <w:p>
      <w:pPr>
        <w:jc w:val="both"/>
        <w:ind w:left="660" w:hanging="652"/>
        <w:spacing w:after="0" w:line="272" w:lineRule="auto"/>
        <w:tabs>
          <w:tab w:leader="none" w:pos="660" w:val="left"/>
        </w:tabs>
        <w:numPr>
          <w:ilvl w:val="0"/>
          <w:numId w:val="9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or type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 employment for its customers, i.e. time or bareboat charters. The Partnership does not use discrete financial information to evaluate the operating results for each such type of charter. Although revenue can be identified for these types of charters, management cannot and does not identify expenses, profitability or other financial information for these charters. As a result, management, including the chief operating decision maker, reviews operating results solely by revenue per day and operating results of the fleet and thus the Partnership has determined that it operates under one reportable segment. Furthermore, when the Partnership charters a vessel to a charterer, the charterer is free to trade the vessel worldwide and, as a result, the disclosure of geographic information is impracticable.</w:t>
      </w:r>
    </w:p>
    <w:p>
      <w:pPr>
        <w:spacing w:after="0" w:line="229" w:lineRule="exact"/>
        <w:rPr>
          <w:rFonts w:ascii="Arial" w:cs="Arial" w:eastAsia="Arial" w:hAnsi="Arial"/>
          <w:sz w:val="17"/>
          <w:szCs w:val="17"/>
          <w:b w:val="1"/>
          <w:bCs w:val="1"/>
          <w:i w:val="1"/>
          <w:iCs w:val="1"/>
          <w:color w:val="auto"/>
        </w:rPr>
      </w:pPr>
    </w:p>
    <w:p>
      <w:pPr>
        <w:ind w:left="660" w:hanging="652"/>
        <w:spacing w:after="0"/>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t>
      </w:r>
    </w:p>
    <w:p>
      <w:pPr>
        <w:spacing w:after="0" w:line="278" w:lineRule="exact"/>
        <w:rPr>
          <w:rFonts w:ascii="Arial" w:cs="Arial" w:eastAsia="Arial" w:hAnsi="Arial"/>
          <w:sz w:val="18"/>
          <w:szCs w:val="18"/>
          <w:b w:val="1"/>
          <w:bCs w:val="1"/>
          <w:i w:val="1"/>
          <w:iCs w:val="1"/>
          <w:color w:val="auto"/>
        </w:rPr>
      </w:pPr>
    </w:p>
    <w:p>
      <w:pPr>
        <w:jc w:val="both"/>
        <w:ind w:left="6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February 2007, the FASB issued SFAS No. 159, “The Fair Value Option for Financial Assets and Financial Liabilities” (“SFAS No. 159”). SFAS No. 159 permits entities to choose to measure many financial instruments and certain other items at fair value, with changes in fair value recognized in earnings. SFAS No. 159 is effective as of the beginning of the first fiscal year that begins after November 15, 2007. On January 01, 2008 the Partnership did not make any fair value elections.</w:t>
      </w:r>
    </w:p>
    <w:p>
      <w:pPr>
        <w:spacing w:after="0" w:line="239" w:lineRule="exact"/>
        <w:rPr>
          <w:rFonts w:ascii="Arial" w:cs="Arial" w:eastAsia="Arial" w:hAnsi="Arial"/>
          <w:sz w:val="18"/>
          <w:szCs w:val="18"/>
          <w:b w:val="1"/>
          <w:bCs w:val="1"/>
          <w:i w:val="1"/>
          <w:iCs w:val="1"/>
          <w:color w:val="auto"/>
        </w:rPr>
      </w:pPr>
    </w:p>
    <w:p>
      <w:pPr>
        <w:jc w:val="both"/>
        <w:ind w:left="66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the FASB issued SFAS No. 141(R), “Business Combinations” (“SFAS No. 141(R)”). SFAS No. 141(R) supersedes SFAS No. 141 and establishes principles and requirements for how the acquirer of a business recognizes and measures in its financial statements the identifiable assets acquired, the liabilities assumed, and any non-controlling interest in the acquired. The Statement also provides guidance for recognizing and measuring the goodwill acquired in the business combination and determines what information to disclose to enable users of the financial statements to evaluate the nature and financial effects of the business combination. This Statement applies prospectively to business combinations for which the acquisition date is on or after the beginning of the first annual reporting period beginning on or after December 15, 2008. An entity may not apply it before that date. The effective date of this Statement is the same as that of the related FASB Statement No. 160, Non controlling Interests in Consolidated Financial Statements, an amendment of ARB No. 51” (“SFAS No. 160”). The Partnership is currently evaluating the effect, if any; this statement may have on future financial statements.</w:t>
      </w:r>
    </w:p>
    <w:p>
      <w:pPr>
        <w:spacing w:after="0" w:line="233" w:lineRule="exact"/>
        <w:rPr>
          <w:rFonts w:ascii="Arial" w:cs="Arial" w:eastAsia="Arial" w:hAnsi="Arial"/>
          <w:sz w:val="18"/>
          <w:szCs w:val="18"/>
          <w:b w:val="1"/>
          <w:bCs w:val="1"/>
          <w:i w:val="1"/>
          <w:iCs w:val="1"/>
          <w:color w:val="auto"/>
        </w:rPr>
      </w:pPr>
    </w:p>
    <w:p>
      <w:pPr>
        <w:jc w:val="both"/>
        <w:ind w:left="660"/>
        <w:spacing w:after="0" w:line="311"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December 2007, the FASB issued SFAS No. 160. This Statement establishes accounting and reporting standards for the non-controlling interest in a subsidiary and for the deconsolidation of a subsidiary. The guidance will become effective as of the beginning of a company’s fiscal year beginning after December 15, 2008. The Partnership is currently evaluating the effect that this statement may have on future financial statements.</w:t>
      </w:r>
    </w:p>
    <w:p>
      <w:pPr>
        <w:spacing w:after="0" w:line="202" w:lineRule="exact"/>
        <w:rPr>
          <w:rFonts w:ascii="Arial" w:cs="Arial" w:eastAsia="Arial" w:hAnsi="Arial"/>
          <w:sz w:val="18"/>
          <w:szCs w:val="18"/>
          <w:b w:val="1"/>
          <w:bCs w:val="1"/>
          <w:i w:val="1"/>
          <w:iCs w:val="1"/>
          <w:color w:val="auto"/>
        </w:rPr>
      </w:pPr>
    </w:p>
    <w:p>
      <w:pPr>
        <w:jc w:val="both"/>
        <w:ind w:left="6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February 2008, the FASB issued the FASB Staff Position (“FSP No. 157-2”) which delays the effective date of SFAS 157, for nonfinancial assets and nonfinancial liabilities, except for items that are recognized or disclosed at fair value in the financial statements on a recurring basis (at least annually). For purposes of applying this FSP, nonfinancial assets and nonfinancial liabilities would include all assets and liabilities other than those meeting the definition of a financial asset or financial liability as defined in paragraph 6 of FASB Statement No. 159, “The Fair Value Option for Financial Assets and Financial Liabilities.” This FSP defers the effective date of SFAS 157 to fiscal years beginning after November 15, 2008, and the interim periods within those fiscal years for items within the scope of this FSP. The application of SFAS 157 in future periods to those items covered by FSP 157-2 is not expected to have a material effect on the Partnership’s consolidated financial statements.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00" w:lineRule="exact"/>
        <w:rPr>
          <w:sz w:val="20"/>
          <w:szCs w:val="20"/>
          <w:color w:val="auto"/>
        </w:rPr>
      </w:pPr>
    </w:p>
    <w:p>
      <w:pPr>
        <w:spacing w:after="0" w:line="352"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Continued:</w:t>
      </w:r>
    </w:p>
    <w:p>
      <w:pPr>
        <w:spacing w:after="0" w:line="278" w:lineRule="exact"/>
        <w:rPr>
          <w:rFonts w:ascii="Arial" w:cs="Arial" w:eastAsia="Arial" w:hAnsi="Arial"/>
          <w:sz w:val="18"/>
          <w:szCs w:val="18"/>
          <w:b w:val="1"/>
          <w:bCs w:val="1"/>
          <w:i w:val="1"/>
          <w:iCs w:val="1"/>
          <w:color w:val="auto"/>
        </w:rPr>
      </w:pPr>
    </w:p>
    <w:p>
      <w:pPr>
        <w:jc w:val="both"/>
        <w:ind w:left="66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October 2008, the FASB issued the FASB Staff Position (“FSP No. 157-3”) which clarifies the application of FASB Statement No. 157, “Fair Value Measurements” in a market that is not active and provides an example to illustrate key considerations in determining the fair value of a financial asset when the market for that asset is not active. This FSP applies to financial assets within the scope of accounting pronouncements that require or permit fair value measurements in accordance with Statement 157. The FSP shall be effective upon issuance, including prior periods for which financial statements have not been issued. Revisions resulting from a change in the valuation technique or its application shall be accounted for as a change in accounting estimate (“FASB Statement No. 154 “Accounting changes and Error Corrections”, paragraph 19). The disclosure provisions of Statement No. 154 for a change in accounting estimate are not required for revisions resulting from a change in valuation technique or its application. The application of FSP 157-3 does not have a material effect on the Partnership’s consolidated financial statements.</w:t>
      </w:r>
    </w:p>
    <w:p>
      <w:pPr>
        <w:spacing w:after="0" w:line="217" w:lineRule="exact"/>
        <w:rPr>
          <w:rFonts w:ascii="Arial" w:cs="Arial" w:eastAsia="Arial" w:hAnsi="Arial"/>
          <w:sz w:val="18"/>
          <w:szCs w:val="18"/>
          <w:b w:val="1"/>
          <w:bCs w:val="1"/>
          <w:i w:val="1"/>
          <w:iCs w:val="1"/>
          <w:color w:val="auto"/>
        </w:rPr>
      </w:pPr>
    </w:p>
    <w:p>
      <w:pPr>
        <w:jc w:val="both"/>
        <w:ind w:left="66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March 2008, the FASB issued FASB Statement No. 161, “Disclosures about Derivative Instruments and Hedging Activities”. The new standard is intended to improve financial reporting about derivative instruments and hedging activities by requiring enhanced disclosures to enable investors to better understand their effects on an entity’s financial position, financial performance, and cash flows. It is effective for financial statements issued for fiscal years and interim periods beginning after November 15, 2008, with early application encouraged. The Partnership is currently evaluating the effect that this statement may have on future financial statements.</w:t>
      </w:r>
    </w:p>
    <w:p>
      <w:pPr>
        <w:spacing w:after="0" w:line="245" w:lineRule="exact"/>
        <w:rPr>
          <w:rFonts w:ascii="Arial" w:cs="Arial" w:eastAsia="Arial" w:hAnsi="Arial"/>
          <w:sz w:val="18"/>
          <w:szCs w:val="18"/>
          <w:b w:val="1"/>
          <w:bCs w:val="1"/>
          <w:i w:val="1"/>
          <w:iCs w:val="1"/>
          <w:color w:val="auto"/>
        </w:rPr>
      </w:pPr>
    </w:p>
    <w:p>
      <w:pPr>
        <w:jc w:val="both"/>
        <w:ind w:left="66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March 2008, the FASB ratified the EITF consensus on EITF Issue No. 07-4, “Application of the Two-Class Method under FASB Statement No. 128, Earnings per Share, to Master Limited Partnerships” (“EITF No. 07-4”), an update of EITF No. 03-6, “Participating Securities and the Two-Class Method Under FASB Statement No. 128” (“EITF No. 03-6”). EITF 07-4 considers whether the incentive distributions of a master limited partnership represent a participating security when considered in the calculation of earnings per unit under the two-class method. EITF 07-4 also considers whether the partnership agreement contains any contractual limitations concerning distributions to the incentive distribution rights that would impact the amount of earnings to allocate to the incentive distribution rights for each reporting period. If distributions are contractually limited to the incentive distribution rights’ share of currently designated available cash for distributions as defined under the partnership agreement, undistributed earnings in excess of available cash should not be allocated to the incentive distribution rights. Any excess distributions over earnings shall be allocated to the GP and LPs based on their respective sharing of losses specified in the Partnership agreement for the period presented. EITF No. 07-4 is effective for fiscal years beginning after December 15, 2008, including interim periods within those fiscal years, and requires retrospective application of the guidance to all periods presented. Early adoption is prohibited. The Partnership is evaluating the potential impacts of EITF 07-4 and will adopt the provisions of this guidance on January 1, 2009 and retrospectively apply the provisions to all periods presented.</w:t>
      </w:r>
    </w:p>
    <w:p>
      <w:pPr>
        <w:spacing w:after="0" w:line="219" w:lineRule="exact"/>
        <w:rPr>
          <w:rFonts w:ascii="Arial" w:cs="Arial" w:eastAsia="Arial" w:hAnsi="Arial"/>
          <w:sz w:val="18"/>
          <w:szCs w:val="18"/>
          <w:b w:val="1"/>
          <w:bCs w:val="1"/>
          <w:i w:val="1"/>
          <w:iCs w:val="1"/>
          <w:color w:val="auto"/>
        </w:rPr>
      </w:pPr>
    </w:p>
    <w:p>
      <w:pPr>
        <w:jc w:val="both"/>
        <w:ind w:left="660"/>
        <w:spacing w:after="0" w:line="301"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May 2008, the FASB issued SFAS No. 162, “The Hierarchy of Generally Accepted Accounting Principles” (“SFAS 162”), which identifies the sources of accounting principles and the framework for selecting the principles to be used in the preparation of financial statements of nongovernmental entities that are presented in conformity with Generally Accepted Accounting Principles (GAAP) in the United States (the GAAP hierarchy). SFAS 162 became effective November 15, 2008, and did not have an impact on the Partnership’s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82" w:lineRule="exact"/>
        <w:rPr>
          <w:rFonts w:ascii="Arial" w:cs="Arial" w:eastAsia="Arial" w:hAnsi="Arial"/>
          <w:sz w:val="18"/>
          <w:szCs w:val="18"/>
          <w:b w:val="1"/>
          <w:bCs w:val="1"/>
          <w:color w:val="auto"/>
        </w:rPr>
      </w:pPr>
    </w:p>
    <w:p>
      <w:pPr>
        <w:jc w:val="both"/>
        <w:ind w:left="660" w:right="2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Since April 4, 2007, the Partnership and its subsidiaries, have related party transactions with the Manager, a wholly-owned subsidiary of CMTC, which provides management services to the Partnership for a total daily fixed fee of $5.5 (except for the M/T Amore Mio II for which the daily fixed fee is $8.5) and $0.3 for the time and bare boat chartered vessels respectively. The daily fixed fee for the time chartered vessels also includes expenses related to the next scheduled special or intermediate survey as applicable and related dry docking for each vessel. Total management fees charged by the Manager in relation to the above management agreement for the year ended December 31, 2008 were $24,305 and are included in “Vessel operating expenses – related party” in the consolidated income statement. For the period from April 4, 2007 to December 31, 2007 total fees charged under the management agreement were $11,573.</w:t>
      </w:r>
    </w:p>
    <w:p>
      <w:pPr>
        <w:spacing w:after="0" w:line="229" w:lineRule="exact"/>
        <w:rPr>
          <w:rFonts w:ascii="Arial" w:cs="Arial" w:eastAsia="Arial" w:hAnsi="Arial"/>
          <w:sz w:val="18"/>
          <w:szCs w:val="18"/>
          <w:b w:val="1"/>
          <w:bCs w:val="1"/>
          <w:color w:val="auto"/>
        </w:rPr>
      </w:pPr>
    </w:p>
    <w:p>
      <w:pPr>
        <w:jc w:val="both"/>
        <w:ind w:left="660" w:right="2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According to the terms of the management agreement, the Manager charged the Partnership for extraordinary costs relating to insurances deductibles, vetting, and repairs and spares which related to unforeseen and extraordinary events totaling an amount of $1,002 for the year ended December 31, 2008. For the period from April 4, 2007 to December 31, 2007 the Manager did not charge the Partnership for such costs.</w:t>
      </w:r>
    </w:p>
    <w:p>
      <w:pPr>
        <w:spacing w:after="0" w:line="202" w:lineRule="exact"/>
        <w:rPr>
          <w:rFonts w:ascii="Arial" w:cs="Arial" w:eastAsia="Arial" w:hAnsi="Arial"/>
          <w:sz w:val="18"/>
          <w:szCs w:val="18"/>
          <w:b w:val="1"/>
          <w:bCs w:val="1"/>
          <w:color w:val="auto"/>
        </w:rPr>
      </w:pPr>
    </w:p>
    <w:p>
      <w:pPr>
        <w:jc w:val="both"/>
        <w:ind w:left="660" w:right="2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and other administrative services. The Partnership reimburses the Manager for reasonable costs and expenses incurred in connection with the provision of these services within 15 days after the Manager submits to the Partnership an invoice for such costs and expenses, together with any supporting detail that may be reasonably required. For the year ended December 31, 2008 the Manager invoiced the Partnership for such services for a total amount of $110. For the period from April 4 to December 31, 2007 the Manager did not charge any fees in connection with this agreement.</w:t>
      </w:r>
    </w:p>
    <w:p>
      <w:pPr>
        <w:spacing w:after="0" w:line="217" w:lineRule="exact"/>
        <w:rPr>
          <w:rFonts w:ascii="Arial" w:cs="Arial" w:eastAsia="Arial" w:hAnsi="Arial"/>
          <w:sz w:val="18"/>
          <w:szCs w:val="18"/>
          <w:b w:val="1"/>
          <w:bCs w:val="1"/>
          <w:color w:val="auto"/>
        </w:rPr>
      </w:pPr>
    </w:p>
    <w:p>
      <w:pPr>
        <w:jc w:val="both"/>
        <w:ind w:left="660" w:right="2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Pursuant to the Partnership’s agreement, the Partnership reimburses the CGP for all expenses which are necessary or appropriate for the conduct of the Partnership’s business. During the year ended December 31, 2008 and for the period from April 4 to December 31, 2007 the Partnership incurred $824 and $559 of these costs, respectively.</w:t>
      </w:r>
    </w:p>
    <w:p>
      <w:pPr>
        <w:spacing w:after="0" w:line="236" w:lineRule="exact"/>
        <w:rPr>
          <w:rFonts w:ascii="Arial" w:cs="Arial" w:eastAsia="Arial" w:hAnsi="Arial"/>
          <w:sz w:val="18"/>
          <w:szCs w:val="18"/>
          <w:b w:val="1"/>
          <w:bCs w:val="1"/>
          <w:color w:val="auto"/>
        </w:rPr>
      </w:pPr>
    </w:p>
    <w:p>
      <w:pPr>
        <w:ind w:left="660" w:right="220"/>
        <w:spacing w:after="0" w:line="307" w:lineRule="auto"/>
        <w:rPr>
          <w:rFonts w:ascii="Arial" w:cs="Arial" w:eastAsia="Arial" w:hAnsi="Arial"/>
          <w:sz w:val="18"/>
          <w:szCs w:val="18"/>
          <w:b w:val="1"/>
          <w:bCs w:val="1"/>
          <w:color w:val="auto"/>
        </w:rPr>
      </w:pPr>
      <w:r>
        <w:rPr>
          <w:rFonts w:ascii="Arial" w:cs="Arial" w:eastAsia="Arial" w:hAnsi="Arial"/>
          <w:sz w:val="17"/>
          <w:szCs w:val="17"/>
          <w:color w:val="auto"/>
        </w:rPr>
        <w:t>The vessel owning companies of the Initial Vessels and the vessel owning companies of M/T Attikos, M/T Amore Mio II and M/T Aristofanis had related party transactions with CMTC and its subsidiaries before their acquisition by CPP mainly for the following reasons:</w:t>
      </w:r>
    </w:p>
    <w:p>
      <w:pPr>
        <w:spacing w:after="0" w:line="201" w:lineRule="exact"/>
        <w:rPr>
          <w:rFonts w:ascii="Arial" w:cs="Arial" w:eastAsia="Arial" w:hAnsi="Arial"/>
          <w:sz w:val="18"/>
          <w:szCs w:val="18"/>
          <w:b w:val="1"/>
          <w:bCs w:val="1"/>
          <w:color w:val="auto"/>
        </w:rPr>
      </w:pPr>
    </w:p>
    <w:p>
      <w:pPr>
        <w:ind w:left="1160" w:hanging="599"/>
        <w:spacing w:after="0"/>
        <w:tabs>
          <w:tab w:leader="none" w:pos="11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Equity investment.</w:t>
      </w:r>
    </w:p>
    <w:p>
      <w:pPr>
        <w:spacing w:after="0" w:line="23" w:lineRule="exact"/>
        <w:rPr>
          <w:rFonts w:ascii="Arial" w:cs="Arial" w:eastAsia="Arial" w:hAnsi="Arial"/>
          <w:sz w:val="18"/>
          <w:szCs w:val="18"/>
          <w:color w:val="auto"/>
        </w:rPr>
      </w:pPr>
    </w:p>
    <w:p>
      <w:pPr>
        <w:ind w:left="1160" w:hanging="599"/>
        <w:spacing w:after="0"/>
        <w:tabs>
          <w:tab w:leader="none" w:pos="1160" w:val="left"/>
        </w:tabs>
        <w:numPr>
          <w:ilvl w:val="2"/>
          <w:numId w:val="97"/>
        </w:numPr>
        <w:rPr>
          <w:rFonts w:ascii="Arial" w:cs="Arial" w:eastAsia="Arial" w:hAnsi="Arial"/>
          <w:sz w:val="17"/>
          <w:szCs w:val="17"/>
          <w:color w:val="auto"/>
        </w:rPr>
      </w:pPr>
      <w:r>
        <w:rPr>
          <w:rFonts w:ascii="Arial" w:cs="Arial" w:eastAsia="Arial" w:hAnsi="Arial"/>
          <w:sz w:val="17"/>
          <w:szCs w:val="17"/>
          <w:color w:val="auto"/>
        </w:rPr>
        <w:t>Loan agreements that CMTC entered into, acting as the borrower, for the financing of the construction of five of the Initial Vessels,</w:t>
      </w:r>
    </w:p>
    <w:p>
      <w:pPr>
        <w:spacing w:after="0" w:line="20" w:lineRule="exact"/>
        <w:rPr>
          <w:rFonts w:ascii="Arial" w:cs="Arial" w:eastAsia="Arial" w:hAnsi="Arial"/>
          <w:sz w:val="17"/>
          <w:szCs w:val="17"/>
          <w:color w:val="auto"/>
        </w:rPr>
      </w:pPr>
    </w:p>
    <w:p>
      <w:pPr>
        <w:ind w:left="1160" w:hanging="599"/>
        <w:spacing w:after="0"/>
        <w:tabs>
          <w:tab w:leader="none" w:pos="11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Manager payments on behalf of the vessel owning companies and hire receipts from charterers,</w:t>
      </w:r>
    </w:p>
    <w:p>
      <w:pPr>
        <w:spacing w:after="0" w:line="8" w:lineRule="exact"/>
        <w:rPr>
          <w:rFonts w:ascii="Arial" w:cs="Arial" w:eastAsia="Arial" w:hAnsi="Arial"/>
          <w:sz w:val="18"/>
          <w:szCs w:val="18"/>
          <w:color w:val="auto"/>
        </w:rPr>
      </w:pPr>
    </w:p>
    <w:p>
      <w:pPr>
        <w:jc w:val="both"/>
        <w:ind w:left="1160" w:hanging="599"/>
        <w:spacing w:after="0" w:line="250" w:lineRule="auto"/>
        <w:tabs>
          <w:tab w:leader="none" w:pos="11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Manager fixed monthly fees, (which were based on agreements with different terms and conditions than those in the Partnership’s administrative and management agreements) for providing services such as chartering, technical support and maintenance, insurance, consulting, financial and accounting services, (Note 8),</w:t>
      </w:r>
    </w:p>
    <w:p>
      <w:pPr>
        <w:ind w:left="1160" w:hanging="599"/>
        <w:spacing w:after="0"/>
        <w:tabs>
          <w:tab w:leader="none" w:pos="11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Funds advanced/received to/from entities with common ownership, and</w:t>
      </w:r>
    </w:p>
    <w:p>
      <w:pPr>
        <w:spacing w:after="0" w:line="8" w:lineRule="exact"/>
        <w:rPr>
          <w:rFonts w:ascii="Arial" w:cs="Arial" w:eastAsia="Arial" w:hAnsi="Arial"/>
          <w:sz w:val="18"/>
          <w:szCs w:val="18"/>
          <w:color w:val="auto"/>
        </w:rPr>
      </w:pPr>
    </w:p>
    <w:p>
      <w:pPr>
        <w:ind w:left="1160" w:hanging="626"/>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Loan draw downs in excess of the advances made to the shipyard by the Manager for the funding of vessels’ extra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6720" w:hanging="652"/>
        <w:spacing w:after="0" w:line="633" w:lineRule="auto"/>
        <w:tabs>
          <w:tab w:leader="none" w:pos="66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Transactions with Related Parties – Continued </w:t>
      </w:r>
      <w:r>
        <w:rPr>
          <w:rFonts w:ascii="Arial" w:cs="Arial" w:eastAsia="Arial" w:hAnsi="Arial"/>
          <w:sz w:val="16"/>
          <w:szCs w:val="16"/>
          <w:color w:val="auto"/>
        </w:rPr>
        <w:t>Balances with related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10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4"/>
              </w:rPr>
              <w:t>2008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I.</w:t>
            </w:r>
          </w:p>
        </w:tc>
        <w:tc>
          <w:tcPr>
            <w:tcW w:w="77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Due From:</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580"/>
              <w:spacing w:after="0"/>
              <w:rPr>
                <w:sz w:val="20"/>
                <w:szCs w:val="20"/>
                <w:color w:val="auto"/>
              </w:rPr>
            </w:pPr>
            <w:r>
              <w:rPr>
                <w:rFonts w:ascii="Arial" w:cs="Arial" w:eastAsia="Arial" w:hAnsi="Arial"/>
                <w:sz w:val="18"/>
                <w:szCs w:val="18"/>
                <w:color w:val="auto"/>
              </w:rPr>
              <w:t>Vessels’ operation (a)</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r>
      <w:tr>
        <w:trPr>
          <w:trHeight w:val="223"/>
        </w:trPr>
        <w:tc>
          <w:tcPr>
            <w:tcW w:w="882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due from</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4,262</w:t>
            </w:r>
          </w:p>
        </w:tc>
      </w:tr>
      <w:tr>
        <w:trPr>
          <w:trHeight w:val="216"/>
        </w:trPr>
        <w:tc>
          <w:tcPr>
            <w:tcW w:w="1080" w:type="dxa"/>
            <w:vAlign w:val="bottom"/>
            <w:tcBorders>
              <w:top w:val="single" w:sz="8" w:color="CCEEFF"/>
            </w:tcBorders>
          </w:tcPr>
          <w:p>
            <w:pPr>
              <w:spacing w:after="0"/>
              <w:rPr>
                <w:sz w:val="18"/>
                <w:szCs w:val="18"/>
                <w:color w:val="auto"/>
              </w:rPr>
            </w:pPr>
          </w:p>
        </w:tc>
        <w:tc>
          <w:tcPr>
            <w:tcW w:w="77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II.</w:t>
            </w:r>
          </w:p>
        </w:tc>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Due To:</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580"/>
              <w:spacing w:after="0"/>
              <w:rPr>
                <w:sz w:val="20"/>
                <w:szCs w:val="20"/>
                <w:color w:val="auto"/>
              </w:rPr>
            </w:pPr>
            <w:r>
              <w:rPr>
                <w:rFonts w:ascii="Arial" w:cs="Arial" w:eastAsia="Arial" w:hAnsi="Arial"/>
                <w:sz w:val="18"/>
                <w:szCs w:val="18"/>
                <w:color w:val="auto"/>
              </w:rPr>
              <w:t>CMTC - loans current portion (b)</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5,933</w:t>
            </w:r>
          </w:p>
        </w:tc>
      </w:tr>
      <w:tr>
        <w:trPr>
          <w:trHeight w:val="216"/>
        </w:trPr>
        <w:tc>
          <w:tcPr>
            <w:tcW w:w="8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CMTC - loans long-term portion (b)</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62,984</w:t>
            </w:r>
          </w:p>
        </w:tc>
      </w:tr>
      <w:tr>
        <w:trPr>
          <w:trHeight w:val="216"/>
        </w:trPr>
        <w:tc>
          <w:tcPr>
            <w:tcW w:w="8820" w:type="dxa"/>
            <w:vAlign w:val="bottom"/>
            <w:gridSpan w:val="2"/>
          </w:tcPr>
          <w:p>
            <w:pPr>
              <w:ind w:left="580"/>
              <w:spacing w:after="0"/>
              <w:rPr>
                <w:sz w:val="20"/>
                <w:szCs w:val="20"/>
                <w:color w:val="auto"/>
              </w:rPr>
            </w:pPr>
            <w:r>
              <w:rPr>
                <w:rFonts w:ascii="Arial" w:cs="Arial" w:eastAsia="Arial" w:hAnsi="Arial"/>
                <w:sz w:val="18"/>
                <w:szCs w:val="18"/>
                <w:color w:val="auto"/>
              </w:rPr>
              <w:t>Manager – payments on behalf of Capital Product Partners L.P. (c)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8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Other affiliated companies (d)</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 due to</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68,982</w:t>
            </w:r>
          </w:p>
        </w:tc>
      </w:tr>
      <w:tr>
        <w:trPr>
          <w:trHeight w:val="27"/>
        </w:trPr>
        <w:tc>
          <w:tcPr>
            <w:tcW w:w="10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-1421130</wp:posOffset>
            </wp:positionV>
            <wp:extent cx="6858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-1147445</wp:posOffset>
            </wp:positionV>
            <wp:extent cx="685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-581660</wp:posOffset>
            </wp:positionV>
            <wp:extent cx="6858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368300" cy="1421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8300" cy="1421765"/>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-307975</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1320" w:hanging="651"/>
        <w:spacing w:after="0" w:line="263" w:lineRule="auto"/>
        <w:tabs>
          <w:tab w:leader="none" w:pos="132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Vessels’ Operation: </w:t>
      </w:r>
      <w:r>
        <w:rPr>
          <w:rFonts w:ascii="Arial" w:cs="Arial" w:eastAsia="Arial" w:hAnsi="Arial"/>
          <w:sz w:val="18"/>
          <w:szCs w:val="18"/>
          <w:color w:val="auto"/>
        </w:rPr>
        <w:t>The balance in this line-item relates to funds that are received from charterers less disbursements made by the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behalf of the vessel-owning subsidiaries. As of December 31, 2008 and 2007, this line item balance amounted to $0 and $4,262 respectively.</w:t>
      </w:r>
    </w:p>
    <w:p>
      <w:pPr>
        <w:spacing w:after="0" w:line="236" w:lineRule="exact"/>
        <w:rPr>
          <w:rFonts w:ascii="Arial" w:cs="Arial" w:eastAsia="Arial" w:hAnsi="Arial"/>
          <w:sz w:val="18"/>
          <w:szCs w:val="18"/>
          <w:b w:val="1"/>
          <w:bCs w:val="1"/>
          <w:i w:val="1"/>
          <w:iCs w:val="1"/>
          <w:color w:val="auto"/>
        </w:rPr>
      </w:pPr>
    </w:p>
    <w:p>
      <w:pPr>
        <w:jc w:val="both"/>
        <w:ind w:left="1320" w:hanging="651"/>
        <w:spacing w:after="0" w:line="256" w:lineRule="auto"/>
        <w:tabs>
          <w:tab w:leader="none" w:pos="132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CMTC Loans: </w:t>
      </w:r>
      <w:r>
        <w:rPr>
          <w:rFonts w:ascii="Arial" w:cs="Arial" w:eastAsia="Arial" w:hAnsi="Arial"/>
          <w:sz w:val="18"/>
          <w:szCs w:val="18"/>
          <w:color w:val="auto"/>
        </w:rPr>
        <w:t>For the financing of the construction of the M/T Atlantas, M/T Aktoras, M/T Aiolos, M/T Avax, M/T Assos,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M/T Amore Mio II CMTC was the borrower under loan agreements with four separate banks and the vessel-owning companies acted as guarantors under these loans (related party loans). On April 4, 2007, the M/T Atlantas’, M/T Aktoras’, M/T Aiolos’, M/T Avax’ and M/T Assos’ outstanding loan balances, which amounted to $133,958, were settled in full by CMTC by the offering proceeds (Note 1).</w:t>
      </w:r>
    </w:p>
    <w:p>
      <w:pPr>
        <w:spacing w:after="0" w:line="245" w:lineRule="exact"/>
        <w:rPr>
          <w:rFonts w:ascii="Arial" w:cs="Arial" w:eastAsia="Arial" w:hAnsi="Arial"/>
          <w:sz w:val="18"/>
          <w:szCs w:val="18"/>
          <w:b w:val="1"/>
          <w:bCs w:val="1"/>
          <w:i w:val="1"/>
          <w:iCs w:val="1"/>
          <w:color w:val="auto"/>
        </w:rPr>
      </w:pPr>
    </w:p>
    <w:p>
      <w:pPr>
        <w:ind w:left="1300" w:right="2400"/>
        <w:spacing w:after="0" w:line="576"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of December 31, 2008 and 2007, the balance of the related party loans was $0 and $68,917 respectively. A summary of the CMTC loans is shown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380" w:type="dxa"/>
            <w:vAlign w:val="bottom"/>
          </w:tcPr>
          <w:p>
            <w:pPr>
              <w:ind w:left="980"/>
              <w:spacing w:after="0"/>
              <w:rPr>
                <w:sz w:val="20"/>
                <w:szCs w:val="20"/>
                <w:color w:val="auto"/>
              </w:rPr>
            </w:pPr>
            <w:r>
              <w:rPr>
                <w:rFonts w:ascii="Arial" w:cs="Arial" w:eastAsia="Arial" w:hAnsi="Arial"/>
                <w:sz w:val="18"/>
                <w:szCs w:val="18"/>
                <w:b w:val="1"/>
                <w:bCs w:val="1"/>
                <w:color w:val="auto"/>
              </w:rPr>
              <w:t>Vessel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vMerge w:val="restart"/>
            <w:shd w:val="clear" w:color="auto" w:fill="CCEEFF"/>
          </w:tcPr>
          <w:p>
            <w:pPr>
              <w:ind w:left="1160"/>
              <w:spacing w:after="0"/>
              <w:rPr>
                <w:sz w:val="20"/>
                <w:szCs w:val="20"/>
                <w:color w:val="auto"/>
              </w:rPr>
            </w:pPr>
            <w:r>
              <w:rPr>
                <w:rFonts w:ascii="Arial" w:cs="Arial" w:eastAsia="Arial" w:hAnsi="Arial"/>
                <w:sz w:val="18"/>
                <w:szCs w:val="18"/>
                <w:b w:val="1"/>
                <w:bCs w:val="1"/>
                <w:color w:val="auto"/>
              </w:rPr>
              <w:t>(i)</w:t>
            </w:r>
          </w:p>
        </w:tc>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Issued July 31, 2007 repaid by CMTC in March,</w:t>
            </w:r>
          </w:p>
        </w:tc>
        <w:tc>
          <w:tcPr>
            <w:tcW w:w="2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CCEEFF"/>
            </w:tcBorders>
            <w:vMerge w:val="continue"/>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2008.</w:t>
            </w:r>
          </w:p>
        </w:tc>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M/T Amore Mio II</w:t>
            </w:r>
          </w:p>
        </w:tc>
        <w:tc>
          <w:tcPr>
            <w:tcW w:w="15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9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68,917</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Current portion</w:t>
            </w:r>
          </w:p>
        </w:tc>
        <w:tc>
          <w:tcPr>
            <w:tcW w:w="23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960" w:type="dxa"/>
            <w:vAlign w:val="bottom"/>
          </w:tcPr>
          <w:p>
            <w:pPr>
              <w:ind w:left="260"/>
              <w:spacing w:after="0"/>
              <w:rPr>
                <w:sz w:val="20"/>
                <w:szCs w:val="20"/>
                <w:color w:val="auto"/>
              </w:rPr>
            </w:pPr>
            <w:r>
              <w:rPr>
                <w:rFonts w:ascii="Arial" w:cs="Arial" w:eastAsia="Arial" w:hAnsi="Arial"/>
                <w:sz w:val="18"/>
                <w:szCs w:val="18"/>
                <w:b w:val="1"/>
                <w:bCs w:val="1"/>
                <w:color w:val="auto"/>
              </w:rPr>
              <w:t>Long-term portion</w:t>
            </w:r>
          </w:p>
        </w:tc>
        <w:tc>
          <w:tcPr>
            <w:tcW w:w="2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62,984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-753110</wp:posOffset>
            </wp:positionV>
            <wp:extent cx="6858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728345" cy="753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345" cy="753745"/>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-307975</wp:posOffset>
            </wp:positionV>
            <wp:extent cx="6858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color w:val="auto"/>
        </w:rPr>
        <w:t>The related party loan bore interest at LIBOR plus a margin of 75 basis points payable quarterly. The bank loan was secured by a first preferred mortgage on the respective vessels and a general assignment of the earnings, insurances, mortgage interest insurance, and requisition compensation of the respective vessels. The weighted average interest rate for the related party loans for years ended December 31, 2008, 2007 and 2006 was 4.06%, 5.81% and 6.18% respectively. Interest expense for the related party loans for the years ended December 31, 2008, 2007 and 2006 amounted to $689, $3,594 and $3,144 respectively.</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 Continued</w:t>
      </w:r>
    </w:p>
    <w:p>
      <w:pPr>
        <w:spacing w:after="0" w:line="282" w:lineRule="exact"/>
        <w:rPr>
          <w:rFonts w:ascii="Arial" w:cs="Arial" w:eastAsia="Arial" w:hAnsi="Arial"/>
          <w:sz w:val="18"/>
          <w:szCs w:val="18"/>
          <w:b w:val="1"/>
          <w:bCs w:val="1"/>
          <w:color w:val="auto"/>
        </w:rPr>
      </w:pPr>
    </w:p>
    <w:p>
      <w:pPr>
        <w:ind w:left="1320" w:hanging="651"/>
        <w:spacing w:after="0"/>
        <w:tabs>
          <w:tab w:leader="none" w:pos="1320"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CMTC Loans – Continued:</w:t>
      </w:r>
    </w:p>
    <w:p>
      <w:pPr>
        <w:spacing w:after="0" w:line="278" w:lineRule="exact"/>
        <w:rPr>
          <w:rFonts w:ascii="Arial" w:cs="Arial" w:eastAsia="Arial" w:hAnsi="Arial"/>
          <w:sz w:val="18"/>
          <w:szCs w:val="18"/>
          <w:b w:val="1"/>
          <w:bCs w:val="1"/>
          <w:i w:val="1"/>
          <w:iCs w:val="1"/>
          <w:color w:val="auto"/>
        </w:rPr>
      </w:pPr>
    </w:p>
    <w:p>
      <w:pPr>
        <w:jc w:val="both"/>
        <w:ind w:left="1300" w:right="3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loan agreement contained other customary ship finance covenants, including restrictions as to: changes in management and ownership of the mortgaged vessels, the incurrence of additional indebtedness, the mortgaging of vessels, the minimum cash requirement, as well as minimum requirements as to the applicable vessels’ market value and insured value in relation to the outstanding balance of the applicable loan. Also the borrower may pay dividends or make distributions when no event of default has occurred and the payment of such dividend or distribution has not resulted in a breach of any of the financial covenants. As of December 31, 2007, we were in compliance with all debt covenants.</w:t>
      </w:r>
    </w:p>
    <w:p>
      <w:pPr>
        <w:spacing w:after="0" w:line="245" w:lineRule="exact"/>
        <w:rPr>
          <w:rFonts w:ascii="Arial" w:cs="Arial" w:eastAsia="Arial" w:hAnsi="Arial"/>
          <w:sz w:val="18"/>
          <w:szCs w:val="18"/>
          <w:b w:val="1"/>
          <w:bCs w:val="1"/>
          <w:i w:val="1"/>
          <w:iCs w:val="1"/>
          <w:color w:val="auto"/>
        </w:rPr>
      </w:pPr>
    </w:p>
    <w:p>
      <w:pPr>
        <w:ind w:left="13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On March 20, 2008 the loan balance regarding the M/T Amore Mio II was settled by CMTC.</w:t>
      </w:r>
    </w:p>
    <w:p>
      <w:pPr>
        <w:spacing w:after="0" w:line="274" w:lineRule="exact"/>
        <w:rPr>
          <w:rFonts w:ascii="Arial" w:cs="Arial" w:eastAsia="Arial" w:hAnsi="Arial"/>
          <w:sz w:val="18"/>
          <w:szCs w:val="18"/>
          <w:b w:val="1"/>
          <w:bCs w:val="1"/>
          <w:i w:val="1"/>
          <w:iCs w:val="1"/>
          <w:color w:val="auto"/>
        </w:rPr>
      </w:pPr>
    </w:p>
    <w:p>
      <w:pPr>
        <w:jc w:val="both"/>
        <w:ind w:left="1320" w:hanging="651"/>
        <w:spacing w:after="0" w:line="266" w:lineRule="auto"/>
        <w:tabs>
          <w:tab w:leader="none" w:pos="1320"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Manager - Payments on Behalf of Capital Product Partners L.P</w:t>
      </w:r>
      <w:r>
        <w:rPr>
          <w:rFonts w:ascii="Arial" w:cs="Arial" w:eastAsia="Arial" w:hAnsi="Arial"/>
          <w:sz w:val="18"/>
          <w:szCs w:val="18"/>
          <w:b w:val="1"/>
          <w:bCs w:val="1"/>
          <w:color w:val="auto"/>
        </w:rPr>
        <w:t>.</w:t>
      </w:r>
      <w:r>
        <w:rPr>
          <w:rFonts w:ascii="Arial" w:cs="Arial" w:eastAsia="Arial" w:hAnsi="Arial"/>
          <w:sz w:val="18"/>
          <w:szCs w:val="18"/>
          <w:color w:val="auto"/>
        </w:rPr>
        <w:t>: Following the IPO, the Manager invoices the Partnership for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makes on behalf of the Partnership and its subsidiaries. The Partnership’s total outstanding balance due to Manager as of December 31, 2008 and 2007 amounted to $584 and $28 respectively.</w:t>
      </w:r>
    </w:p>
    <w:p>
      <w:pPr>
        <w:spacing w:after="0" w:line="233" w:lineRule="exact"/>
        <w:rPr>
          <w:rFonts w:ascii="Arial" w:cs="Arial" w:eastAsia="Arial" w:hAnsi="Arial"/>
          <w:sz w:val="18"/>
          <w:szCs w:val="18"/>
          <w:b w:val="1"/>
          <w:bCs w:val="1"/>
          <w:i w:val="1"/>
          <w:iCs w:val="1"/>
          <w:color w:val="auto"/>
        </w:rPr>
      </w:pPr>
    </w:p>
    <w:p>
      <w:pPr>
        <w:ind w:left="1320" w:hanging="651"/>
        <w:spacing w:after="0"/>
        <w:tabs>
          <w:tab w:leader="none" w:pos="1320" w:val="left"/>
        </w:tabs>
        <w:numPr>
          <w:ilvl w:val="1"/>
          <w:numId w:val="10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Other Affiliated Companies: </w:t>
      </w:r>
      <w:r>
        <w:rPr>
          <w:rFonts w:ascii="Arial" w:cs="Arial" w:eastAsia="Arial" w:hAnsi="Arial"/>
          <w:sz w:val="16"/>
          <w:szCs w:val="16"/>
          <w:color w:val="auto"/>
        </w:rPr>
        <w:t>The balance in this line-item related to funds advanced/received to/from entity under common ownership.</w:t>
      </w:r>
    </w:p>
    <w:p>
      <w:pPr>
        <w:spacing w:after="0" w:line="200" w:lineRule="exact"/>
        <w:rPr>
          <w:rFonts w:ascii="Arial" w:cs="Arial" w:eastAsia="Arial" w:hAnsi="Arial"/>
          <w:sz w:val="16"/>
          <w:szCs w:val="16"/>
          <w:b w:val="1"/>
          <w:bCs w:val="1"/>
          <w:i w:val="1"/>
          <w:iCs w:val="1"/>
          <w:color w:val="auto"/>
        </w:rPr>
      </w:pPr>
    </w:p>
    <w:p>
      <w:pPr>
        <w:spacing w:after="0" w:line="367" w:lineRule="exact"/>
        <w:rPr>
          <w:rFonts w:ascii="Arial" w:cs="Arial" w:eastAsia="Arial" w:hAnsi="Arial"/>
          <w:sz w:val="16"/>
          <w:szCs w:val="16"/>
          <w:b w:val="1"/>
          <w:bCs w:val="1"/>
          <w:i w:val="1"/>
          <w:iCs w:val="1"/>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Vessels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An analysis of vessels is as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8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Vessels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686,275</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544,836</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544,836</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(19,637)</w:t>
            </w:r>
          </w:p>
        </w:tc>
      </w:tr>
      <w:tr>
        <w:trPr>
          <w:trHeight w:val="27"/>
        </w:trPr>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641,607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525,199</w:t>
            </w:r>
          </w:p>
        </w:tc>
      </w:tr>
      <w:tr>
        <w:trPr>
          <w:trHeight w:val="27"/>
        </w:trPr>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-718820</wp:posOffset>
            </wp:positionV>
            <wp:extent cx="6858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-444500</wp:posOffset>
            </wp:positionV>
            <wp:extent cx="685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-153670</wp:posOffset>
            </wp:positionV>
            <wp:extent cx="6858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35"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All of the Partnership’s vessels having total net book value of $641,607 as of December 31, 2008 have been provided as collateral to secure the Partnership’s two credit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for the years ended December 31, 2008, 2007 and 2006 amounted to $0, $223 and $1,455 respectively.</w:t>
      </w:r>
    </w:p>
    <w:p>
      <w:pPr>
        <w:spacing w:after="0" w:line="279" w:lineRule="exact"/>
        <w:rPr>
          <w:sz w:val="20"/>
          <w:szCs w:val="20"/>
          <w:color w:val="auto"/>
        </w:rPr>
      </w:pPr>
    </w:p>
    <w:p>
      <w:pPr>
        <w:jc w:val="both"/>
        <w:ind w:right="320"/>
        <w:spacing w:after="0" w:line="290" w:lineRule="auto"/>
        <w:rPr>
          <w:sz w:val="20"/>
          <w:szCs w:val="20"/>
          <w:color w:val="auto"/>
        </w:rPr>
      </w:pPr>
      <w:r>
        <w:rPr>
          <w:rFonts w:ascii="Arial" w:cs="Arial" w:eastAsia="Arial" w:hAnsi="Arial"/>
          <w:sz w:val="16"/>
          <w:szCs w:val="16"/>
          <w:color w:val="auto"/>
        </w:rPr>
        <w:t>On January 29, March 27, April 30, June 17, and August 20, 2008 the Partnership acquired from CMTC the shares of the vessel owning companies of M/T Alexandros II, M/T Amore Mio II, M/T Aristofanis, M/T Aristotelis II and M/T Aris II respectively, for a total purchase price of $251,305, including cash and share consideration of $203,500 and $47,805, respectively (Note 1). In 2008, the M/T Aristofanis underwent improvements which amounted to $1,194 and which were capitalized at the vessel’s historic cost. These improvements took place before the acquisition of the vessel by the Partnership. The vessels have been recorded in the Partnership’s financial statements at the amount of $236,222 which represents net book value of vessels reflected in CMTC consolidated financial statements at the time of transfer to the Partnership. The amount of the purchase price in excess of CMTC’s basis of the assets of $15,083 was recognized as a reduction of partners’ equity. Of the total excess, the amount of $3,755 represents the cash purchase price in excess of CMTC’s basis of the acquired vessels and is presented as a financing activity in the statements of cash flows.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Vessels – Continued</w:t>
      </w:r>
    </w:p>
    <w:p>
      <w:pPr>
        <w:spacing w:after="0" w:line="283" w:lineRule="exact"/>
        <w:rPr>
          <w:sz w:val="20"/>
          <w:szCs w:val="20"/>
          <w:color w:val="auto"/>
        </w:rPr>
      </w:pPr>
    </w:p>
    <w:p>
      <w:pPr>
        <w:jc w:val="both"/>
        <w:ind w:right="320"/>
        <w:spacing w:after="0" w:line="296" w:lineRule="auto"/>
        <w:rPr>
          <w:sz w:val="20"/>
          <w:szCs w:val="20"/>
          <w:color w:val="auto"/>
        </w:rPr>
      </w:pPr>
      <w:r>
        <w:rPr>
          <w:rFonts w:ascii="Arial" w:cs="Arial" w:eastAsia="Arial" w:hAnsi="Arial"/>
          <w:sz w:val="16"/>
          <w:szCs w:val="16"/>
          <w:color w:val="auto"/>
        </w:rPr>
        <w:t>On May 8, July 13, September 20, September 24, and September 28, 2007, the Partnership acquired from CMTC the shares of vessel owning companies of M/T Atrotos, M/T Akeraios, M/T Apostolos, M/T Attikos, and M/T Anemos I, respectively, for a total purchase price of $247,000. The vessels have been recorded in the Partnership’s financial statements at the amount of $166,134 which represents net book value of vessels reflected in CMTC consolidated financial statements at the time of transfer to the Partnership. The amount of the purchase price in excess of CMTC’s basis of the assets of $80,866 was recognized as a reduction of partners’ equity and is presented also as a financing activity in the statements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net book value of the Initial Vessels upon their acquisition by the Partnership amounted to $273,548.</w:t>
      </w:r>
    </w:p>
    <w:p>
      <w:pPr>
        <w:spacing w:after="0" w:line="275"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80" w:type="dxa"/>
            <w:vAlign w:val="bottom"/>
          </w:tcPr>
          <w:p>
            <w:pPr>
              <w:spacing w:after="0"/>
              <w:rPr>
                <w:sz w:val="20"/>
                <w:szCs w:val="20"/>
                <w:color w:val="auto"/>
              </w:rPr>
            </w:pPr>
          </w:p>
        </w:tc>
        <w:tc>
          <w:tcPr>
            <w:tcW w:w="4060" w:type="dxa"/>
            <w:vAlign w:val="bottom"/>
          </w:tcPr>
          <w:p>
            <w:pPr>
              <w:ind w:left="120"/>
              <w:spacing w:after="0"/>
              <w:rPr>
                <w:sz w:val="20"/>
                <w:szCs w:val="20"/>
                <w:color w:val="auto"/>
              </w:rPr>
            </w:pPr>
            <w:r>
              <w:rPr>
                <w:rFonts w:ascii="Arial" w:cs="Arial" w:eastAsia="Arial" w:hAnsi="Arial"/>
                <w:sz w:val="18"/>
                <w:szCs w:val="18"/>
                <w:b w:val="1"/>
                <w:bCs w:val="1"/>
                <w:color w:val="auto"/>
              </w:rPr>
              <w:t>Bank Loans</w:t>
            </w:r>
          </w:p>
        </w:tc>
        <w:tc>
          <w:tcPr>
            <w:tcW w:w="3260" w:type="dxa"/>
            <w:vAlign w:val="bottom"/>
          </w:tcPr>
          <w:p>
            <w:pPr>
              <w:ind w:left="1420"/>
              <w:spacing w:after="0"/>
              <w:rPr>
                <w:sz w:val="20"/>
                <w:szCs w:val="20"/>
                <w:color w:val="auto"/>
              </w:rPr>
            </w:pPr>
            <w:r>
              <w:rPr>
                <w:rFonts w:ascii="Arial" w:cs="Arial" w:eastAsia="Arial" w:hAnsi="Arial"/>
                <w:sz w:val="18"/>
                <w:szCs w:val="18"/>
                <w:b w:val="1"/>
                <w:bCs w:val="1"/>
                <w:color w:val="auto"/>
              </w:rPr>
              <w:t>Entity</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2008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in April, 2007 maturing in June, 2017</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Product Partners L.P.</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274,500</w:t>
            </w: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(ii)</w:t>
            </w:r>
          </w:p>
        </w:tc>
        <w:tc>
          <w:tcPr>
            <w:tcW w:w="4060" w:type="dxa"/>
            <w:vAlign w:val="bottom"/>
          </w:tcPr>
          <w:p>
            <w:pPr>
              <w:ind w:left="120"/>
              <w:spacing w:after="0"/>
              <w:rPr>
                <w:sz w:val="20"/>
                <w:szCs w:val="20"/>
                <w:color w:val="auto"/>
              </w:rPr>
            </w:pPr>
            <w:r>
              <w:rPr>
                <w:rFonts w:ascii="Arial" w:cs="Arial" w:eastAsia="Arial" w:hAnsi="Arial"/>
                <w:sz w:val="18"/>
                <w:szCs w:val="18"/>
                <w:color w:val="auto"/>
              </w:rPr>
              <w:t>Issued in March, 2008 maturing in March 2018</w:t>
            </w:r>
          </w:p>
        </w:tc>
        <w:tc>
          <w:tcPr>
            <w:tcW w:w="3260" w:type="dxa"/>
            <w:vAlign w:val="bottom"/>
          </w:tcPr>
          <w:p>
            <w:pPr>
              <w:ind w:left="180"/>
              <w:spacing w:after="0"/>
              <w:rPr>
                <w:sz w:val="20"/>
                <w:szCs w:val="20"/>
                <w:color w:val="auto"/>
              </w:rPr>
            </w:pPr>
            <w:r>
              <w:rPr>
                <w:rFonts w:ascii="Arial" w:cs="Arial" w:eastAsia="Arial" w:hAnsi="Arial"/>
                <w:sz w:val="18"/>
                <w:szCs w:val="18"/>
                <w:color w:val="auto"/>
              </w:rPr>
              <w:t>Capital Product Partners L.P.</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Issued in June 2005 repaid by CMTC in April 2008</w:t>
            </w: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Forbes Maritime Co.</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326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474,000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282,580</w:t>
            </w:r>
          </w:p>
        </w:tc>
      </w:tr>
      <w:tr>
        <w:trPr>
          <w:trHeight w:val="223"/>
        </w:trPr>
        <w:tc>
          <w:tcPr>
            <w:tcW w:w="58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Current portion</w:t>
            </w:r>
          </w:p>
        </w:tc>
        <w:tc>
          <w:tcPr>
            <w:tcW w:w="3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b w:val="1"/>
                <w:bCs w:val="1"/>
                <w:color w:val="auto"/>
              </w:rPr>
              <w:t>Long-term portion</w:t>
            </w:r>
          </w:p>
        </w:tc>
        <w:tc>
          <w:tcPr>
            <w:tcW w:w="326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474,000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281,812</w:t>
            </w:r>
          </w:p>
        </w:tc>
      </w:tr>
      <w:tr>
        <w:trPr>
          <w:trHeight w:val="27"/>
        </w:trPr>
        <w:tc>
          <w:tcPr>
            <w:tcW w:w="5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-890270</wp:posOffset>
            </wp:positionV>
            <wp:extent cx="6858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-615950</wp:posOffset>
            </wp:positionV>
            <wp:extent cx="6858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-307975</wp:posOffset>
            </wp:positionV>
            <wp:extent cx="685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3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April 4, 2007, the M/T Arionas’, M/T Agisilaos’ and M/T Axios’ outstanding loan balances, which amounted to $79,885, were settled in full by CMTC by the offering proceeds (Note 1). Furthermore, on September 6, 2007, and April 29, 2008 the outstanding loan balances of M/T Attikos and M/T Aristofanis which amounted to $7,000 and $8,080 were fully paid by CMTC. Interest expense for the combined loans for the years ended December 31, 2008, 2007 and 2006 amounted to $124, $1,856 and $1,915 respectively.</w:t>
      </w:r>
    </w:p>
    <w:p>
      <w:pPr>
        <w:spacing w:after="0" w:line="24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On March 22, 2007, the Partnership entered into a loan agreement with a syndicate of financial institutions including HSH Nordbank AG, Hamburg for a revolving credit facility, of up to $370 million for the financing of the acquisition cost, or part thereof, up to fifteen medium range product tankers. Borrowings under this credit facility are jointly and severally secured by the vessel owning companies of the fifteen vessels (Initial and Committed Vessels) and bears interest at a rate of 0.75% per annum over US$ LIBOR. This credit facility is non amortizing up to June 2012 and will be repaid in twenty equal consecutive quarterly installments commencing in September, 2012 plus a balloon payment due in June, 2017. Loan commitment fees are calculated at 0.20% p.a. on any undrawn amount and are paid quarterly.</w:t>
      </w:r>
    </w:p>
    <w:p>
      <w:pPr>
        <w:jc w:val="both"/>
        <w:ind w:right="240"/>
        <w:spacing w:after="0" w:line="260" w:lineRule="auto"/>
        <w:rPr>
          <w:sz w:val="20"/>
          <w:szCs w:val="20"/>
          <w:color w:val="auto"/>
        </w:rPr>
      </w:pPr>
      <w:r>
        <w:rPr>
          <w:rFonts w:ascii="Arial" w:cs="Arial" w:eastAsia="Arial" w:hAnsi="Arial"/>
          <w:sz w:val="18"/>
          <w:szCs w:val="18"/>
          <w:color w:val="auto"/>
        </w:rPr>
        <w:t>The credit facility of up to $370,000 was amended on September 19, 2007 to include the financing of the acquisition cost of the M/T Attikos and was further supplemented on June 11, 2008 to, amongst others, amend the provisions relating to security offered under the facility.</w:t>
      </w:r>
    </w:p>
    <w:p>
      <w:pPr>
        <w:spacing w:after="0" w:line="239"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On March 19, 2008 the Partnership entered into a new loan agreement with a syndicate of financial institutions including HSH Nordbank AG (the “Agent”), for a non amortizing credit facility, of up to $350,000 for the financing of:</w:t>
      </w:r>
    </w:p>
    <w:p>
      <w:pPr>
        <w:spacing w:after="0" w:line="1"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Partial acquisition cost of up to $57,500 for Amore Mio II and Aristofanis</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 of the acquisition cost of up to $52,500 for M/T Alkiviadis and M/T Aristidis</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 of the acquisition cost of up to $240,000 for any further modern tanker</w:t>
      </w:r>
    </w:p>
    <w:p>
      <w:pPr>
        <w:spacing w:after="0" w:line="264"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In addition the Partnership drew from this credit facility the amount of $28,000 and $22,000 in order to partial finance the acquisition of the shares of the vessel owning companies of the M/T Aristotelis II and M/T Aris II respectively.</w:t>
      </w:r>
    </w:p>
    <w:p>
      <w:pPr>
        <w:spacing w:after="0" w:line="22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Borrowings under this credit facility are jointly and severally secured by the vessel owning companies of the collateral vessels and bear interest at a rate of 1.10% per annum over US$ LIBOR. This credit facility is non amortizing up to March 2013 and will be repaid by twenty equal consecutive three month installments commencing in June, 2013 plus a balloon payment due in March, 2018. Loan commitment fees are calculated at 0.325% p.a. on any amount not drawn-down and are paid quarterly.</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Partnership’s drawn downs under its credit facilities are as follows:</w:t>
      </w: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7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rPr>
              <w:t>Vessel / Entity</w:t>
            </w:r>
          </w:p>
        </w:tc>
        <w:tc>
          <w:tcPr>
            <w:tcW w:w="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0" w:type="dxa"/>
            <w:vAlign w:val="bottom"/>
          </w:tcPr>
          <w:p>
            <w:pPr>
              <w:spacing w:after="0"/>
              <w:rPr>
                <w:sz w:val="18"/>
                <w:szCs w:val="18"/>
                <w:color w:val="auto"/>
              </w:rPr>
            </w:pPr>
          </w:p>
        </w:tc>
        <w:tc>
          <w:tcPr>
            <w:tcW w:w="2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370,000Credit Facility</w:t>
            </w:r>
          </w:p>
        </w:tc>
        <w:tc>
          <w:tcPr>
            <w:tcW w:w="40" w:type="dxa"/>
            <w:vAlign w:val="bottom"/>
          </w:tcPr>
          <w:p>
            <w:pPr>
              <w:spacing w:after="0"/>
              <w:rPr>
                <w:sz w:val="18"/>
                <w:szCs w:val="18"/>
                <w:color w:val="auto"/>
              </w:rPr>
            </w:pPr>
          </w:p>
        </w:tc>
        <w:tc>
          <w:tcPr>
            <w:tcW w:w="26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350,000 Credit Facility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1440" w:type="dxa"/>
            <w:vAlign w:val="bottom"/>
          </w:tcPr>
          <w:p>
            <w:pPr>
              <w:spacing w:after="0"/>
              <w:rPr>
                <w:sz w:val="22"/>
                <w:szCs w:val="22"/>
                <w:color w:val="auto"/>
              </w:rPr>
            </w:pPr>
          </w:p>
        </w:tc>
        <w:tc>
          <w:tcPr>
            <w:tcW w:w="40" w:type="dxa"/>
            <w:vAlign w:val="bottom"/>
            <w:vMerge w:val="restart"/>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vMerge w:val="restart"/>
          </w:tcPr>
          <w:p>
            <w:pPr>
              <w:spacing w:after="0"/>
              <w:rPr>
                <w:sz w:val="22"/>
                <w:szCs w:val="22"/>
                <w:color w:val="auto"/>
              </w:rPr>
            </w:pPr>
          </w:p>
        </w:tc>
        <w:tc>
          <w:tcPr>
            <w:tcW w:w="26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Partners L.P.</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04/04/2007</w:t>
            </w:r>
          </w:p>
        </w:tc>
        <w:tc>
          <w:tcPr>
            <w:tcW w:w="40" w:type="dxa"/>
            <w:vAlign w:val="bottom"/>
            <w:vMerge w:val="continue"/>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8"/>
                <w:szCs w:val="18"/>
                <w:color w:val="auto"/>
              </w:rPr>
              <w:t>M/T Atrotos</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05/08/2007</w:t>
            </w:r>
          </w:p>
        </w:tc>
        <w:tc>
          <w:tcPr>
            <w:tcW w:w="2220" w:type="dxa"/>
            <w:vAlign w:val="bottom"/>
            <w:gridSpan w:val="3"/>
          </w:tcPr>
          <w:p>
            <w:pPr>
              <w:ind w:left="1700"/>
              <w:spacing w:after="0"/>
              <w:rPr>
                <w:sz w:val="20"/>
                <w:szCs w:val="20"/>
                <w:color w:val="auto"/>
              </w:rPr>
            </w:pPr>
            <w:r>
              <w:rPr>
                <w:rFonts w:ascii="Arial" w:cs="Arial" w:eastAsia="Arial" w:hAnsi="Arial"/>
                <w:sz w:val="18"/>
                <w:szCs w:val="18"/>
                <w:color w:val="auto"/>
                <w:w w:val="90"/>
              </w:rPr>
              <w:t>56,000</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M/T Akeraios</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07/13/2007</w:t>
            </w:r>
          </w:p>
        </w:tc>
        <w:tc>
          <w:tcPr>
            <w:tcW w:w="40" w:type="dxa"/>
            <w:vAlign w:val="bottom"/>
            <w:vMerge w:val="continue"/>
          </w:tcPr>
          <w:p>
            <w:pPr>
              <w:spacing w:after="0"/>
              <w:rPr>
                <w:sz w:val="18"/>
                <w:szCs w:val="18"/>
                <w:color w:val="auto"/>
              </w:rPr>
            </w:pPr>
          </w:p>
        </w:tc>
        <w:tc>
          <w:tcPr>
            <w:tcW w:w="214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83"/>
              </w:rPr>
              <w:t>56,000</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8"/>
                <w:szCs w:val="18"/>
                <w:color w:val="auto"/>
              </w:rPr>
              <w:t>M/T Apostolos</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09/20/2007</w:t>
            </w:r>
          </w:p>
        </w:tc>
        <w:tc>
          <w:tcPr>
            <w:tcW w:w="2220" w:type="dxa"/>
            <w:vAlign w:val="bottom"/>
            <w:gridSpan w:val="3"/>
          </w:tcPr>
          <w:p>
            <w:pPr>
              <w:ind w:left="1700"/>
              <w:spacing w:after="0"/>
              <w:rPr>
                <w:sz w:val="20"/>
                <w:szCs w:val="20"/>
                <w:color w:val="auto"/>
              </w:rPr>
            </w:pPr>
            <w:r>
              <w:rPr>
                <w:rFonts w:ascii="Arial" w:cs="Arial" w:eastAsia="Arial" w:hAnsi="Arial"/>
                <w:sz w:val="18"/>
                <w:szCs w:val="18"/>
                <w:color w:val="auto"/>
                <w:w w:val="90"/>
              </w:rPr>
              <w:t>56,000</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M/T Attikos</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09/24/2007</w:t>
            </w:r>
          </w:p>
        </w:tc>
        <w:tc>
          <w:tcPr>
            <w:tcW w:w="40" w:type="dxa"/>
            <w:vAlign w:val="bottom"/>
            <w:vMerge w:val="continue"/>
          </w:tcPr>
          <w:p>
            <w:pPr>
              <w:spacing w:after="0"/>
              <w:rPr>
                <w:sz w:val="18"/>
                <w:szCs w:val="18"/>
                <w:color w:val="auto"/>
              </w:rPr>
            </w:pPr>
          </w:p>
        </w:tc>
        <w:tc>
          <w:tcPr>
            <w:tcW w:w="214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83"/>
              </w:rPr>
              <w:t>20,500</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8"/>
                <w:szCs w:val="18"/>
                <w:color w:val="auto"/>
              </w:rPr>
              <w:t>M/T Anemos I</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09/28/2007</w:t>
            </w:r>
          </w:p>
        </w:tc>
        <w:tc>
          <w:tcPr>
            <w:tcW w:w="2220" w:type="dxa"/>
            <w:vAlign w:val="bottom"/>
            <w:gridSpan w:val="3"/>
          </w:tcPr>
          <w:p>
            <w:pPr>
              <w:ind w:left="1700"/>
              <w:spacing w:after="0"/>
              <w:rPr>
                <w:sz w:val="20"/>
                <w:szCs w:val="20"/>
                <w:color w:val="auto"/>
              </w:rPr>
            </w:pPr>
            <w:r>
              <w:rPr>
                <w:rFonts w:ascii="Arial" w:cs="Arial" w:eastAsia="Arial" w:hAnsi="Arial"/>
                <w:sz w:val="18"/>
                <w:szCs w:val="18"/>
                <w:color w:val="auto"/>
                <w:w w:val="90"/>
              </w:rPr>
              <w:t>56,000</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01/29/2008</w:t>
            </w:r>
          </w:p>
        </w:tc>
        <w:tc>
          <w:tcPr>
            <w:tcW w:w="40" w:type="dxa"/>
            <w:vAlign w:val="bottom"/>
            <w:vMerge w:val="continue"/>
          </w:tcPr>
          <w:p>
            <w:pPr>
              <w:spacing w:after="0"/>
              <w:rPr>
                <w:sz w:val="18"/>
                <w:szCs w:val="18"/>
                <w:color w:val="auto"/>
              </w:rPr>
            </w:pPr>
          </w:p>
        </w:tc>
        <w:tc>
          <w:tcPr>
            <w:tcW w:w="214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83"/>
              </w:rPr>
              <w:t>48,000</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8"/>
                <w:szCs w:val="18"/>
                <w:color w:val="auto"/>
              </w:rPr>
              <w:t>M/T Amore Mio II</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03/27/2008</w:t>
            </w:r>
          </w:p>
        </w:tc>
        <w:tc>
          <w:tcPr>
            <w:tcW w:w="40" w:type="dxa"/>
            <w:vAlign w:val="bottom"/>
          </w:tcPr>
          <w:p>
            <w:pPr>
              <w:spacing w:after="0"/>
              <w:rPr>
                <w:sz w:val="21"/>
                <w:szCs w:val="21"/>
                <w:color w:val="auto"/>
              </w:rPr>
            </w:pPr>
          </w:p>
        </w:tc>
        <w:tc>
          <w:tcPr>
            <w:tcW w:w="2180" w:type="dxa"/>
            <w:vAlign w:val="bottom"/>
            <w:gridSpan w:val="2"/>
          </w:tcPr>
          <w:p>
            <w:pPr>
              <w:ind w:left="2060"/>
              <w:spacing w:after="0"/>
              <w:rPr>
                <w:sz w:val="20"/>
                <w:szCs w:val="20"/>
                <w:color w:val="auto"/>
              </w:rPr>
            </w:pPr>
            <w:r>
              <w:rPr>
                <w:rFonts w:ascii="Arial" w:cs="Arial" w:eastAsia="Arial" w:hAnsi="Arial"/>
                <w:sz w:val="18"/>
                <w:szCs w:val="18"/>
                <w:color w:val="auto"/>
                <w:w w:val="99"/>
              </w:rPr>
              <w:t>–</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$ 46,000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M/T Aristofanis</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04/30/2008</w:t>
            </w:r>
          </w:p>
        </w:tc>
        <w:tc>
          <w:tcPr>
            <w:tcW w:w="40" w:type="dxa"/>
            <w:vAlign w:val="bottom"/>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8"/>
                <w:szCs w:val="18"/>
                <w:color w:val="auto"/>
              </w:rPr>
              <w:t>M/T Aristotelis II</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06/17/2008</w:t>
            </w:r>
          </w:p>
        </w:tc>
        <w:tc>
          <w:tcPr>
            <w:tcW w:w="2220" w:type="dxa"/>
            <w:vAlign w:val="bottom"/>
            <w:gridSpan w:val="3"/>
          </w:tcPr>
          <w:p>
            <w:pPr>
              <w:ind w:left="1700"/>
              <w:spacing w:after="0"/>
              <w:rPr>
                <w:sz w:val="20"/>
                <w:szCs w:val="20"/>
                <w:color w:val="auto"/>
              </w:rPr>
            </w:pPr>
            <w:r>
              <w:rPr>
                <w:rFonts w:ascii="Arial" w:cs="Arial" w:eastAsia="Arial" w:hAnsi="Arial"/>
                <w:sz w:val="18"/>
                <w:szCs w:val="18"/>
                <w:color w:val="auto"/>
                <w:w w:val="90"/>
              </w:rPr>
              <w:t>20,000</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M/T Aris II</w:t>
            </w:r>
          </w:p>
        </w:tc>
        <w:tc>
          <w:tcPr>
            <w:tcW w:w="20" w:type="dxa"/>
            <w:vAlign w:val="bottom"/>
            <w:vMerge w:val="continue"/>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08/20/2008</w:t>
            </w:r>
          </w:p>
        </w:tc>
        <w:tc>
          <w:tcPr>
            <w:tcW w:w="40" w:type="dxa"/>
            <w:vAlign w:val="bottom"/>
            <w:vMerge w:val="continue"/>
          </w:tcPr>
          <w:p>
            <w:pPr>
              <w:spacing w:after="0"/>
              <w:rPr>
                <w:sz w:val="18"/>
                <w:szCs w:val="18"/>
                <w:color w:val="auto"/>
              </w:rPr>
            </w:pPr>
          </w:p>
        </w:tc>
        <w:tc>
          <w:tcPr>
            <w:tcW w:w="214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83"/>
              </w:rPr>
              <w:t>24,000</w:t>
            </w:r>
          </w:p>
        </w:tc>
        <w:tc>
          <w:tcPr>
            <w:tcW w:w="40" w:type="dxa"/>
            <w:vAlign w:val="bottom"/>
            <w:vMerge w:val="continue"/>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$ 366,500</w:t>
            </w:r>
          </w:p>
        </w:tc>
        <w:tc>
          <w:tcPr>
            <w:tcW w:w="40" w:type="dxa"/>
            <w:vAlign w:val="bottom"/>
            <w:vMerge w:val="continue"/>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$ 107,500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2008 the amount of $3,500 and $242,500 of the Partnership’s revolving credit facilities of up to $370,000 and $350,000 respectively had not been drawn down.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2008 and for the period from April 4, 2007 to December 31, 2007 the Partnership recorded interest expense of $17,363 and $7,400, respectively.</w:t>
      </w:r>
    </w:p>
    <w:p>
      <w:pPr>
        <w:spacing w:after="0" w:line="2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Partnerships credit facilities contain a “Market Disruption Clause” where the lenders, at their discretion, may impose additional interest margin if their borrowing rate exceeds effective interest rate stated in the loan agreement with the Partnership. As of December 31, 2008. the Partnership did not incur additional interest expense.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guaranteed from each of the eighteen vessel owning companies, and mortgage interest insurance. Following the swap agreements that the Partnership has entered into, the interest rate under the two revolving credit facilities is fixed (Notes 2, 6).</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loan agreements also contain other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of which 50% may be constituted by undrawn commitments under the revolving facility, as well as the ratio of net Total Indebtedness to the aggregate Market Value of the total fleet shall not exceed 0.725:1. The credit facilities are also contain the collateral maintenance requirement in which the aggregate average fair market value of the collateral vessels shall be no less than 125% of the aggregate outstanding amount under these facilities. Also the vessel owning companies may pay dividends or make distributions when no event of default has occurred and the payment of such dividend or distribution has not resulted in a breach of any of the financial covenants. As of December 31, 2008 and 2007 the Partnership was in compliance with all debt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2008 are as follows:</w:t>
      </w:r>
    </w:p>
    <w:p>
      <w:pPr>
        <w:spacing w:after="0" w:line="31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Bank loans repayment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-127635</wp:posOffset>
            </wp:positionV>
            <wp:extent cx="57734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7342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8890</wp:posOffset>
            </wp:positionV>
            <wp:extent cx="57734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73420" cy="8255"/>
                    </a:xfrm>
                    <a:prstGeom prst="rect">
                      <a:avLst/>
                    </a:prstGeom>
                    <a:noFill/>
                  </pic:spPr>
                </pic:pic>
              </a:graphicData>
            </a:graphic>
          </wp:anchor>
        </w:drawing>
      </w:r>
    </w:p>
    <w:p>
      <w:pPr>
        <w:spacing w:after="0" w:line="1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Years ended December 31,</w:t>
            </w:r>
          </w:p>
        </w:tc>
        <w:tc>
          <w:tcPr>
            <w:tcW w:w="20" w:type="dxa"/>
            <w:vAlign w:val="bottom"/>
          </w:tcPr>
          <w:p>
            <w:pPr>
              <w:spacing w:after="0"/>
              <w:rPr>
                <w:sz w:val="20"/>
                <w:szCs w:val="20"/>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i</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ii</w:t>
            </w:r>
          </w:p>
        </w:tc>
        <w:tc>
          <w:tcPr>
            <w:tcW w:w="226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vMerge w:val="continue"/>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2012</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18,325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18,325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vMerge w:val="continue"/>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36,650</w:t>
            </w:r>
          </w:p>
        </w:tc>
        <w:tc>
          <w:tcPr>
            <w:tcW w:w="40" w:type="dxa"/>
            <w:vAlign w:val="bottom"/>
            <w:vMerge w:val="continue"/>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311,525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99,437</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410,962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620" w:type="dxa"/>
            <w:vAlign w:val="bottom"/>
            <w:gridSpan w:val="2"/>
          </w:tcPr>
          <w:p>
            <w:pPr>
              <w:spacing w:after="0"/>
              <w:rPr>
                <w:sz w:val="2"/>
                <w:szCs w:val="2"/>
                <w:color w:val="auto"/>
              </w:rPr>
            </w:pPr>
          </w:p>
        </w:tc>
        <w:tc>
          <w:tcPr>
            <w:tcW w:w="2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366,500</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107,500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474,000</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134" w:right="459" w:bottom="0" w:gutter="0" w:footer="0" w:header="0"/>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00"/>
          </w:cols>
          <w:pgMar w:left="240" w:top="134" w:right="459" w:bottom="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hanging="592"/>
        <w:spacing w:after="0"/>
        <w:tabs>
          <w:tab w:leader="none" w:pos="6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Instruments</w:t>
      </w:r>
    </w:p>
    <w:p>
      <w:pPr>
        <w:spacing w:after="0" w:line="279" w:lineRule="exact"/>
        <w:rPr>
          <w:sz w:val="20"/>
          <w:szCs w:val="20"/>
          <w:color w:val="auto"/>
        </w:rPr>
      </w:pPr>
    </w:p>
    <w:p>
      <w:pPr>
        <w:jc w:val="both"/>
        <w:ind w:left="660" w:right="220"/>
        <w:spacing w:after="0" w:line="307" w:lineRule="auto"/>
        <w:rPr>
          <w:sz w:val="20"/>
          <w:szCs w:val="20"/>
          <w:color w:val="auto"/>
        </w:rPr>
      </w:pPr>
      <w:r>
        <w:rPr>
          <w:rFonts w:ascii="Arial" w:cs="Arial" w:eastAsia="Arial" w:hAnsi="Arial"/>
          <w:sz w:val="17"/>
          <w:szCs w:val="17"/>
          <w:color w:val="auto"/>
        </w:rPr>
        <w:t>The fair value of the Partnership’s interest rate swaps is the estimated amount the Partnership would pay to terminate the swap agreements at the reporting date, taking into account current interest rates and the current creditworthiness of the Partnership and its counter parties.</w:t>
      </w:r>
    </w:p>
    <w:p>
      <w:pPr>
        <w:spacing w:after="0" w:line="201" w:lineRule="exact"/>
        <w:rPr>
          <w:sz w:val="20"/>
          <w:szCs w:val="20"/>
          <w:color w:val="auto"/>
        </w:rPr>
      </w:pPr>
    </w:p>
    <w:p>
      <w:pPr>
        <w:jc w:val="both"/>
        <w:ind w:left="660" w:right="200"/>
        <w:spacing w:after="0" w:line="256" w:lineRule="auto"/>
        <w:rPr>
          <w:sz w:val="20"/>
          <w:szCs w:val="20"/>
          <w:color w:val="auto"/>
        </w:rPr>
      </w:pPr>
      <w:r>
        <w:rPr>
          <w:rFonts w:ascii="Arial" w:cs="Arial" w:eastAsia="Arial" w:hAnsi="Arial"/>
          <w:sz w:val="18"/>
          <w:szCs w:val="18"/>
          <w:color w:val="auto"/>
        </w:rPr>
        <w:t>The Partnership follows SFAS No. 157, which requires new disclosure that establishes a framework for measuring fair value in generally accepted accounting principles, and expands disclosure about fair value measurements. This statement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64" w:lineRule="exact"/>
        <w:rPr>
          <w:sz w:val="20"/>
          <w:szCs w:val="20"/>
          <w:color w:val="auto"/>
        </w:rPr>
      </w:pPr>
    </w:p>
    <w:p>
      <w:pPr>
        <w:jc w:val="both"/>
        <w:ind w:left="660" w:right="200"/>
        <w:spacing w:after="0" w:line="296" w:lineRule="auto"/>
        <w:rPr>
          <w:sz w:val="20"/>
          <w:szCs w:val="20"/>
          <w:color w:val="auto"/>
        </w:rPr>
      </w:pPr>
      <w:r>
        <w:rPr>
          <w:rFonts w:ascii="Arial" w:cs="Arial" w:eastAsia="Arial" w:hAnsi="Arial"/>
          <w:sz w:val="16"/>
          <w:szCs w:val="16"/>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as defined in SFAS 157 “Fair Value Measurements” are derived principally from or corroborated by observable market data. Inputs include quoted prices for similar assets, liabilities (risk adjusted) and market-corroborated inputs, such as market comparables, interest rates, yield curves and other items that allow value to be determined.</w:t>
      </w:r>
    </w:p>
    <w:p>
      <w:pPr>
        <w:spacing w:after="0" w:line="214" w:lineRule="exact"/>
        <w:rPr>
          <w:sz w:val="20"/>
          <w:szCs w:val="20"/>
          <w:color w:val="auto"/>
        </w:rPr>
      </w:pPr>
    </w:p>
    <w:p>
      <w:pPr>
        <w:jc w:val="both"/>
        <w:ind w:left="660" w:right="220"/>
        <w:spacing w:after="0" w:line="277" w:lineRule="auto"/>
        <w:rPr>
          <w:sz w:val="20"/>
          <w:szCs w:val="20"/>
          <w:color w:val="auto"/>
        </w:rPr>
      </w:pPr>
      <w:r>
        <w:rPr>
          <w:rFonts w:ascii="Arial" w:cs="Arial" w:eastAsia="Arial" w:hAnsi="Arial"/>
          <w:sz w:val="18"/>
          <w:szCs w:val="18"/>
          <w:color w:val="auto"/>
        </w:rPr>
        <w:t>As of December 31, 2008, no fair value measurements for assets or liabilities under Level 1 or Level 3 were recognized in the Partnership’s consolidated and combined financial statements.</w:t>
      </w:r>
    </w:p>
    <w:p>
      <w:pPr>
        <w:spacing w:after="0" w:line="224" w:lineRule="exact"/>
        <w:rPr>
          <w:sz w:val="20"/>
          <w:szCs w:val="20"/>
          <w:color w:val="auto"/>
        </w:rPr>
      </w:pPr>
    </w:p>
    <w:p>
      <w:pPr>
        <w:jc w:val="both"/>
        <w:ind w:left="660" w:right="200"/>
        <w:spacing w:after="0" w:line="279" w:lineRule="auto"/>
        <w:rPr>
          <w:sz w:val="20"/>
          <w:szCs w:val="20"/>
          <w:color w:val="auto"/>
        </w:rPr>
      </w:pPr>
      <w:r>
        <w:rPr>
          <w:rFonts w:ascii="Arial" w:cs="Arial" w:eastAsia="Arial" w:hAnsi="Arial"/>
          <w:sz w:val="17"/>
          <w:szCs w:val="17"/>
          <w:color w:val="auto"/>
        </w:rPr>
        <w:t>The Partnership entered into eight interest rate swap agreements that were transferred from CMTC through novation agreements on April 4, 2007 (“Novation Date”). The Partnership recognized a loss of $3,763 in its income statement which resulted from the negative valuation of the eight interest rate swap agreements at the Novation Date. Furthermore the Partnership has entered into six additional swap agreements to fix the LIBOR portion of its outstanding debt. As of December 31, 2008 all of the Partnerships debt has been swapped.</w:t>
      </w:r>
    </w:p>
    <w:p>
      <w:pPr>
        <w:spacing w:after="0" w:line="22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of December 31, 2008, all of the Partnership’s interest rate swaps qualify as a cash flow hedge and the changes in their fair value are recognized in accumulated other comprehensive income/(loss).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Fair 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Bank</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Fixed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Trade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value as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Amount</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rate</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date</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date</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date</w:t>
            </w:r>
          </w:p>
        </w:tc>
        <w:tc>
          <w:tcPr>
            <w:tcW w:w="142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04.04.2007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56,000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05.08.2007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07.13.2007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56,000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09.28.2007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09.20.2007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24,000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01.29.2008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01.29.2008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24,000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5.1325%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02.20.2007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08.20.2008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20,500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4.9250%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09.20.2007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09.24.2007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46,000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3.5250%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03.25.2008</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03.27.2008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03.27.2013</w:t>
            </w:r>
          </w:p>
        </w:tc>
        <w:tc>
          <w:tcPr>
            <w:tcW w:w="1400" w:type="dxa"/>
            <w:vAlign w:val="bottom"/>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3.8950%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04.24.2008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04.30.2008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03.28.2013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HSH Nordbank AG</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4.5200%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06.13.2008</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06.17.2008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06.28.2012</w:t>
            </w:r>
          </w:p>
        </w:tc>
        <w:tc>
          <w:tcPr>
            <w:tcW w:w="1400" w:type="dxa"/>
            <w:vAlign w:val="bottom"/>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4.6100%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06.13.2008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06.17.2008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03.28.2013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HSH Nordbank AG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USD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22,000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4.0990%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08.14.2008</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08.20.2008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03.28.2013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auto"/>
            </w:tcBorders>
            <w:gridSpan w:val="3"/>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Total derivative instruments fair value</w:t>
            </w: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(47,414)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4" w:right="259" w:bottom="923"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34" w:right="259" w:bottom="923"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31, 2008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31, 2007</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wages and crew expenses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operating expenses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voyage expenses and commissions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expense</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5000" w:type="dxa"/>
            <w:vAlign w:val="bottom"/>
            <w:gridSpan w:val="2"/>
          </w:tcPr>
          <w:p>
            <w:pPr>
              <w:ind w:left="260"/>
              <w:spacing w:after="0"/>
              <w:rPr>
                <w:sz w:val="20"/>
                <w:szCs w:val="20"/>
                <w:color w:val="auto"/>
              </w:rPr>
            </w:pPr>
            <w:r>
              <w:rPr>
                <w:rFonts w:ascii="Arial" w:cs="Arial" w:eastAsia="Arial" w:hAnsi="Arial"/>
                <w:sz w:val="18"/>
                <w:szCs w:val="18"/>
                <w:b w:val="1"/>
                <w:bCs w:val="1"/>
                <w:color w:val="auto"/>
              </w:rPr>
              <w:t>Voyage Expenses and Vessel Operating Expenses</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00" w:type="dxa"/>
            <w:vAlign w:val="bottom"/>
            <w:gridSpan w:val="3"/>
          </w:tcPr>
          <w:p>
            <w:pPr>
              <w:spacing w:after="0"/>
              <w:rPr>
                <w:sz w:val="20"/>
                <w:szCs w:val="20"/>
                <w:color w:val="auto"/>
              </w:rPr>
            </w:pPr>
            <w:r>
              <w:rPr>
                <w:rFonts w:ascii="Arial" w:cs="Arial" w:eastAsia="Arial" w:hAnsi="Arial"/>
                <w:sz w:val="18"/>
                <w:szCs w:val="18"/>
                <w:color w:val="auto"/>
                <w:w w:val="91"/>
              </w:rPr>
              <w:t>Voyage expenses and vessel operating expenses consist of the following:</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For the years ended December 31,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(Note 1)</w:t>
            </w:r>
          </w:p>
        </w:tc>
        <w:tc>
          <w:tcPr>
            <w:tcW w:w="2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(Note 1)</w:t>
            </w:r>
          </w:p>
        </w:tc>
        <w:tc>
          <w:tcPr>
            <w:tcW w:w="2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(Note 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Voyage expenses: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Commissions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Port expenses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Bunkers</w:t>
            </w: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427</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Vessel operating expenses – related parties (Note 3)</w:t>
            </w: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25,552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12,688</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6,845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2,962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Management fees(Note 3)</w:t>
            </w: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12,688</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3)</w:t>
            </w: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6,845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F-21</w:t>
            </w: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6172200</wp:posOffset>
            </wp:positionH>
            <wp:positionV relativeFrom="paragraph">
              <wp:posOffset>-6049010</wp:posOffset>
            </wp:positionV>
            <wp:extent cx="5143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-5774690</wp:posOffset>
            </wp:positionV>
            <wp:extent cx="5143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-5501005</wp:posOffset>
            </wp:positionV>
            <wp:extent cx="5143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-5217795</wp:posOffset>
            </wp:positionV>
            <wp:extent cx="5143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-3547745</wp:posOffset>
            </wp:positionV>
            <wp:extent cx="5143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-3273425</wp:posOffset>
            </wp:positionV>
            <wp:extent cx="5143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-2999740</wp:posOffset>
            </wp:positionV>
            <wp:extent cx="5143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-2416810</wp:posOffset>
            </wp:positionV>
            <wp:extent cx="5143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-2125980</wp:posOffset>
            </wp:positionV>
            <wp:extent cx="5143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-1560195</wp:posOffset>
            </wp:positionV>
            <wp:extent cx="5143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-1286510</wp:posOffset>
            </wp:positionV>
            <wp:extent cx="5143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-1012190</wp:posOffset>
            </wp:positionV>
            <wp:extent cx="5143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-720725</wp:posOffset>
            </wp:positionV>
            <wp:extent cx="5143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Under the laws of the countries of the vessel-owning subsidiaries’ incorporation and/or vessels’ registration, these companies are not subject to tax on international shipping income. However, they are subject to registration and tonnage taxes, which have been included in vessel operating expenses in the accompanying combined statements of operations.</w:t>
      </w:r>
    </w:p>
    <w:p>
      <w:pPr>
        <w:spacing w:after="0" w:line="23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Based on its current operations, the Partnership does not expect to have U.S. source domestic transportation income. However, certain of the Partnership’s activities give rise to U.S. Source International Transportation Income, and future expansion of the Partnership’s operations could result in an increase in the amount of U.S. Source International Transportation Income, as well as give rise to U.S. Source Domestic Transportation Income, all of which could be subject to U.S. federal income taxation, unless the exemption from U.S. taxation under Section 883 of the Code applies.</w:t>
      </w:r>
    </w:p>
    <w:p>
      <w:pPr>
        <w:spacing w:after="0" w:line="20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Cash Flow</w:t>
      </w:r>
    </w:p>
    <w:p>
      <w:pPr>
        <w:spacing w:after="0" w:line="28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assets, liabilities and equity accounts were included in the combined balance sheets of CMTC entities, however, these amounts were retained by CMTC on April 3, 2007, September 23, 2007, March 26, 2008, and April 29, 2008 when the shares of the vessel owning companies of the Initial Vessels, the M/T Attikos, the M/T Amore Mio II, and the M/T Aristofanis were transferred from CMTC to the Partnership respectively (Note 1). The cash flows for the years ended December 31, 2008 and 2007 are adjusted accordingly to exclude the following assets and liabilities accounts as they did not result in cash inflows or outflows in consolidated and combined financial statements:</w:t>
      </w:r>
    </w:p>
    <w:p>
      <w:pPr>
        <w:spacing w:after="0" w:line="24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Year 2007</w:t>
            </w: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Year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Trade receivables</w:t>
            </w:r>
          </w:p>
        </w:tc>
        <w:tc>
          <w:tcPr>
            <w:tcW w:w="1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1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charges</w:t>
            </w:r>
          </w:p>
        </w:tc>
        <w:tc>
          <w:tcPr>
            <w:tcW w:w="1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14,068</w:t>
            </w: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5,517</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1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213,843</w:t>
            </w: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227,811</w:t>
            </w:r>
          </w:p>
        </w:tc>
        <w:tc>
          <w:tcPr>
            <w:tcW w:w="2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80,522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Net liabilities assumed by CMTC upon</w:t>
            </w:r>
          </w:p>
        </w:tc>
        <w:tc>
          <w:tcPr>
            <w:tcW w:w="17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contribution to the Partnership</w:t>
            </w:r>
          </w:p>
        </w:tc>
        <w:tc>
          <w:tcPr>
            <w:tcW w:w="17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213,743</w:t>
            </w: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74,239</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6120765</wp:posOffset>
            </wp:positionH>
            <wp:positionV relativeFrom="paragraph">
              <wp:posOffset>-2277745</wp:posOffset>
            </wp:positionV>
            <wp:extent cx="4254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545" cy="1371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-2004060</wp:posOffset>
            </wp:positionV>
            <wp:extent cx="4254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 cy="1371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-1729740</wp:posOffset>
            </wp:positionV>
            <wp:extent cx="4254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1371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-1438275</wp:posOffset>
            </wp:positionV>
            <wp:extent cx="4254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154305"/>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-1147445</wp:posOffset>
            </wp:positionV>
            <wp:extent cx="4254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45" cy="1371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-873125</wp:posOffset>
            </wp:positionV>
            <wp:extent cx="4254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1371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-598805</wp:posOffset>
            </wp:positionV>
            <wp:extent cx="4254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154305"/>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-290830</wp:posOffset>
            </wp:positionV>
            <wp:extent cx="42545" cy="291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45" cy="29146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cash and cash equivalents of $2 and $2,251 are presented as cash dividend in the accompanying consolidated and combined cash flow statements for the years ended December 31, 2008 and 2007 respectively.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Partners’ / Stockholders’ Equity and Distributions</w:t>
      </w:r>
    </w:p>
    <w:p>
      <w:pPr>
        <w:spacing w:after="0" w:line="200" w:lineRule="exact"/>
        <w:rPr>
          <w:sz w:val="20"/>
          <w:szCs w:val="20"/>
          <w:color w:val="auto"/>
        </w:rPr>
      </w:pPr>
    </w:p>
    <w:p>
      <w:pPr>
        <w:spacing w:after="0" w:line="352" w:lineRule="exact"/>
        <w:rPr>
          <w:sz w:val="20"/>
          <w:szCs w:val="20"/>
          <w:color w:val="auto"/>
        </w:rPr>
      </w:pPr>
    </w:p>
    <w:p>
      <w:pPr>
        <w:ind w:left="160" w:right="32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Partnership’s available cash will be distributed to unitholders.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23"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8" w:lineRule="exact"/>
        <w:rPr>
          <w:rFonts w:ascii="Arial" w:cs="Arial" w:eastAsia="Arial" w:hAnsi="Arial"/>
          <w:sz w:val="18"/>
          <w:szCs w:val="18"/>
          <w:color w:val="auto"/>
        </w:rPr>
      </w:pPr>
    </w:p>
    <w:p>
      <w:pPr>
        <w:ind w:left="600" w:hanging="215"/>
        <w:spacing w:after="0"/>
        <w:tabs>
          <w:tab w:leader="none" w:pos="6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provide for the proper conduct of Partnership’ s business (including reserves for future capital expenditures and for our anticipated credit needs);</w:t>
      </w:r>
    </w:p>
    <w:p>
      <w:pPr>
        <w:spacing w:after="0" w:line="58" w:lineRule="exact"/>
        <w:rPr>
          <w:rFonts w:ascii="Arial" w:cs="Arial" w:eastAsia="Arial" w:hAnsi="Arial"/>
          <w:sz w:val="16"/>
          <w:szCs w:val="16"/>
          <w:color w:val="auto"/>
        </w:rPr>
      </w:pPr>
    </w:p>
    <w:p>
      <w:pPr>
        <w:ind w:left="600" w:hanging="215"/>
        <w:spacing w:after="0"/>
        <w:tabs>
          <w:tab w:leader="none" w:pos="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comply with applicable law, any of Partnership’s debt instruments, or other agreements; or</w:t>
      </w:r>
    </w:p>
    <w:p>
      <w:pPr>
        <w:spacing w:after="0" w:line="35" w:lineRule="exact"/>
        <w:rPr>
          <w:rFonts w:ascii="Arial" w:cs="Arial" w:eastAsia="Arial" w:hAnsi="Arial"/>
          <w:sz w:val="18"/>
          <w:szCs w:val="18"/>
          <w:color w:val="auto"/>
        </w:rPr>
      </w:pPr>
    </w:p>
    <w:p>
      <w:pPr>
        <w:ind w:left="600" w:hanging="215"/>
        <w:spacing w:after="0"/>
        <w:tabs>
          <w:tab w:leader="none" w:pos="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provide funds for distributions to Partnership’s unitholders and to general partner for any one or more of the next four quarters;</w:t>
      </w:r>
    </w:p>
    <w:p>
      <w:pPr>
        <w:spacing w:after="0" w:line="29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37" w:lineRule="exact"/>
        <w:rPr>
          <w:sz w:val="20"/>
          <w:szCs w:val="20"/>
          <w:color w:val="auto"/>
        </w:rPr>
      </w:pPr>
    </w:p>
    <w:p>
      <w:pPr>
        <w:ind w:left="160" w:right="320"/>
        <w:spacing w:after="0" w:line="277"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w:t>
      </w:r>
      <w:r>
        <w:rPr>
          <w:rFonts w:ascii="Arial" w:cs="Arial" w:eastAsia="Arial" w:hAnsi="Arial"/>
          <w:sz w:val="18"/>
          <w:szCs w:val="18"/>
          <w:color w:val="auto"/>
        </w:rPr>
        <w:t>The General Partner has a 2% interest in the Partnership as well as the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rights.</w:t>
      </w:r>
    </w:p>
    <w:p>
      <w:pPr>
        <w:spacing w:after="0" w:line="22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2008 and 2007 holds the incentive distribution rights.</w:t>
      </w:r>
    </w:p>
    <w:p>
      <w:pPr>
        <w:spacing w:after="0" w:line="237"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Marginal Percentage Interest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in Distributions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3"/>
              </w:rPr>
              <w:t>Total Quarterly</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General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Distribution Target Amount</w:t>
            </w:r>
          </w:p>
        </w:tc>
        <w:tc>
          <w:tcPr>
            <w:tcW w:w="20" w:type="dxa"/>
            <w:vAlign w:val="bottom"/>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Unitholders</w:t>
            </w:r>
          </w:p>
        </w:tc>
        <w:tc>
          <w:tcPr>
            <w:tcW w:w="4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Partner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4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$0.3750</w:t>
            </w:r>
          </w:p>
        </w:tc>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98%</w:t>
            </w:r>
          </w:p>
        </w:tc>
        <w:tc>
          <w:tcPr>
            <w:tcW w:w="4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up to</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$0.4313</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98%</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4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7"/>
              </w:rPr>
              <w:t>above</w:t>
            </w:r>
          </w:p>
        </w:tc>
        <w:tc>
          <w:tcPr>
            <w:tcW w:w="2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$0.4313 up to $0.4688</w:t>
            </w:r>
          </w:p>
        </w:tc>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4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rPr>
                <w:sz w:val="20"/>
                <w:szCs w:val="20"/>
                <w:color w:val="auto"/>
              </w:rPr>
            </w:pPr>
            <w:r>
              <w:rPr>
                <w:rFonts w:ascii="Arial" w:cs="Arial" w:eastAsia="Arial" w:hAnsi="Arial"/>
                <w:sz w:val="18"/>
                <w:szCs w:val="18"/>
                <w:color w:val="auto"/>
              </w:rPr>
              <w:t>Third Target Distribution</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above</w:t>
            </w:r>
          </w:p>
        </w:tc>
        <w:tc>
          <w:tcPr>
            <w:tcW w:w="200" w:type="dxa"/>
            <w:vAlign w:val="bottom"/>
          </w:tcPr>
          <w:p>
            <w:pPr>
              <w:spacing w:after="0"/>
              <w:rPr>
                <w:sz w:val="21"/>
                <w:szCs w:val="21"/>
                <w:color w:val="auto"/>
              </w:rPr>
            </w:pPr>
          </w:p>
        </w:tc>
        <w:tc>
          <w:tcPr>
            <w:tcW w:w="2940" w:type="dxa"/>
            <w:vAlign w:val="bottom"/>
            <w:gridSpan w:val="4"/>
          </w:tcPr>
          <w:p>
            <w:pPr>
              <w:ind w:left="20"/>
              <w:spacing w:after="0"/>
              <w:rPr>
                <w:sz w:val="20"/>
                <w:szCs w:val="20"/>
                <w:color w:val="auto"/>
              </w:rPr>
            </w:pPr>
            <w:r>
              <w:rPr>
                <w:rFonts w:ascii="Arial" w:cs="Arial" w:eastAsia="Arial" w:hAnsi="Arial"/>
                <w:sz w:val="18"/>
                <w:szCs w:val="18"/>
                <w:color w:val="auto"/>
              </w:rPr>
              <w:t>$0.4688 up to $0.5625 75%</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7"/>
              </w:rPr>
              <w:t>above</w:t>
            </w:r>
          </w:p>
        </w:tc>
        <w:tc>
          <w:tcPr>
            <w:tcW w:w="2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$0.5625</w:t>
            </w:r>
          </w:p>
        </w:tc>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4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Subordinated Units: </w:t>
      </w:r>
      <w:r>
        <w:rPr>
          <w:rFonts w:ascii="Arial" w:cs="Arial" w:eastAsia="Arial" w:hAnsi="Arial"/>
          <w:sz w:val="18"/>
          <w:szCs w:val="18"/>
          <w:color w:val="auto"/>
        </w:rPr>
        <w:t>All of the Partnership’s subordinated units are held by CMTC. The Partnership agreement provides that, during the subordination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common units will have the right to receive distributions of available cash from operating surplus in an amount equal to the minimum quarterly distribution of $0.3750 per quarter,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to be distributed on the common units.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Partners’ / Stockholders’ Equity and Distributions – Continued</w:t>
      </w:r>
    </w:p>
    <w:p>
      <w:pPr>
        <w:spacing w:after="0" w:line="323" w:lineRule="exact"/>
        <w:rPr>
          <w:sz w:val="20"/>
          <w:szCs w:val="20"/>
          <w:color w:val="auto"/>
        </w:rPr>
      </w:pPr>
    </w:p>
    <w:p>
      <w:pPr>
        <w:ind w:firstLine="229"/>
        <w:spacing w:after="0" w:line="292"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During the Subordination Period: </w:t>
      </w:r>
      <w:r>
        <w:rPr>
          <w:rFonts w:ascii="Arial" w:cs="Arial" w:eastAsia="Arial" w:hAnsi="Arial"/>
          <w:sz w:val="18"/>
          <w:szCs w:val="18"/>
          <w:color w:val="auto"/>
        </w:rPr>
        <w:t>The Partnership agreement requires that we will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of available cash from operating surplus for any quarter during the subordination period in the following manner:</w:t>
      </w:r>
    </w:p>
    <w:p>
      <w:pPr>
        <w:spacing w:after="0" w:line="211" w:lineRule="exact"/>
        <w:rPr>
          <w:sz w:val="20"/>
          <w:szCs w:val="20"/>
          <w:color w:val="auto"/>
        </w:rPr>
      </w:pPr>
    </w:p>
    <w:p>
      <w:pPr>
        <w:ind w:left="500" w:hanging="492"/>
        <w:spacing w:after="0" w:line="277"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first, 98% to the common unitholders, pro rata, and 2.0% to our general partner, until we distribute for each outstanding common unit an amount equal to the minimum quarterly distribution for that quarter;</w:t>
      </w:r>
    </w:p>
    <w:p>
      <w:pPr>
        <w:spacing w:after="0" w:line="224" w:lineRule="exact"/>
        <w:rPr>
          <w:sz w:val="20"/>
          <w:szCs w:val="20"/>
          <w:color w:val="auto"/>
        </w:rPr>
      </w:pPr>
    </w:p>
    <w:p>
      <w:pPr>
        <w:ind w:left="500" w:hanging="492"/>
        <w:spacing w:after="0" w:line="341" w:lineRule="auto"/>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second, 98% to the common unitholders, pro rata, and 2.0% to our general partner, until we distribute for each outstanding common unit an amount equal to any arrearages in payment of the minimum quarterly distribution on the common units for any prior quarters during the subordination period;</w:t>
      </w:r>
    </w:p>
    <w:p>
      <w:pPr>
        <w:spacing w:after="0" w:line="17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third, 98% to the subordinated unitholders, pro rata, and 2.0% to our general partner, until we distribute for each subordinated unit an amount equal to the minimum quarterly distribution for that quarter; and</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After the Subordination Period: </w:t>
      </w:r>
      <w:r>
        <w:rPr>
          <w:rFonts w:ascii="Arial" w:cs="Arial" w:eastAsia="Arial" w:hAnsi="Arial"/>
          <w:sz w:val="18"/>
          <w:szCs w:val="18"/>
          <w:color w:val="auto"/>
        </w:rPr>
        <w:t>Our Partnership agreement requires that we will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of available cash from operating surplus for any quarter after the subordination period in the following manner:</w:t>
      </w:r>
    </w:p>
    <w:p>
      <w:pPr>
        <w:spacing w:after="0" w:line="224" w:lineRule="exact"/>
        <w:rPr>
          <w:sz w:val="20"/>
          <w:szCs w:val="20"/>
          <w:color w:val="auto"/>
        </w:rPr>
      </w:pPr>
    </w:p>
    <w:p>
      <w:pPr>
        <w:ind w:left="500" w:hanging="492"/>
        <w:spacing w:after="0" w:line="277"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our partners’ capital included the following units:</w:t>
      </w:r>
    </w:p>
    <w:p>
      <w:pPr>
        <w:spacing w:after="0" w:line="200" w:lineRule="exact"/>
        <w:rPr>
          <w:sz w:val="20"/>
          <w:szCs w:val="20"/>
          <w:color w:val="auto"/>
        </w:rPr>
      </w:pPr>
    </w:p>
    <w:p>
      <w:pPr>
        <w:spacing w:after="0" w:line="34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10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10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40" w:type="dxa"/>
            <w:vAlign w:val="bottom"/>
          </w:tcPr>
          <w:p>
            <w:pPr>
              <w:jc w:val="center"/>
              <w:ind w:left="1050"/>
              <w:spacing w:after="0"/>
              <w:rPr>
                <w:sz w:val="20"/>
                <w:szCs w:val="20"/>
                <w:color w:val="auto"/>
              </w:rPr>
            </w:pPr>
            <w:r>
              <w:rPr>
                <w:rFonts w:ascii="Arial" w:cs="Arial" w:eastAsia="Arial" w:hAnsi="Arial"/>
                <w:sz w:val="18"/>
                <w:szCs w:val="18"/>
                <w:b w:val="1"/>
                <w:bCs w:val="1"/>
                <w:color w:val="auto"/>
                <w:w w:val="88"/>
              </w:rPr>
              <w:t>31, 2008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Subordinated units</w:t>
            </w:r>
          </w:p>
        </w:tc>
        <w:tc>
          <w:tcPr>
            <w:tcW w:w="2040" w:type="dxa"/>
            <w:vAlign w:val="bottom"/>
          </w:tcPr>
          <w:p>
            <w:pPr>
              <w:jc w:val="right"/>
              <w:spacing w:after="0"/>
              <w:rPr>
                <w:sz w:val="20"/>
                <w:szCs w:val="20"/>
                <w:color w:val="auto"/>
              </w:rPr>
            </w:pPr>
            <w:r>
              <w:rPr>
                <w:rFonts w:ascii="Arial" w:cs="Arial" w:eastAsia="Arial" w:hAnsi="Arial"/>
                <w:sz w:val="18"/>
                <w:szCs w:val="18"/>
                <w:color w:val="auto"/>
              </w:rPr>
              <w:t>8,805,522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 of limited partners’ units outstanding</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24,817,151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Partners units</w:t>
            </w:r>
          </w:p>
        </w:tc>
        <w:tc>
          <w:tcPr>
            <w:tcW w:w="2040" w:type="dxa"/>
            <w:vAlign w:val="bottom"/>
          </w:tcPr>
          <w:p>
            <w:pPr>
              <w:jc w:val="right"/>
              <w:spacing w:after="0"/>
              <w:rPr>
                <w:sz w:val="20"/>
                <w:szCs w:val="20"/>
                <w:color w:val="auto"/>
              </w:rPr>
            </w:pPr>
            <w:r>
              <w:rPr>
                <w:rFonts w:ascii="Arial" w:cs="Arial" w:eastAsia="Arial" w:hAnsi="Arial"/>
                <w:sz w:val="18"/>
                <w:szCs w:val="18"/>
                <w:color w:val="auto"/>
              </w:rPr>
              <w:t>506,472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partnership’s units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25,323,623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-1164590</wp:posOffset>
            </wp:positionV>
            <wp:extent cx="4254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45" cy="137160"/>
                    </a:xfrm>
                    <a:prstGeom prst="rect">
                      <a:avLst/>
                    </a:prstGeom>
                    <a:noFill/>
                  </pic:spPr>
                </pic:pic>
              </a:graphicData>
            </a:graphic>
          </wp:anchor>
        </w:drawing>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2008, the Partnership’s units consisted of 16,011,629 common units of which 13,512,500 units are held by third parties and 2,499,129 units are held by CMTC, 8,805,522 subordinated units are held by CMTC and 506,472 general partner units are held by the CGP, a wholly owned subsidiary of CMTC.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2008, the Partnership declared and paid dividends of $1.615 to all unitholders amounting to $39,890.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2007, the Partnership declared and paid dividends of $0.7476 to all unitholders amounting to $17,026.</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Partners’ / Stockholders’ Equity and Distributions –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in the combined statements of changes in Stockholders’ Equity reflects:</w:t>
      </w:r>
    </w:p>
    <w:p>
      <w:pPr>
        <w:spacing w:after="0" w:line="279" w:lineRule="exact"/>
        <w:rPr>
          <w:sz w:val="20"/>
          <w:szCs w:val="20"/>
          <w:color w:val="auto"/>
        </w:rPr>
      </w:pPr>
    </w:p>
    <w:p>
      <w:pPr>
        <w:jc w:val="both"/>
        <w:ind w:left="500" w:hanging="492"/>
        <w:spacing w:after="0" w:line="263"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capital contribution made by CMTC in connection with the acquisition of the Initial and the Non Contracted Vessels from the shipyards or their previous owners (in the case of the M/T Amore Mio II). For the years ended December 31, 2008, 2007 and 2006 such contributions amounted to $0, $31,279 and $17,947 respectively,</w:t>
      </w:r>
    </w:p>
    <w:p>
      <w:pPr>
        <w:spacing w:after="0" w:line="236" w:lineRule="exact"/>
        <w:rPr>
          <w:rFonts w:ascii="Arial" w:cs="Arial" w:eastAsia="Arial" w:hAnsi="Arial"/>
          <w:sz w:val="18"/>
          <w:szCs w:val="18"/>
          <w:color w:val="auto"/>
        </w:rPr>
      </w:pPr>
    </w:p>
    <w:p>
      <w:pPr>
        <w:ind w:left="500" w:hanging="492"/>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cumulative earnings of the Initial and the Non Contracted Vessels during their operations as part of CMTC’s fleet and</w:t>
      </w:r>
    </w:p>
    <w:p>
      <w:pPr>
        <w:spacing w:after="0" w:line="278" w:lineRule="exact"/>
        <w:rPr>
          <w:rFonts w:ascii="Arial" w:cs="Arial" w:eastAsia="Arial" w:hAnsi="Arial"/>
          <w:sz w:val="18"/>
          <w:szCs w:val="18"/>
          <w:color w:val="auto"/>
        </w:rPr>
      </w:pPr>
    </w:p>
    <w:p>
      <w:pPr>
        <w:ind w:left="500" w:right="20" w:hanging="492"/>
        <w:spacing w:after="0" w:line="232" w:lineRule="auto"/>
        <w:tabs>
          <w:tab w:leader="none" w:pos="500" w:val="left"/>
        </w:tabs>
        <w:numPr>
          <w:ilvl w:val="0"/>
          <w:numId w:val="116"/>
        </w:numPr>
        <w:rPr>
          <w:rFonts w:ascii="Arial" w:cs="Arial" w:eastAsia="Arial" w:hAnsi="Arial"/>
          <w:sz w:val="22"/>
          <w:szCs w:val="22"/>
          <w:color w:val="auto"/>
        </w:rPr>
      </w:pPr>
      <w:r>
        <w:rPr>
          <w:rFonts w:ascii="Arial" w:cs="Arial" w:eastAsia="Arial" w:hAnsi="Arial"/>
          <w:sz w:val="18"/>
          <w:szCs w:val="18"/>
          <w:color w:val="auto"/>
        </w:rPr>
        <w:t>the reduction in the stockholders’ equity during 2008 and 2007 represents the equity which retained by CMTC upon the contribution of the Initial and Non Contracted Vessels to the Partnership.</w:t>
      </w:r>
    </w:p>
    <w:p>
      <w:pPr>
        <w:spacing w:after="0" w:line="200" w:lineRule="exact"/>
        <w:rPr>
          <w:sz w:val="20"/>
          <w:szCs w:val="20"/>
          <w:color w:val="auto"/>
        </w:rPr>
      </w:pPr>
    </w:p>
    <w:p>
      <w:pPr>
        <w:spacing w:after="0" w:line="323"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Unit</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required by EITF Issue No. 03-6, “Participating Securities and Two-Class Method under FASB Statement No. 128”, “Earnings Per Share”, 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11), which is a contractually defined term that generally means all cash on hand at the end of each quarter after establishment of cash reserves established by the Capital Product Partners L.P. board of directors to provide for the proper resources for the Partnership’s business. Unlike available cash, net income is affected by non-cash items. Net Partnership income for the year ended December 31, 2008 and for the period from April 4, 2007 to December 31, 2007 were $50,767 and $21,571 respectively. The limited partners’ interest in net income for the year ended December 31, 2008 and for the period from April 4, 2007 to December 31, 2007 were $48,294 and $21,140 respectively.</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11). During the year ended December 31, 2008 the Partnership’s net income exceeded the Second Target Distribution level, and as a result, increasing percentages have been used in order to calculate the CGP’s interest in net income. The amount of the incentive distributions allocated to the CGP, amounted to $1,457 for the year ended December 31, 2008.</w:t>
      </w:r>
    </w:p>
    <w:p>
      <w:pPr>
        <w:spacing w:after="0" w:line="3"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During the period from April 4, 2007 to December 31, 2007, the Partnership’s net income did not exceed the First Target Distribution level, and as a result, the assumed distribution of net income did not result in the use of increasing percentages to calculate CGP’ s interest in net income.</w:t>
      </w:r>
    </w:p>
    <w:p>
      <w:pPr>
        <w:spacing w:after="0" w:line="216"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For the year ended December 31, 2008, the Partnership’s net income exceeded the minimum required quarterly distribution of $0.375 per common unit and as such the assumed distribution of net income resulted in an equal distribution of net income between the subordinated unitholders and common unitholders.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2007, the Partnership’s net income did not exceed the minimum required quarterly distribution of $0.375 per common unit ($0.3626 prorated for the period from April 4, 2007 to June 30, 2007) and consequently, the assumed distribution of net income resulted in an unequal distribution of net income between the subordinated unitholders and common unitholders.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historical earnings per unit for:</w:t>
      </w:r>
    </w:p>
    <w:p>
      <w:pPr>
        <w:spacing w:after="0" w:line="23" w:lineRule="exact"/>
        <w:rPr>
          <w:sz w:val="20"/>
          <w:szCs w:val="20"/>
          <w:color w:val="auto"/>
        </w:rPr>
      </w:pPr>
    </w:p>
    <w:p>
      <w:pPr>
        <w:ind w:left="780" w:hanging="192"/>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year ended December 31, 2006,</w:t>
      </w:r>
    </w:p>
    <w:p>
      <w:pPr>
        <w:spacing w:after="0" w:line="8" w:lineRule="exact"/>
        <w:rPr>
          <w:rFonts w:ascii="Arial" w:cs="Arial" w:eastAsia="Arial" w:hAnsi="Arial"/>
          <w:sz w:val="18"/>
          <w:szCs w:val="18"/>
          <w:color w:val="auto"/>
        </w:rPr>
      </w:pPr>
    </w:p>
    <w:p>
      <w:pPr>
        <w:ind w:left="780" w:hanging="192"/>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period from January 1, 2007 to April 3, 2007 for the Initial Vessels and</w:t>
      </w:r>
    </w:p>
    <w:p>
      <w:pPr>
        <w:spacing w:after="0" w:line="8" w:lineRule="exact"/>
        <w:rPr>
          <w:rFonts w:ascii="Arial" w:cs="Arial" w:eastAsia="Arial" w:hAnsi="Arial"/>
          <w:sz w:val="18"/>
          <w:szCs w:val="18"/>
          <w:color w:val="auto"/>
        </w:rPr>
      </w:pPr>
    </w:p>
    <w:p>
      <w:pPr>
        <w:ind w:left="780" w:hanging="192"/>
        <w:spacing w:after="0"/>
        <w:tabs>
          <w:tab w:leader="none" w:pos="7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period from January 1, 2007 to September 23, 2007, March 26, 2008 and April 29, 2008 for the M/T Attikos, the M/T Amore Mio II and the</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M/T Aristofanis respectively,</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giving retroactive impact to the number of common and subordinated units (and the 2% general partner interest) that were issued, is not presented in the combined financial statements. The Partnership believes that a presentation of earnings per unit for these periods would be meaningful to our investors as the vessels comprising our current fleet were either under construction or operated as part of CMTC’s fleet with different terms and conditions than those in place after their acquisition by us.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and combined financial statements.</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accompanying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290" w:lineRule="exact"/>
        <w:rPr>
          <w:sz w:val="20"/>
          <w:szCs w:val="20"/>
          <w:color w:val="auto"/>
        </w:rPr>
      </w:pPr>
    </w:p>
    <w:p>
      <w:pPr>
        <w:ind w:left="500" w:hanging="492"/>
        <w:spacing w:after="0" w:line="258"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8" w:lineRule="exact"/>
        <w:rPr>
          <w:rFonts w:ascii="Arial" w:cs="Arial" w:eastAsia="Arial" w:hAnsi="Arial"/>
          <w:sz w:val="18"/>
          <w:szCs w:val="18"/>
          <w:color w:val="auto"/>
        </w:rPr>
      </w:pPr>
    </w:p>
    <w:p>
      <w:pPr>
        <w:ind w:left="440" w:hanging="432"/>
        <w:spacing w:after="0"/>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is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 Continued:</w:t>
      </w:r>
    </w:p>
    <w:p>
      <w:pPr>
        <w:spacing w:after="0" w:line="279" w:lineRule="exact"/>
        <w:rPr>
          <w:sz w:val="20"/>
          <w:szCs w:val="20"/>
          <w:color w:val="auto"/>
        </w:rPr>
      </w:pPr>
    </w:p>
    <w:p>
      <w:pPr>
        <w:ind w:left="660" w:hanging="652"/>
        <w:spacing w:after="0" w:line="277" w:lineRule="auto"/>
        <w:tabs>
          <w:tab w:leader="none" w:pos="66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The vessel-owning subsidiaries of the Partnership have entered into time and bareboat charter agreements,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Time</w:t>
            </w:r>
          </w:p>
        </w:tc>
        <w:tc>
          <w:tcPr>
            <w:tcW w:w="20" w:type="dxa"/>
            <w:vAlign w:val="bottom"/>
          </w:tcPr>
          <w:p>
            <w:pPr>
              <w:spacing w:after="0"/>
              <w:rPr>
                <w:sz w:val="17"/>
                <w:szCs w:val="17"/>
                <w:color w:val="auto"/>
              </w:rPr>
            </w:pPr>
          </w:p>
        </w:tc>
        <w:tc>
          <w:tcPr>
            <w:tcW w:w="168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Charter (TC)/</w:t>
            </w:r>
          </w:p>
        </w:tc>
        <w:tc>
          <w:tcPr>
            <w:tcW w:w="20" w:type="dxa"/>
            <w:vAlign w:val="bottom"/>
          </w:tcPr>
          <w:p>
            <w:pPr>
              <w:spacing w:after="0"/>
              <w:rPr>
                <w:sz w:val="18"/>
                <w:szCs w:val="18"/>
                <w:color w:val="auto"/>
              </w:rPr>
            </w:pPr>
          </w:p>
        </w:tc>
        <w:tc>
          <w:tcPr>
            <w:tcW w:w="168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Bare Boat</w:t>
            </w:r>
          </w:p>
        </w:tc>
        <w:tc>
          <w:tcPr>
            <w:tcW w:w="20" w:type="dxa"/>
            <w:vAlign w:val="bottom"/>
          </w:tcPr>
          <w:p>
            <w:pPr>
              <w:spacing w:after="0"/>
              <w:rPr>
                <w:sz w:val="18"/>
                <w:szCs w:val="18"/>
                <w:color w:val="auto"/>
              </w:rPr>
            </w:pPr>
          </w:p>
        </w:tc>
        <w:tc>
          <w:tcPr>
            <w:tcW w:w="168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shd w:val="clear" w:color="auto" w:fill="D9D9D9"/>
          </w:tcPr>
          <w:p>
            <w:pPr>
              <w:ind w:left="620"/>
              <w:spacing w:after="0"/>
              <w:rPr>
                <w:sz w:val="20"/>
                <w:szCs w:val="20"/>
                <w:color w:val="auto"/>
              </w:rPr>
            </w:pPr>
            <w:r>
              <w:rPr>
                <w:rFonts w:ascii="Arial" w:cs="Arial" w:eastAsia="Arial" w:hAnsi="Arial"/>
                <w:sz w:val="18"/>
                <w:szCs w:val="18"/>
                <w:b w:val="1"/>
                <w:bCs w:val="1"/>
                <w:color w:val="auto"/>
              </w:rPr>
              <w:t>Vessel Name</w:t>
            </w:r>
          </w:p>
        </w:tc>
        <w:tc>
          <w:tcPr>
            <w:tcW w:w="40" w:type="dxa"/>
            <w:vAlign w:val="bottom"/>
          </w:tcPr>
          <w:p>
            <w:pPr>
              <w:spacing w:after="0"/>
              <w:rPr>
                <w:sz w:val="18"/>
                <w:szCs w:val="18"/>
                <w:color w:val="auto"/>
              </w:rPr>
            </w:pP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Charter (BC)</w:t>
            </w:r>
          </w:p>
        </w:tc>
        <w:tc>
          <w:tcPr>
            <w:tcW w:w="20" w:type="dxa"/>
            <w:vAlign w:val="bottom"/>
          </w:tcPr>
          <w:p>
            <w:pPr>
              <w:spacing w:after="0"/>
              <w:rPr>
                <w:sz w:val="18"/>
                <w:szCs w:val="18"/>
                <w:color w:val="auto"/>
              </w:rPr>
            </w:pPr>
          </w:p>
        </w:tc>
        <w:tc>
          <w:tcPr>
            <w:tcW w:w="16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Commencement of</w:t>
            </w:r>
          </w:p>
        </w:tc>
        <w:tc>
          <w:tcPr>
            <w:tcW w:w="40" w:type="dxa"/>
            <w:vAlign w:val="bottom"/>
          </w:tcPr>
          <w:p>
            <w:pPr>
              <w:spacing w:after="0"/>
              <w:rPr>
                <w:sz w:val="18"/>
                <w:szCs w:val="18"/>
                <w:color w:val="auto"/>
              </w:rPr>
            </w:pPr>
          </w:p>
        </w:tc>
        <w:tc>
          <w:tcPr>
            <w:tcW w:w="212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Profit</w:t>
            </w:r>
          </w:p>
        </w:tc>
        <w:tc>
          <w:tcPr>
            <w:tcW w:w="40" w:type="dxa"/>
            <w:vAlign w:val="bottom"/>
          </w:tcPr>
          <w:p>
            <w:pPr>
              <w:spacing w:after="0"/>
              <w:rPr>
                <w:sz w:val="18"/>
                <w:szCs w:val="18"/>
                <w:color w:val="auto"/>
              </w:rPr>
            </w:pPr>
          </w:p>
        </w:tc>
        <w:tc>
          <w:tcPr>
            <w:tcW w:w="22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Gross Daily Hire Rate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vMerge w:val="continue"/>
            <w:shd w:val="clear" w:color="auto" w:fill="D9D9D9"/>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 w:type="dxa"/>
            <w:vAlign w:val="bottom"/>
          </w:tcPr>
          <w:p>
            <w:pPr>
              <w:spacing w:after="0"/>
              <w:rPr>
                <w:sz w:val="8"/>
                <w:szCs w:val="8"/>
                <w:color w:val="auto"/>
              </w:rPr>
            </w:pPr>
          </w:p>
        </w:tc>
        <w:tc>
          <w:tcPr>
            <w:tcW w:w="168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40" w:type="dxa"/>
            <w:vAlign w:val="bottom"/>
          </w:tcPr>
          <w:p>
            <w:pPr>
              <w:spacing w:after="0"/>
              <w:rPr>
                <w:sz w:val="8"/>
                <w:szCs w:val="8"/>
                <w:color w:val="auto"/>
              </w:rPr>
            </w:pPr>
          </w:p>
        </w:tc>
        <w:tc>
          <w:tcPr>
            <w:tcW w:w="2120" w:type="dxa"/>
            <w:vAlign w:val="bottom"/>
            <w:vMerge w:val="restart"/>
            <w:shd w:val="clear" w:color="auto" w:fill="D9D9D9"/>
          </w:tcPr>
          <w:p>
            <w:pPr>
              <w:ind w:left="680"/>
              <w:spacing w:after="0"/>
              <w:rPr>
                <w:sz w:val="20"/>
                <w:szCs w:val="20"/>
                <w:color w:val="auto"/>
              </w:rPr>
            </w:pPr>
            <w:r>
              <w:rPr>
                <w:rFonts w:ascii="Arial" w:cs="Arial" w:eastAsia="Arial" w:hAnsi="Arial"/>
                <w:sz w:val="18"/>
                <w:szCs w:val="18"/>
                <w:b w:val="1"/>
                <w:bCs w:val="1"/>
                <w:color w:val="auto"/>
              </w:rPr>
              <w:t>Charterer</w:t>
            </w:r>
          </w:p>
        </w:tc>
        <w:tc>
          <w:tcPr>
            <w:tcW w:w="40" w:type="dxa"/>
            <w:vAlign w:val="bottom"/>
          </w:tcPr>
          <w:p>
            <w:pPr>
              <w:spacing w:after="0"/>
              <w:rPr>
                <w:sz w:val="8"/>
                <w:szCs w:val="8"/>
                <w:color w:val="auto"/>
              </w:rPr>
            </w:pPr>
          </w:p>
        </w:tc>
        <w:tc>
          <w:tcPr>
            <w:tcW w:w="132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Sharing (1)</w:t>
            </w:r>
          </w:p>
        </w:tc>
        <w:tc>
          <w:tcPr>
            <w:tcW w:w="40" w:type="dxa"/>
            <w:vAlign w:val="bottom"/>
          </w:tcPr>
          <w:p>
            <w:pPr>
              <w:spacing w:after="0"/>
              <w:rPr>
                <w:sz w:val="8"/>
                <w:szCs w:val="8"/>
                <w:color w:val="auto"/>
              </w:rPr>
            </w:pPr>
          </w:p>
        </w:tc>
        <w:tc>
          <w:tcPr>
            <w:tcW w:w="224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(Without Profit Sharing)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shd w:val="clear" w:color="auto" w:fill="D9D9D9"/>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Borders>
              <w:bottom w:val="single" w:sz="8" w:color="auto"/>
            </w:tcBorders>
            <w:vMerge w:val="continue"/>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vMerge w:val="continue"/>
            <w:shd w:val="clear" w:color="auto" w:fill="D9D9D9"/>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Borders>
              <w:bottom w:val="single" w:sz="8" w:color="auto"/>
            </w:tcBorders>
            <w:vMerge w:val="continue"/>
            <w:shd w:val="clear" w:color="auto" w:fill="D9D9D9"/>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vMerge w:val="continue"/>
            <w:shd w:val="clear" w:color="auto" w:fill="D9D9D9"/>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Borders>
              <w:bottom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Atlantas</w:t>
            </w:r>
          </w:p>
        </w:tc>
        <w:tc>
          <w:tcPr>
            <w:tcW w:w="40" w:type="dxa"/>
            <w:vAlign w:val="bottom"/>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5+3 BC</w:t>
            </w:r>
          </w:p>
        </w:tc>
        <w:tc>
          <w:tcPr>
            <w:tcW w:w="20" w:type="dxa"/>
            <w:vAlign w:val="bottom"/>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04/2006</w:t>
            </w:r>
          </w:p>
        </w:tc>
        <w:tc>
          <w:tcPr>
            <w:tcW w:w="40" w:type="dxa"/>
            <w:vAlign w:val="bottom"/>
          </w:tcPr>
          <w:p>
            <w:pPr>
              <w:spacing w:after="0"/>
              <w:rPr>
                <w:sz w:val="17"/>
                <w:szCs w:val="17"/>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B.P. Shipping Ltd</w:t>
            </w:r>
          </w:p>
        </w:tc>
        <w:tc>
          <w:tcPr>
            <w:tcW w:w="40" w:type="dxa"/>
            <w:vAlign w:val="bottom"/>
          </w:tcPr>
          <w:p>
            <w:pPr>
              <w:spacing w:after="0"/>
              <w:rPr>
                <w:sz w:val="17"/>
                <w:szCs w:val="17"/>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$15.2 (5y)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 British Ensign)</w:t>
            </w:r>
          </w:p>
        </w:tc>
        <w:tc>
          <w:tcPr>
            <w:tcW w:w="40" w:type="dxa"/>
            <w:vAlign w:val="bottom"/>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$13.5 (3y)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8"/>
                <w:szCs w:val="18"/>
                <w:color w:val="auto"/>
              </w:rPr>
              <w:t>M/T Aktoras</w:t>
            </w:r>
          </w:p>
        </w:tc>
        <w:tc>
          <w:tcPr>
            <w:tcW w:w="4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2"/>
              </w:rPr>
              <w:t>5+3 BC</w:t>
            </w: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07/2006</w:t>
            </w: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color w:val="auto"/>
              </w:rPr>
              <w:t>B.P. Shipping Ltd</w:t>
            </w: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$15.2 (5y) &amp;</w:t>
            </w:r>
          </w:p>
        </w:tc>
        <w:tc>
          <w:tcPr>
            <w:tcW w:w="0" w:type="dxa"/>
            <w:vAlign w:val="bottom"/>
          </w:tcPr>
          <w:p>
            <w:pPr>
              <w:spacing w:after="0"/>
              <w:rPr>
                <w:sz w:val="1"/>
                <w:szCs w:val="1"/>
                <w:color w:val="auto"/>
              </w:rPr>
            </w:pPr>
          </w:p>
        </w:tc>
      </w:tr>
      <w:tr>
        <w:trPr>
          <w:trHeight w:val="122"/>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(M/T British Envoy)</w:t>
            </w:r>
          </w:p>
        </w:tc>
        <w:tc>
          <w:tcPr>
            <w:tcW w:w="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1"/>
              </w:rPr>
              <w:t>$13.5 (3y)</w:t>
            </w:r>
          </w:p>
        </w:tc>
        <w:tc>
          <w:tcPr>
            <w:tcW w:w="0" w:type="dxa"/>
            <w:vAlign w:val="bottom"/>
          </w:tcPr>
          <w:p>
            <w:pPr>
              <w:spacing w:after="0"/>
              <w:rPr>
                <w:sz w:val="1"/>
                <w:szCs w:val="1"/>
                <w:color w:val="auto"/>
              </w:rPr>
            </w:pPr>
          </w:p>
        </w:tc>
      </w:tr>
      <w:tr>
        <w:trPr>
          <w:trHeight w:val="108"/>
        </w:trPr>
        <w:tc>
          <w:tcPr>
            <w:tcW w:w="2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 Agisilaos</w:t>
            </w:r>
          </w:p>
        </w:tc>
        <w:tc>
          <w:tcPr>
            <w:tcW w:w="40" w:type="dxa"/>
            <w:vAlign w:val="bottom"/>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2.5 + 1.1 TC</w:t>
            </w:r>
          </w:p>
        </w:tc>
        <w:tc>
          <w:tcPr>
            <w:tcW w:w="20" w:type="dxa"/>
            <w:vAlign w:val="bottom"/>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08/2006</w:t>
            </w:r>
          </w:p>
        </w:tc>
        <w:tc>
          <w:tcPr>
            <w:tcW w:w="40" w:type="dxa"/>
            <w:vAlign w:val="bottom"/>
          </w:tcPr>
          <w:p>
            <w:pPr>
              <w:spacing w:after="0"/>
              <w:rPr>
                <w:sz w:val="17"/>
                <w:szCs w:val="17"/>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B.P. Shipping Ltd</w:t>
            </w:r>
          </w:p>
        </w:tc>
        <w:tc>
          <w:tcPr>
            <w:tcW w:w="40" w:type="dxa"/>
            <w:vAlign w:val="bottom"/>
          </w:tcPr>
          <w:p>
            <w:pPr>
              <w:spacing w:after="0"/>
              <w:rPr>
                <w:sz w:val="17"/>
                <w:szCs w:val="17"/>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tcPr>
          <w:p>
            <w:pPr>
              <w:spacing w:after="0"/>
              <w:rPr>
                <w:sz w:val="17"/>
                <w:szCs w:val="17"/>
                <w:color w:val="auto"/>
              </w:rPr>
            </w:pP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$17.7 (2.5y)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$20.0 (1.1y)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2.0 + 0.5 + 1.1</w:t>
            </w: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$21.3 (2.0y),</w:t>
            </w:r>
          </w:p>
        </w:tc>
        <w:tc>
          <w:tcPr>
            <w:tcW w:w="0" w:type="dxa"/>
            <w:vAlign w:val="bottom"/>
          </w:tcPr>
          <w:p>
            <w:pPr>
              <w:spacing w:after="0"/>
              <w:rPr>
                <w:sz w:val="1"/>
                <w:szCs w:val="1"/>
                <w:color w:val="auto"/>
              </w:rPr>
            </w:pPr>
          </w:p>
        </w:tc>
      </w:tr>
      <w:tr>
        <w:trPr>
          <w:trHeight w:val="108"/>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M/T Arionas</w:t>
            </w:r>
          </w:p>
        </w:tc>
        <w:tc>
          <w:tcPr>
            <w:tcW w:w="1620" w:type="dxa"/>
            <w:vAlign w:val="bottom"/>
            <w:gridSpan w:val="2"/>
            <w:vMerge w:val="continue"/>
          </w:tcPr>
          <w:p>
            <w:pPr>
              <w:spacing w:after="0"/>
              <w:rPr>
                <w:sz w:val="9"/>
                <w:szCs w:val="9"/>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11/2006</w:t>
            </w: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color w:val="auto"/>
              </w:rPr>
              <w:t>B.P. Shipping Ltd</w:t>
            </w: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$19.2 (0.5y) &amp;</w:t>
            </w:r>
          </w:p>
        </w:tc>
        <w:tc>
          <w:tcPr>
            <w:tcW w:w="0" w:type="dxa"/>
            <w:vAlign w:val="bottom"/>
          </w:tcPr>
          <w:p>
            <w:pPr>
              <w:spacing w:after="0"/>
              <w:rPr>
                <w:sz w:val="1"/>
                <w:szCs w:val="1"/>
                <w:color w:val="auto"/>
              </w:rPr>
            </w:pPr>
          </w:p>
        </w:tc>
      </w:tr>
      <w:tr>
        <w:trPr>
          <w:trHeight w:val="108"/>
        </w:trPr>
        <w:tc>
          <w:tcPr>
            <w:tcW w:w="2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9"/>
              </w:rPr>
              <w:t>TC</w:t>
            </w:r>
          </w:p>
        </w:tc>
        <w:tc>
          <w:tcPr>
            <w:tcW w:w="170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1"/>
              </w:rPr>
              <w:t>$20.0 (1.1y)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Aiolos</w:t>
            </w:r>
          </w:p>
        </w:tc>
        <w:tc>
          <w:tcPr>
            <w:tcW w:w="40" w:type="dxa"/>
            <w:vAlign w:val="bottom"/>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5+3 BC</w:t>
            </w:r>
          </w:p>
        </w:tc>
        <w:tc>
          <w:tcPr>
            <w:tcW w:w="20" w:type="dxa"/>
            <w:vAlign w:val="bottom"/>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03/2007</w:t>
            </w:r>
          </w:p>
        </w:tc>
        <w:tc>
          <w:tcPr>
            <w:tcW w:w="40" w:type="dxa"/>
            <w:vAlign w:val="bottom"/>
          </w:tcPr>
          <w:p>
            <w:pPr>
              <w:spacing w:after="0"/>
              <w:rPr>
                <w:sz w:val="17"/>
                <w:szCs w:val="17"/>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B.P. Shipping Ltd</w:t>
            </w:r>
          </w:p>
        </w:tc>
        <w:tc>
          <w:tcPr>
            <w:tcW w:w="40" w:type="dxa"/>
            <w:vAlign w:val="bottom"/>
          </w:tcPr>
          <w:p>
            <w:pPr>
              <w:spacing w:after="0"/>
              <w:rPr>
                <w:sz w:val="17"/>
                <w:szCs w:val="17"/>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$15.2 (5y) &amp;$13.5 (3y)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 British Emissary)</w:t>
            </w:r>
          </w:p>
        </w:tc>
        <w:tc>
          <w:tcPr>
            <w:tcW w:w="40" w:type="dxa"/>
            <w:vAlign w:val="bottom"/>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 TC</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2"/>
              </w:rPr>
              <w:t>06/2007</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B.P. Shipping Ltd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50/50</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M/T Axios</w:t>
            </w:r>
          </w:p>
        </w:tc>
        <w:tc>
          <w:tcPr>
            <w:tcW w:w="40" w:type="dxa"/>
            <w:vAlign w:val="bottom"/>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 TC</w:t>
            </w:r>
          </w:p>
        </w:tc>
        <w:tc>
          <w:tcPr>
            <w:tcW w:w="20" w:type="dxa"/>
            <w:vAlign w:val="bottom"/>
            <w:vMerge w:val="continue"/>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03/2007</w:t>
            </w:r>
          </w:p>
        </w:tc>
        <w:tc>
          <w:tcPr>
            <w:tcW w:w="4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B.P. Shipping Ltd</w:t>
            </w:r>
          </w:p>
        </w:tc>
        <w:tc>
          <w:tcPr>
            <w:tcW w:w="40" w:type="dxa"/>
            <w:vAlign w:val="bottom"/>
            <w:vMerge w:val="continue"/>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$20.8</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 TC</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11/2006</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Morgan Stanley</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50/50</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M/T Atrotos</w:t>
            </w:r>
          </w:p>
        </w:tc>
        <w:tc>
          <w:tcPr>
            <w:tcW w:w="40" w:type="dxa"/>
            <w:vAlign w:val="bottom"/>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 TC</w:t>
            </w:r>
          </w:p>
        </w:tc>
        <w:tc>
          <w:tcPr>
            <w:tcW w:w="20" w:type="dxa"/>
            <w:vAlign w:val="bottom"/>
            <w:vMerge w:val="continue"/>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05/2007</w:t>
            </w:r>
          </w:p>
        </w:tc>
        <w:tc>
          <w:tcPr>
            <w:tcW w:w="4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w:t>
            </w:r>
          </w:p>
        </w:tc>
        <w:tc>
          <w:tcPr>
            <w:tcW w:w="40" w:type="dxa"/>
            <w:vAlign w:val="bottom"/>
            <w:vMerge w:val="continue"/>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 TC</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2"/>
              </w:rPr>
              <w:t>07/2007</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Morgan Stanley</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50/50</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M/T Anemos I</w:t>
            </w:r>
          </w:p>
        </w:tc>
        <w:tc>
          <w:tcPr>
            <w:tcW w:w="40" w:type="dxa"/>
            <w:vAlign w:val="bottom"/>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 TC</w:t>
            </w:r>
          </w:p>
        </w:tc>
        <w:tc>
          <w:tcPr>
            <w:tcW w:w="20" w:type="dxa"/>
            <w:vAlign w:val="bottom"/>
            <w:vMerge w:val="continue"/>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09/2007</w:t>
            </w:r>
          </w:p>
        </w:tc>
        <w:tc>
          <w:tcPr>
            <w:tcW w:w="4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w:t>
            </w:r>
          </w:p>
        </w:tc>
        <w:tc>
          <w:tcPr>
            <w:tcW w:w="40" w:type="dxa"/>
            <w:vAlign w:val="bottom"/>
            <w:vMerge w:val="continue"/>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 TC</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2"/>
              </w:rPr>
              <w:t>09/2007</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Morgan Stanley</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50/50</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Alexandros II</w:t>
            </w:r>
          </w:p>
        </w:tc>
        <w:tc>
          <w:tcPr>
            <w:tcW w:w="40" w:type="dxa"/>
            <w:vAlign w:val="bottom"/>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 BC</w:t>
            </w:r>
          </w:p>
        </w:tc>
        <w:tc>
          <w:tcPr>
            <w:tcW w:w="20" w:type="dxa"/>
            <w:vAlign w:val="bottom"/>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01/2008</w:t>
            </w:r>
          </w:p>
        </w:tc>
        <w:tc>
          <w:tcPr>
            <w:tcW w:w="40" w:type="dxa"/>
            <w:vAlign w:val="bottom"/>
            <w:vMerge w:val="continue"/>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Overseas Shipholding</w:t>
            </w:r>
          </w:p>
        </w:tc>
        <w:tc>
          <w:tcPr>
            <w:tcW w:w="40" w:type="dxa"/>
            <w:vAlign w:val="bottom"/>
          </w:tcPr>
          <w:p>
            <w:pPr>
              <w:spacing w:after="0"/>
              <w:rPr>
                <w:sz w:val="17"/>
                <w:szCs w:val="17"/>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 Overseas Serifos)</w:t>
            </w:r>
          </w:p>
        </w:tc>
        <w:tc>
          <w:tcPr>
            <w:tcW w:w="40" w:type="dxa"/>
            <w:vAlign w:val="bottom"/>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Group Inc. (2)</w:t>
            </w:r>
          </w:p>
        </w:tc>
        <w:tc>
          <w:tcPr>
            <w:tcW w:w="40" w:type="dxa"/>
            <w:vAlign w:val="bottom"/>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8"/>
                <w:szCs w:val="18"/>
                <w:color w:val="auto"/>
              </w:rPr>
              <w:t>M/T Aristotelis II</w:t>
            </w:r>
          </w:p>
        </w:tc>
        <w:tc>
          <w:tcPr>
            <w:tcW w:w="4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10 BC</w:t>
            </w: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06/2008</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Overseas Shipholding</w:t>
            </w: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122"/>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(M/T Overseas Sifnos)</w:t>
            </w:r>
          </w:p>
        </w:tc>
        <w:tc>
          <w:tcPr>
            <w:tcW w:w="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color w:val="auto"/>
              </w:rPr>
              <w:t>Group Inc. (2)</w:t>
            </w:r>
          </w:p>
        </w:tc>
        <w:tc>
          <w:tcPr>
            <w:tcW w:w="1360" w:type="dxa"/>
            <w:vAlign w:val="bottom"/>
            <w:gridSpan w:val="2"/>
            <w:vMerge w:val="continue"/>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Aris II</w:t>
            </w:r>
          </w:p>
        </w:tc>
        <w:tc>
          <w:tcPr>
            <w:tcW w:w="40" w:type="dxa"/>
            <w:vAlign w:val="bottom"/>
          </w:tcPr>
          <w:p>
            <w:pPr>
              <w:spacing w:after="0"/>
              <w:rPr>
                <w:sz w:val="17"/>
                <w:szCs w:val="17"/>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 BC</w:t>
            </w:r>
          </w:p>
        </w:tc>
        <w:tc>
          <w:tcPr>
            <w:tcW w:w="20" w:type="dxa"/>
            <w:vAlign w:val="bottom"/>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08/2008</w:t>
            </w:r>
          </w:p>
        </w:tc>
        <w:tc>
          <w:tcPr>
            <w:tcW w:w="40" w:type="dxa"/>
            <w:vAlign w:val="bottom"/>
            <w:vMerge w:val="continue"/>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Overseas Shipholding</w:t>
            </w:r>
          </w:p>
        </w:tc>
        <w:tc>
          <w:tcPr>
            <w:tcW w:w="40" w:type="dxa"/>
            <w:vAlign w:val="bottom"/>
          </w:tcPr>
          <w:p>
            <w:pPr>
              <w:spacing w:after="0"/>
              <w:rPr>
                <w:sz w:val="17"/>
                <w:szCs w:val="17"/>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 Overseas Kimolos)</w:t>
            </w:r>
          </w:p>
        </w:tc>
        <w:tc>
          <w:tcPr>
            <w:tcW w:w="40" w:type="dxa"/>
            <w:vAlign w:val="bottom"/>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Group Inc. (2)</w:t>
            </w:r>
          </w:p>
        </w:tc>
        <w:tc>
          <w:tcPr>
            <w:tcW w:w="40" w:type="dxa"/>
            <w:vAlign w:val="bottom"/>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M/T Attikos</w:t>
            </w:r>
          </w:p>
        </w:tc>
        <w:tc>
          <w:tcPr>
            <w:tcW w:w="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2.2 to 2.3 TC</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2"/>
              </w:rPr>
              <w:t>07/2007</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Trafigura Beheer B.V.</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40" w:type="dxa"/>
            <w:vAlign w:val="bottom"/>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 TC</w:t>
            </w:r>
          </w:p>
        </w:tc>
        <w:tc>
          <w:tcPr>
            <w:tcW w:w="20" w:type="dxa"/>
            <w:vAlign w:val="bottom"/>
            <w:vMerge w:val="continue"/>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10/2007</w:t>
            </w:r>
          </w:p>
        </w:tc>
        <w:tc>
          <w:tcPr>
            <w:tcW w:w="4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B.P. Shipping Ltd</w:t>
            </w:r>
          </w:p>
        </w:tc>
        <w:tc>
          <w:tcPr>
            <w:tcW w:w="40" w:type="dxa"/>
            <w:vAlign w:val="bottom"/>
            <w:vMerge w:val="continue"/>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w:t>
            </w:r>
          </w:p>
        </w:tc>
        <w:tc>
          <w:tcPr>
            <w:tcW w:w="40" w:type="dxa"/>
            <w:vAlign w:val="bottom"/>
            <w:vMerge w:val="continue"/>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$36.5</w:t>
            </w:r>
          </w:p>
        </w:tc>
        <w:tc>
          <w:tcPr>
            <w:tcW w:w="0" w:type="dxa"/>
            <w:vAlign w:val="bottom"/>
          </w:tcPr>
          <w:p>
            <w:pPr>
              <w:spacing w:after="0"/>
              <w:rPr>
                <w:sz w:val="1"/>
                <w:szCs w:val="1"/>
                <w:color w:val="auto"/>
              </w:rPr>
            </w:pPr>
          </w:p>
        </w:tc>
      </w:tr>
      <w:tr>
        <w:trPr>
          <w:trHeight w:val="228"/>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M/T Aristofanis</w:t>
            </w:r>
          </w:p>
        </w:tc>
        <w:tc>
          <w:tcPr>
            <w:tcW w:w="4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2"/>
              </w:rPr>
              <w:t>4.8 TC</w:t>
            </w: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06/2005</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w w:val="92"/>
              </w:rPr>
              <w:t>Shell International Trading &amp;</w:t>
            </w: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$13.3</w:t>
            </w:r>
          </w:p>
        </w:tc>
        <w:tc>
          <w:tcPr>
            <w:tcW w:w="0" w:type="dxa"/>
            <w:vAlign w:val="bottom"/>
          </w:tcPr>
          <w:p>
            <w:pPr>
              <w:spacing w:after="0"/>
              <w:rPr>
                <w:sz w:val="1"/>
                <w:szCs w:val="1"/>
                <w:color w:val="auto"/>
              </w:rPr>
            </w:pPr>
          </w:p>
        </w:tc>
      </w:tr>
      <w:tr>
        <w:trPr>
          <w:trHeight w:val="122"/>
        </w:trPr>
        <w:tc>
          <w:tcPr>
            <w:tcW w:w="22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Shipping Company Limited</w:t>
            </w:r>
          </w:p>
        </w:tc>
        <w:tc>
          <w:tcPr>
            <w:tcW w:w="1360" w:type="dxa"/>
            <w:vAlign w:val="bottom"/>
            <w:gridSpan w:val="2"/>
            <w:vMerge w:val="continue"/>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Profit sharing refers to an arrangement between vessel-owning companies and charterers to share a predetermined percentage voyage profit in excess of the basic rate.</w:t>
      </w:r>
    </w:p>
    <w:p>
      <w:pPr>
        <w:spacing w:after="0" w:line="22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Overseas Shipholding Group Inc. has an option to purchase each of the three STX vessels delivered or to be delivered in 2008 at the end of the eighth, ninth or tenth year of the charter, for $38.0 million, $35.5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 Continued:</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Future minimum rental receipts, excluding any profit share revenue that may arise, based on non-cancelable long-term time and bareboat charter contracts, as of December 31, 2008 will be:</w:t>
      </w:r>
    </w:p>
    <w:p>
      <w:pPr>
        <w:spacing w:after="0" w:line="200" w:lineRule="exact"/>
        <w:rPr>
          <w:sz w:val="20"/>
          <w:szCs w:val="20"/>
          <w:color w:val="auto"/>
        </w:rPr>
      </w:pPr>
    </w:p>
    <w:p>
      <w:pPr>
        <w:spacing w:after="0" w:line="289"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ind w:left="140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2010</w:t>
            </w:r>
          </w:p>
        </w:tc>
        <w:tc>
          <w:tcPr>
            <w:tcW w:w="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2012</w:t>
            </w:r>
          </w:p>
        </w:tc>
        <w:tc>
          <w:tcPr>
            <w:tcW w:w="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42,786</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308,092</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-1130300</wp:posOffset>
            </wp:positionV>
            <wp:extent cx="7683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-855980</wp:posOffset>
            </wp:positionV>
            <wp:extent cx="7683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-581660</wp:posOffset>
            </wp:positionV>
            <wp:extent cx="7683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-307975</wp:posOffset>
            </wp:positionV>
            <wp:extent cx="7683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83" w:lineRule="exact"/>
        <w:rPr>
          <w:sz w:val="20"/>
          <w:szCs w:val="20"/>
          <w:color w:val="auto"/>
        </w:rPr>
      </w:pPr>
    </w:p>
    <w:p>
      <w:pPr>
        <w:ind w:left="660" w:hanging="652"/>
        <w:spacing w:after="0" w:line="277" w:lineRule="auto"/>
        <w:tabs>
          <w:tab w:leader="none" w:pos="66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January 30, 2009 the Partnership’s board of directors declared an exceptional cash distribution of $1.05 per unit, which was paid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13, 2009, to unitholders of record on February 10, 2009.</w:t>
      </w:r>
    </w:p>
    <w:p>
      <w:pPr>
        <w:spacing w:after="0" w:line="169" w:lineRule="exact"/>
        <w:rPr>
          <w:rFonts w:ascii="Arial" w:cs="Arial" w:eastAsia="Arial" w:hAnsi="Arial"/>
          <w:sz w:val="18"/>
          <w:szCs w:val="18"/>
          <w:b w:val="1"/>
          <w:bCs w:val="1"/>
          <w:i w:val="1"/>
          <w:iCs w:val="1"/>
          <w:color w:val="auto"/>
        </w:rPr>
      </w:pPr>
    </w:p>
    <w:p>
      <w:pPr>
        <w:jc w:val="both"/>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payment of the exceptional distribution also resulted in a distribution of $12.5 million with respect to incentive distribution rights held by CGP, in accordance with the terms of the partnership agreement. Furthermore, CGP agreed to defer receipt of a portion of the incentive distribution payment and will receive the $12.5 million of incentive payments in four equal quarterly installments, with the first installment having been paid in February 2009. Payment of each deferred quarterly installment is subject to distributing at least the minimum quarterly distribution and any arrearages of minimum quarterly distributions for the relevant quarter.</w:t>
      </w:r>
    </w:p>
    <w:p>
      <w:pPr>
        <w:spacing w:after="0" w:line="237" w:lineRule="exact"/>
        <w:rPr>
          <w:rFonts w:ascii="Arial" w:cs="Arial" w:eastAsia="Arial" w:hAnsi="Arial"/>
          <w:sz w:val="18"/>
          <w:szCs w:val="18"/>
          <w:b w:val="1"/>
          <w:bCs w:val="1"/>
          <w:i w:val="1"/>
          <w:iCs w:val="1"/>
          <w:color w:val="auto"/>
        </w:rPr>
      </w:pPr>
    </w:p>
    <w:p>
      <w:pPr>
        <w:jc w:val="both"/>
        <w:ind w:left="660" w:hanging="652"/>
        <w:spacing w:after="0" w:line="296" w:lineRule="auto"/>
        <w:tabs>
          <w:tab w:leader="none" w:pos="660" w:val="left"/>
        </w:tabs>
        <w:numPr>
          <w:ilvl w:val="0"/>
          <w:numId w:val="1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Early Termination of Subordination Period: </w:t>
      </w:r>
      <w:r>
        <w:rPr>
          <w:rFonts w:ascii="Arial" w:cs="Arial" w:eastAsia="Arial" w:hAnsi="Arial"/>
          <w:sz w:val="16"/>
          <w:szCs w:val="16"/>
          <w:color w:val="auto"/>
        </w:rPr>
        <w:t>The payment of this exceptional distribution of $1.05 per unit in February 2009 brought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to unitholders to $2.27 per unit for the year ended December 31, 2008, a level which under the terms of the partnership agreement resulted in the early termination of the subordination period and the conversion of the subordinated units into common units on a one to one basis. Under the partnership agreement the subordination period would have ended in April 2011, if the Partnership had earned and paid at least $0.375 on each outstanding unit and corresponding distribution on the general partners’ 2.0% for any three consecutive four-quarter periods.</w:t>
      </w:r>
    </w:p>
    <w:p>
      <w:pPr>
        <w:spacing w:after="0" w:line="214"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Following the conversion of subordinated units into common units, our partners’ capital included the following units:</w:t>
      </w:r>
    </w:p>
    <w:p>
      <w:pPr>
        <w:spacing w:after="0" w:line="200" w:lineRule="exact"/>
        <w:rPr>
          <w:sz w:val="20"/>
          <w:szCs w:val="20"/>
          <w:color w:val="auto"/>
        </w:rPr>
      </w:pPr>
    </w:p>
    <w:p>
      <w:pPr>
        <w:spacing w:after="0" w:line="34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18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24,817,151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Number of limited partners’ units outstanding</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24,817,151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units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partnership’s units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25,323,623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-1027430</wp:posOffset>
            </wp:positionV>
            <wp:extent cx="6858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-735965</wp:posOffset>
            </wp:positionV>
            <wp:extent cx="6858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-444500</wp:posOffset>
            </wp:positionV>
            <wp:extent cx="6858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-153670</wp:posOffset>
            </wp:positionV>
            <wp:extent cx="6858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34" w:right="239" w:bottom="617"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300"/>
        <w:spacing w:after="0"/>
        <w:rPr>
          <w:sz w:val="20"/>
          <w:szCs w:val="20"/>
          <w:color w:val="auto"/>
        </w:rPr>
      </w:pPr>
      <w:r>
        <w:rPr>
          <w:rFonts w:ascii="Arial" w:cs="Arial" w:eastAsia="Arial" w:hAnsi="Arial"/>
          <w:sz w:val="18"/>
          <w:szCs w:val="18"/>
          <w:b w:val="1"/>
          <w:bCs w:val="1"/>
          <w:color w:val="auto"/>
        </w:rPr>
        <w:t>EXHIBIT 4.17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GP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Iassonos Street, Piraeus, 185 37 Greece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Iassonos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Piraeus, 185 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the meeting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Capital Product Partners L.P. (the “</w:t>
      </w:r>
      <w:r>
        <w:rPr>
          <w:rFonts w:ascii="Arial" w:cs="Arial" w:eastAsia="Arial" w:hAnsi="Arial"/>
          <w:sz w:val="18"/>
          <w:szCs w:val="18"/>
          <w:u w:val="single" w:color="auto"/>
          <w:color w:val="auto"/>
        </w:rPr>
        <w:t>Partnership</w:t>
      </w:r>
      <w:r>
        <w:rPr>
          <w:rFonts w:ascii="Arial" w:cs="Arial" w:eastAsia="Arial" w:hAnsi="Arial"/>
          <w:sz w:val="18"/>
          <w:szCs w:val="18"/>
          <w:color w:val="auto"/>
        </w:rPr>
        <w:t>”) held in January 2009 (the “</w:t>
      </w:r>
      <w:r>
        <w:rPr>
          <w:rFonts w:ascii="Arial" w:cs="Arial" w:eastAsia="Arial" w:hAnsi="Arial"/>
          <w:sz w:val="18"/>
          <w:szCs w:val="18"/>
          <w:u w:val="single" w:color="auto"/>
          <w:color w:val="auto"/>
        </w:rPr>
        <w:t>Meeting</w:t>
      </w:r>
      <w:r>
        <w:rPr>
          <w:rFonts w:ascii="Arial" w:cs="Arial" w:eastAsia="Arial" w:hAnsi="Arial"/>
          <w:sz w:val="18"/>
          <w:szCs w:val="18"/>
          <w:color w:val="auto"/>
        </w:rPr>
        <w:t>”). Capitalized terms not otherwise defined herein shall have the meaning as set forth in the First Amended and Restated Agreement of Limited Partnership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of the Partnership.</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Partnership is aware, the Board resolved in its Meeting to make a dividend distribution for the fourth quarter of 2008 (the “</w:t>
      </w:r>
      <w:r>
        <w:rPr>
          <w:rFonts w:ascii="Arial" w:cs="Arial" w:eastAsia="Arial" w:hAnsi="Arial"/>
          <w:sz w:val="18"/>
          <w:szCs w:val="18"/>
          <w:u w:val="single" w:color="auto"/>
          <w:color w:val="auto"/>
        </w:rPr>
        <w:t>Dividend</w:t>
      </w:r>
      <w:r>
        <w:rPr>
          <w:rFonts w:ascii="Arial" w:cs="Arial" w:eastAsia="Arial" w:hAnsi="Arial"/>
          <w:sz w:val="18"/>
          <w:szCs w:val="18"/>
          <w:color w:val="auto"/>
        </w:rPr>
        <w:t>”) which under the provisions of the Partnership Agreement results in a distribution with respect to Incentive Distribution Rights (the “</w:t>
      </w:r>
      <w:r>
        <w:rPr>
          <w:rFonts w:ascii="Arial" w:cs="Arial" w:eastAsia="Arial" w:hAnsi="Arial"/>
          <w:sz w:val="18"/>
          <w:szCs w:val="18"/>
          <w:u w:val="single" w:color="auto"/>
          <w:color w:val="auto"/>
        </w:rPr>
        <w:t>IDR Payment</w:t>
      </w:r>
      <w:r>
        <w:rPr>
          <w:rFonts w:ascii="Arial" w:cs="Arial" w:eastAsia="Arial" w:hAnsi="Arial"/>
          <w:sz w:val="18"/>
          <w:szCs w:val="18"/>
          <w:color w:val="auto"/>
        </w:rPr>
        <w:t>”). The IDR Payment is payable to Capital GP L.L.C., the General Partner, as the sole holder of the Incentive Distribution Rights.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General Partner has agreed to defer payment of a portion of the IDR Payment in order to facilitate the Board’s decision to make the Dividend and to address certain issues raised by the independent directors in connection with the IDR Payment and the Dividend.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Accordingly, the General Partner and the Partnership hereby agree that the IDR Payment shall be made in four equal installments on February 13, 2009 and on the respective payment dates for distributions with respect to the first, second and third quarters of 2009,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installment payments shall only be made on each of the respective payment dates for the first, second and third quarters of 2009 if the Partnership’s regular quarterly distribution on such payment date equals or exceeds the Minimum Quarterly Distribution plus any outstanding arrearages of the Minimum Quarterly Distribution on such payment date.</w:t>
      </w: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This letter agreement shall be construed in accordance with and governed by the laws of The Republic of the Marshall Islands, without regard to the principles of conflicts of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GP L.L.C.</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Ioannis E. Lazaridis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Ioannis E. Lazaridis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Chief Financial Officer of Capital GP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Capital GP L.L.C., its General Partner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Ioannis E. Lazaridis</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Ioannis E. Lazaridis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Chief Financial Officer of Capital GP L.L.C.</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8.1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80" w:type="dxa"/>
            <w:vAlign w:val="bottom"/>
            <w:gridSpan w:val="2"/>
          </w:tcPr>
          <w:p>
            <w:pPr>
              <w:ind w:left="260"/>
              <w:spacing w:after="0"/>
              <w:rPr>
                <w:sz w:val="20"/>
                <w:szCs w:val="20"/>
                <w:color w:val="auto"/>
              </w:rPr>
            </w:pPr>
            <w:r>
              <w:rPr>
                <w:rFonts w:ascii="Arial" w:cs="Arial" w:eastAsia="Arial" w:hAnsi="Arial"/>
                <w:sz w:val="18"/>
                <w:szCs w:val="18"/>
                <w:b w:val="1"/>
                <w:bCs w:val="1"/>
                <w:color w:val="auto"/>
              </w:rPr>
              <w:t>LIST OF SIGNIFICANT SUBSIDIARIES</w:t>
            </w: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7600" w:type="dxa"/>
            <w:vAlign w:val="bottom"/>
            <w:gridSpan w:val="4"/>
          </w:tcPr>
          <w:p>
            <w:pPr>
              <w:spacing w:after="0"/>
              <w:rPr>
                <w:sz w:val="20"/>
                <w:szCs w:val="20"/>
                <w:color w:val="auto"/>
              </w:rPr>
            </w:pPr>
            <w:r>
              <w:rPr>
                <w:rFonts w:ascii="Arial" w:cs="Arial" w:eastAsia="Arial" w:hAnsi="Arial"/>
                <w:sz w:val="18"/>
                <w:szCs w:val="18"/>
                <w:color w:val="auto"/>
                <w:w w:val="90"/>
              </w:rPr>
              <w:t>The following is a list of Capital Product Partners L.P.’s significant subsidiaries as at December 31, 2008:</w:t>
            </w: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Proportion of Ownership Interest</w:t>
            </w:r>
          </w:p>
        </w:tc>
      </w:tr>
      <w:tr>
        <w:trPr>
          <w:trHeight w:val="20"/>
        </w:trPr>
        <w:tc>
          <w:tcPr>
            <w:tcW w:w="3820" w:type="dxa"/>
            <w:vAlign w:val="bottom"/>
            <w:gridSpan w:val="2"/>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Capital Product Operating GP L.L.C.</w:t>
            </w:r>
          </w:p>
        </w:tc>
        <w:tc>
          <w:tcPr>
            <w:tcW w:w="378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21" w:right="239" w:bottom="1440" w:gutter="0" w:footer="0" w:header="0"/>
        </w:sectPr>
      </w:pPr>
    </w:p>
    <w:bookmarkStart w:id="120" w:name="page121"/>
    <w:bookmarkEnd w:id="120"/>
    <w:p>
      <w:pPr>
        <w:ind w:left="10300"/>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56" w:lineRule="exact"/>
        <w:rPr>
          <w:sz w:val="20"/>
          <w:szCs w:val="20"/>
          <w:color w:val="auto"/>
        </w:rPr>
      </w:pPr>
    </w:p>
    <w:p>
      <w:pPr>
        <w:ind w:left="660" w:hanging="229"/>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51" w:lineRule="exact"/>
        <w:rPr>
          <w:rFonts w:ascii="Arial" w:cs="Arial" w:eastAsia="Arial" w:hAnsi="Arial"/>
          <w:sz w:val="18"/>
          <w:szCs w:val="18"/>
          <w:color w:val="auto"/>
        </w:rPr>
      </w:pPr>
    </w:p>
    <w:p>
      <w:pPr>
        <w:jc w:val="both"/>
        <w:ind w:left="660" w:hanging="229"/>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6" w:lineRule="exact"/>
        <w:rPr>
          <w:rFonts w:ascii="Arial" w:cs="Arial" w:eastAsia="Arial" w:hAnsi="Arial"/>
          <w:sz w:val="18"/>
          <w:szCs w:val="18"/>
          <w:color w:val="auto"/>
        </w:rPr>
      </w:pPr>
    </w:p>
    <w:p>
      <w:pPr>
        <w:jc w:val="both"/>
        <w:ind w:left="660" w:hanging="229"/>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9" w:lineRule="exact"/>
        <w:rPr>
          <w:rFonts w:ascii="Arial" w:cs="Arial" w:eastAsia="Arial" w:hAnsi="Arial"/>
          <w:sz w:val="18"/>
          <w:szCs w:val="18"/>
          <w:color w:val="auto"/>
        </w:rPr>
      </w:pPr>
    </w:p>
    <w:p>
      <w:pPr>
        <w:jc w:val="both"/>
        <w:ind w:left="1300" w:hanging="212"/>
        <w:spacing w:after="0" w:line="263"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222"/>
        <w:spacing w:after="0" w:line="263"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right="20" w:hanging="212"/>
        <w:spacing w:after="0" w:line="341"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jc w:val="both"/>
        <w:ind w:left="1300" w:hanging="222"/>
        <w:spacing w:after="0" w:line="263"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9" w:lineRule="exact"/>
        <w:rPr>
          <w:rFonts w:ascii="Arial" w:cs="Arial" w:eastAsia="Arial" w:hAnsi="Arial"/>
          <w:sz w:val="18"/>
          <w:szCs w:val="18"/>
          <w:color w:val="auto"/>
        </w:rPr>
      </w:pPr>
    </w:p>
    <w:p>
      <w:pPr>
        <w:ind w:left="660" w:hanging="229"/>
        <w:spacing w:after="0" w:line="307"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7"/>
          <w:szCs w:val="17"/>
          <w:color w:val="auto"/>
        </w:rPr>
      </w:pPr>
    </w:p>
    <w:p>
      <w:pPr>
        <w:ind w:left="1300" w:hanging="212"/>
        <w:spacing w:after="0" w:line="273" w:lineRule="auto"/>
        <w:tabs>
          <w:tab w:leader="none" w:pos="13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7"/>
          <w:szCs w:val="17"/>
          <w:color w:val="auto"/>
        </w:rPr>
      </w:pPr>
    </w:p>
    <w:p>
      <w:pPr>
        <w:ind w:left="1300" w:hanging="222"/>
        <w:spacing w:after="0" w:line="260"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Ioannis E. Lazaridis</w:t>
            </w:r>
          </w:p>
        </w:tc>
        <w:tc>
          <w:tcPr>
            <w:tcW w:w="60" w:type="dxa"/>
            <w:vAlign w:val="bottom"/>
          </w:tcPr>
          <w:p>
            <w:pPr>
              <w:spacing w:after="0"/>
              <w:rPr>
                <w:sz w:val="18"/>
                <w:szCs w:val="18"/>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rPr>
              <w:t>Ioannis E. Lazaridis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20"/>
          </w:cols>
          <w:pgMar w:left="240" w:top="121" w:right="239" w:bottom="1440" w:gutter="0" w:footer="0" w:header="0"/>
        </w:sectPr>
      </w:pPr>
    </w:p>
    <w:bookmarkStart w:id="121" w:name="page122"/>
    <w:bookmarkEnd w:id="121"/>
    <w:p>
      <w:pPr>
        <w:ind w:left="10300"/>
        <w:spacing w:after="0"/>
        <w:rPr>
          <w:sz w:val="20"/>
          <w:szCs w:val="20"/>
          <w:color w:val="auto"/>
        </w:rPr>
      </w:pPr>
      <w:r>
        <w:rPr>
          <w:rFonts w:ascii="Arial" w:cs="Arial" w:eastAsia="Arial" w:hAnsi="Arial"/>
          <w:sz w:val="18"/>
          <w:szCs w:val="18"/>
          <w:b w:val="1"/>
          <w:bCs w:val="1"/>
          <w:color w:val="auto"/>
        </w:rPr>
        <w:t>EXHIBIT 12.2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56" w:lineRule="exact"/>
        <w:rPr>
          <w:sz w:val="20"/>
          <w:szCs w:val="20"/>
          <w:color w:val="auto"/>
        </w:rPr>
      </w:pPr>
    </w:p>
    <w:p>
      <w:pPr>
        <w:ind w:left="660" w:hanging="229"/>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51" w:lineRule="exact"/>
        <w:rPr>
          <w:rFonts w:ascii="Arial" w:cs="Arial" w:eastAsia="Arial" w:hAnsi="Arial"/>
          <w:sz w:val="18"/>
          <w:szCs w:val="18"/>
          <w:color w:val="auto"/>
        </w:rPr>
      </w:pPr>
    </w:p>
    <w:p>
      <w:pPr>
        <w:jc w:val="both"/>
        <w:ind w:left="660" w:hanging="229"/>
        <w:spacing w:after="0" w:line="26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6" w:lineRule="exact"/>
        <w:rPr>
          <w:rFonts w:ascii="Arial" w:cs="Arial" w:eastAsia="Arial" w:hAnsi="Arial"/>
          <w:sz w:val="18"/>
          <w:szCs w:val="18"/>
          <w:color w:val="auto"/>
        </w:rPr>
      </w:pPr>
    </w:p>
    <w:p>
      <w:pPr>
        <w:jc w:val="both"/>
        <w:ind w:left="660" w:hanging="229"/>
        <w:spacing w:after="0" w:line="26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9" w:lineRule="exact"/>
        <w:rPr>
          <w:rFonts w:ascii="Arial" w:cs="Arial" w:eastAsia="Arial" w:hAnsi="Arial"/>
          <w:sz w:val="18"/>
          <w:szCs w:val="18"/>
          <w:color w:val="auto"/>
        </w:rPr>
      </w:pPr>
    </w:p>
    <w:p>
      <w:pPr>
        <w:jc w:val="both"/>
        <w:ind w:left="1300" w:hanging="212"/>
        <w:spacing w:after="0" w:line="263"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222"/>
        <w:spacing w:after="0" w:line="263"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right="20" w:hanging="212"/>
        <w:spacing w:after="0" w:line="341"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jc w:val="both"/>
        <w:ind w:left="1300" w:hanging="222"/>
        <w:spacing w:after="0" w:line="263"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660" w:hanging="229"/>
        <w:spacing w:after="0" w:line="307"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7"/>
          <w:szCs w:val="17"/>
          <w:color w:val="auto"/>
        </w:rPr>
      </w:pPr>
    </w:p>
    <w:p>
      <w:pPr>
        <w:ind w:left="1300" w:hanging="212"/>
        <w:spacing w:after="0" w:line="307" w:lineRule="auto"/>
        <w:tabs>
          <w:tab w:leader="none" w:pos="130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7"/>
          <w:szCs w:val="17"/>
          <w:color w:val="auto"/>
        </w:rPr>
      </w:pPr>
    </w:p>
    <w:p>
      <w:pPr>
        <w:ind w:left="1300" w:hanging="222"/>
        <w:spacing w:after="0" w:line="277"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Ioannis E. Lazaridis</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Ioannis E. Lazaridis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420"/>
          </w:cols>
          <w:pgMar w:left="240" w:top="121" w:right="239" w:bottom="1440" w:gutter="0" w:footer="0" w:header="0"/>
        </w:sectPr>
      </w:pPr>
    </w:p>
    <w:bookmarkStart w:id="122" w:name="page123"/>
    <w:bookmarkEnd w:id="122"/>
    <w:p>
      <w:pPr>
        <w:ind w:left="10300"/>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2008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213" w:lineRule="exact"/>
        <w:rPr>
          <w:sz w:val="20"/>
          <w:szCs w:val="20"/>
          <w:color w:val="auto"/>
        </w:rPr>
      </w:pPr>
    </w:p>
    <w:p>
      <w:pPr>
        <w:ind w:left="340" w:hanging="233"/>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1" w:lineRule="exact"/>
        <w:rPr>
          <w:rFonts w:ascii="Arial" w:cs="Arial" w:eastAsia="Arial" w:hAnsi="Arial"/>
          <w:sz w:val="18"/>
          <w:szCs w:val="18"/>
          <w:color w:val="auto"/>
        </w:rPr>
      </w:pPr>
    </w:p>
    <w:p>
      <w:pPr>
        <w:ind w:left="340" w:hanging="233"/>
        <w:spacing w:after="0"/>
        <w:tabs>
          <w:tab w:leader="none" w:pos="3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2009</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 Ioannis E. Lazaridis</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Ioannis E. Lazaridis</w:t>
            </w:r>
          </w:p>
        </w:tc>
        <w:tc>
          <w:tcPr>
            <w:tcW w:w="208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w w:val="92"/>
              </w:rPr>
              <w:t>Chief Executive Officer and Chief Financial Officer</w:t>
            </w:r>
          </w:p>
        </w:tc>
      </w:tr>
    </w:tbl>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333 - -153274 on Form F-3 of our reports dated March 26, 2009, relating to the consolidated and combined financial statements of Capital Product Partners L.P. (the “Partnership”) (which report expresses an unqualified opinion and includes explanatory paragraphs relating to (1) the formation of Capital Product Partners L.P. and the preparation of the portion of the combined financial statements attributable to the period through April 4, 2007 from the separate records maintained by Capital Maritime &amp; Trading Corp., and (2) the preparation of the portion of the combined financial statements attributable to the Ross Shipmanagement Co., Baymont Enterprises Incorporated, and Forbes Maritime Co., prior to the vessel acquisition by the Partnership, from the separate records maintained by Capital Maritime &amp; Trading Corp.) and management’s report on the effectiveness of the Partnership’s internal control over financial reporting, appearing in this Annual Report on Form 20-F of the Partnership for the year ended December 31, 2008.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o"/>
      <w:numFmt w:val="bullet"/>
      <w:start w:val="1"/>
    </w:lvl>
  </w:abstractNum>
  <w:abstractNum w:abstractNumId="1">
    <w:nsid w:val="2F305DEF"/>
    <w:multiLevelType w:val="hybridMultilevel"/>
    <w:lvl w:ilvl="0">
      <w:lvlJc w:val="left"/>
      <w:lvlText w:val="x"/>
      <w:numFmt w:val="bullet"/>
      <w:start w:val="1"/>
    </w:lvl>
  </w:abstractNum>
  <w:abstractNum w:abstractNumId="2">
    <w:nsid w:val="25A70BF7"/>
    <w:multiLevelType w:val="hybridMultilevel"/>
    <w:lvl w:ilvl="0">
      <w:lvlJc w:val="left"/>
      <w:lvlText w:val="o"/>
      <w:numFmt w:val="bullet"/>
      <w:start w:val="1"/>
    </w:lvl>
  </w:abstractNum>
  <w:abstractNum w:abstractNumId="3">
    <w:nsid w:val="1DBABF00"/>
    <w:multiLevelType w:val="hybridMultilevel"/>
    <w:lvl w:ilvl="0">
      <w:lvlJc w:val="left"/>
      <w:lvlText w:val="o"/>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1)"/>
      <w:numFmt w:val="decimal"/>
      <w:start w:val="1"/>
    </w:lvl>
    <w:lvl w:ilvl="1">
      <w:lvlJc w:val="left"/>
      <w:lvlText w:val="%2)"/>
      <w:numFmt w:val="lowerLetter"/>
      <w:start w:val="1"/>
    </w:lvl>
  </w:abstractNum>
  <w:abstractNum w:abstractNumId="7">
    <w:nsid w:val="5DB70AE5"/>
    <w:multiLevelType w:val="hybridMultilevel"/>
    <w:lvl w:ilvl="0">
      <w:lvlJc w:val="left"/>
      <w:lvlText w:val="(%1)"/>
      <w:numFmt w:val="decimal"/>
      <w:start w:val="2"/>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1."/>
      <w:numFmt w:val="decimal"/>
      <w:start w:val="404"/>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1)"/>
      <w:numFmt w:val="decimal"/>
      <w:start w:val="6"/>
    </w:lvl>
  </w:abstractNum>
  <w:abstractNum w:abstractNumId="41">
    <w:nsid w:val="6EB5BD4"/>
    <w:multiLevelType w:val="hybridMultilevel"/>
    <w:lvl w:ilvl="0">
      <w:lvlJc w:val="left"/>
      <w:lvlText w:val="(%1)"/>
      <w:numFmt w:val="decimal"/>
      <w:start w:val="13"/>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o"/>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lvl w:ilvl="1">
      <w:lvlJc w:val="left"/>
      <w:lvlText w:val="o"/>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1"/>
      <w:numFmt w:val="upperLetter"/>
      <w:start w:val="35"/>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1"/>
      <w:numFmt w:val="decimal"/>
      <w:start w:val="1"/>
    </w:lvl>
    <w:lvl w:ilvl="1">
      <w:lvlJc w:val="left"/>
      <w:lvlText w:val="(%2)"/>
      <w:numFmt w:val="decimal"/>
      <w:start w:val="1"/>
    </w:lvl>
  </w:abstractNum>
  <w:abstractNum w:abstractNumId="59">
    <w:nsid w:val="60EF0119"/>
    <w:multiLevelType w:val="hybridMultilevel"/>
    <w:lvl w:ilvl="0">
      <w:lvlJc w:val="left"/>
      <w:lvlText w:val="(%1)"/>
      <w:numFmt w:val="decimal"/>
      <w:start w:val="2"/>
    </w:lvl>
    <w:lvl w:ilvl="1">
      <w:lvlJc w:val="left"/>
      <w:lvlText w:val="%2"/>
      <w:numFmt w:val="decimal"/>
      <w:start w:val="1"/>
    </w:lvl>
  </w:abstractNum>
  <w:abstractNum w:abstractNumId="60">
    <w:nsid w:val="26F324BA"/>
    <w:multiLevelType w:val="hybridMultilevel"/>
    <w:lvl w:ilvl="0">
      <w:lvlJc w:val="left"/>
      <w:lvlText w:val="%1."/>
      <w:numFmt w:val="decimal"/>
      <w:start w:val="1"/>
    </w:lvl>
  </w:abstractNum>
  <w:abstractNum w:abstractNumId="61">
    <w:nsid w:val="7F01579B"/>
    <w:multiLevelType w:val="hybridMultilevel"/>
    <w:lvl w:ilvl="0">
      <w:lvlJc w:val="left"/>
      <w:lvlText w:val="%1."/>
      <w:numFmt w:val="decimal"/>
      <w:start w:val="5"/>
    </w:lvl>
  </w:abstractNum>
  <w:abstractNum w:abstractNumId="62">
    <w:nsid w:val="49DA307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3">
    <w:nsid w:val="7055A5F5"/>
    <w:multiLevelType w:val="hybridMultilevel"/>
    <w:lvl w:ilvl="0">
      <w:lvlJc w:val="left"/>
      <w:lvlText w:val="%1."/>
      <w:numFmt w:val="lowerLetter"/>
      <w:start w:val="3"/>
    </w:lvl>
    <w:lvl w:ilvl="1">
      <w:lvlJc w:val="left"/>
      <w:lvlText w:val="%2."/>
      <w:numFmt w:val="lowerRoman"/>
      <w:start w:val="1"/>
    </w:lvl>
  </w:abstractNum>
  <w:abstractNum w:abstractNumId="64">
    <w:nsid w:val="5FB8370B"/>
    <w:multiLevelType w:val="hybridMultilevel"/>
    <w:lvl w:ilvl="0">
      <w:lvlJc w:val="left"/>
      <w:lvlText w:val="%1."/>
      <w:numFmt w:val="lowerLetter"/>
      <w:start w:val="1"/>
    </w:lvl>
    <w:lvl w:ilvl="1">
      <w:lvlJc w:val="left"/>
      <w:lvlText w:val="%2."/>
      <w:numFmt w:val="lowerRoman"/>
      <w:start w:val="1"/>
    </w:lvl>
  </w:abstractNum>
  <w:abstractNum w:abstractNumId="65">
    <w:nsid w:val="50801EE1"/>
    <w:multiLevelType w:val="hybridMultilevel"/>
    <w:lvl w:ilvl="0">
      <w:lvlJc w:val="left"/>
      <w:lvlText w:val="%1."/>
      <w:numFmt w:val="lowerLetter"/>
      <w:start w:val="4"/>
    </w:lvl>
  </w:abstractNum>
  <w:abstractNum w:abstractNumId="66">
    <w:nsid w:val="488AC1A"/>
    <w:multiLevelType w:val="hybridMultilevel"/>
    <w:lvl w:ilvl="0">
      <w:lvlJc w:val="left"/>
      <w:lvlText w:val="%1."/>
      <w:numFmt w:val="decimal"/>
      <w:start w:val="10"/>
    </w:lvl>
    <w:lvl w:ilvl="1">
      <w:lvlJc w:val="left"/>
      <w:lvlText w:val="%2."/>
      <w:numFmt w:val="lowerLetter"/>
      <w:start w:val="1"/>
    </w:lvl>
  </w:abstractNum>
  <w:abstractNum w:abstractNumId="67">
    <w:nsid w:val="5FB8011C"/>
    <w:multiLevelType w:val="hybridMultilevel"/>
    <w:lvl w:ilvl="0">
      <w:lvlJc w:val="left"/>
      <w:lvlText w:val="%1."/>
      <w:numFmt w:val="decimal"/>
      <w:start w:val="14"/>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3"/>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1."/>
      <w:numFmt w:val="upperLetter"/>
      <w:start w:val="3"/>
    </w:lvl>
    <w:lvl w:ilvl="1">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1)"/>
      <w:numFmt w:val="lowerRoman"/>
      <w:start w:val="3"/>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1."/>
      <w:numFmt w:val="decimal"/>
      <w:start w:val="1"/>
    </w:lvl>
  </w:abstractNum>
  <w:abstractNum w:abstractNumId="84">
    <w:nsid w:val="5092CA7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4."/>
      <w:numFmt w:val="lowerLetter"/>
      <w:start w:val="1"/>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1."/>
      <w:numFmt w:val="decimal"/>
      <w:start w:val="2"/>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decimal"/>
      <w:start w:val="2"/>
    </w:lvl>
  </w:abstractNum>
  <w:abstractNum w:abstractNumId="89">
    <w:nsid w:val="1D9F6E5F"/>
    <w:multiLevelType w:val="hybridMultilevel"/>
    <w:lvl w:ilvl="0">
      <w:lvlJc w:val="left"/>
      <w:lvlText w:val="(%1)"/>
      <w:numFmt w:val="lowerLetter"/>
      <w:start w:val="4"/>
    </w:lvl>
  </w:abstractNum>
  <w:abstractNum w:abstractNumId="90">
    <w:nsid w:val="97E1B4E"/>
    <w:multiLevelType w:val="hybridMultilevel"/>
    <w:lvl w:ilvl="0">
      <w:lvlJc w:val="left"/>
      <w:lvlText w:val="%1."/>
      <w:numFmt w:val="decimal"/>
      <w:start w:val="2"/>
    </w:lvl>
  </w:abstractNum>
  <w:abstractNum w:abstractNumId="91">
    <w:nsid w:val="51088277"/>
    <w:multiLevelType w:val="hybridMultilevel"/>
    <w:lvl w:ilvl="0">
      <w:lvlJc w:val="left"/>
      <w:lvlText w:val="(%1)"/>
      <w:numFmt w:val="lowerLetter"/>
      <w:start w:val="12"/>
    </w:lvl>
  </w:abstractNum>
  <w:abstractNum w:abstractNumId="92">
    <w:nsid w:val="1CA0C5FA"/>
    <w:multiLevelType w:val="hybridMultilevel"/>
    <w:lvl w:ilvl="0">
      <w:lvlJc w:val="left"/>
      <w:lvlText w:val="%1."/>
      <w:numFmt w:val="decimal"/>
      <w:start w:val="2"/>
    </w:lvl>
  </w:abstractNum>
  <w:abstractNum w:abstractNumId="93">
    <w:nsid w:val="53584BCB"/>
    <w:multiLevelType w:val="hybridMultilevel"/>
    <w:lvl w:ilvl="0">
      <w:lvlJc w:val="left"/>
      <w:lvlText w:val="(%1)"/>
      <w:numFmt w:val="lowerLetter"/>
      <w:start w:val="18"/>
    </w:lvl>
  </w:abstractNum>
  <w:abstractNum w:abstractNumId="94">
    <w:nsid w:val="415E286C"/>
    <w:multiLevelType w:val="hybridMultilevel"/>
    <w:lvl w:ilvl="0">
      <w:lvlJc w:val="left"/>
      <w:lvlText w:val="%1."/>
      <w:numFmt w:val="decimal"/>
      <w:start w:val="2"/>
    </w:lvl>
  </w:abstractNum>
  <w:abstractNum w:abstractNumId="95">
    <w:nsid w:val="7C58FD05"/>
    <w:multiLevelType w:val="hybridMultilevel"/>
    <w:lvl w:ilvl="0">
      <w:lvlJc w:val="left"/>
      <w:lvlText w:val="(%1)"/>
      <w:numFmt w:val="lowerLetter"/>
      <w:start w:val="21"/>
    </w:lvl>
  </w:abstractNum>
  <w:abstractNum w:abstractNumId="96">
    <w:nsid w:val="23D86AAC"/>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97">
    <w:nsid w:val="45E6D486"/>
    <w:multiLevelType w:val="hybridMultilevel"/>
    <w:lvl w:ilvl="0">
      <w:lvlJc w:val="left"/>
      <w:lvlText w:val="%1."/>
      <w:numFmt w:val="decimal"/>
      <w:start w:val="3"/>
    </w:lvl>
  </w:abstractNum>
  <w:abstractNum w:abstractNumId="98">
    <w:nsid w:val="5C10FE21"/>
    <w:multiLevelType w:val="hybridMultilevel"/>
    <w:lvl w:ilvl="0">
      <w:lvlJc w:val="left"/>
      <w:lvlText w:val="(%1)"/>
      <w:numFmt w:val="lowerLetter"/>
      <w:start w:val="1"/>
    </w:lvl>
  </w:abstractNum>
  <w:abstractNum w:abstractNumId="99">
    <w:nsid w:val="E7FFA2B"/>
    <w:multiLevelType w:val="hybridMultilevel"/>
    <w:lvl w:ilvl="0">
      <w:lvlJc w:val="left"/>
      <w:lvlText w:val="%1."/>
      <w:numFmt w:val="decimal"/>
      <w:start w:val="3"/>
    </w:lvl>
    <w:lvl w:ilvl="1">
      <w:lvlJc w:val="left"/>
      <w:lvlText w:val="(%2)"/>
      <w:numFmt w:val="lowerLetter"/>
      <w:start w:val="2"/>
    </w:lvl>
  </w:abstractNum>
  <w:abstractNum w:abstractNumId="100">
    <w:nsid w:val="3C5991AA"/>
    <w:multiLevelType w:val="hybridMultilevel"/>
    <w:lvl w:ilvl="0">
      <w:lvlJc w:val="left"/>
      <w:lvlText w:val="%1."/>
      <w:numFmt w:val="decimal"/>
      <w:start w:val="4"/>
    </w:lvl>
  </w:abstractNum>
  <w:abstractNum w:abstractNumId="101">
    <w:nsid w:val="4BD8591A"/>
    <w:multiLevelType w:val="hybridMultilevel"/>
    <w:lvl w:ilvl="0">
      <w:lvlJc w:val="left"/>
      <w:lvlText w:val="%1."/>
      <w:numFmt w:val="decimal"/>
      <w:start w:val="5"/>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1."/>
      <w:numFmt w:val="decimal"/>
      <w:start w:val="5"/>
    </w:lvl>
  </w:abstractNum>
  <w:abstractNum w:abstractNumId="104">
    <w:nsid w:val="2B0D8DBE"/>
    <w:multiLevelType w:val="hybridMultilevel"/>
    <w:lvl w:ilvl="0">
      <w:lvlJc w:val="left"/>
      <w:lvlText w:val="%1."/>
      <w:numFmt w:val="decimal"/>
      <w:start w:val="6"/>
    </w:lvl>
  </w:abstractNum>
  <w:abstractNum w:abstractNumId="105">
    <w:nsid w:val="6C80EC70"/>
    <w:multiLevelType w:val="hybridMultilevel"/>
    <w:lvl w:ilvl="0">
      <w:lvlJc w:val="left"/>
      <w:lvlText w:val="%1."/>
      <w:numFmt w:val="decimal"/>
      <w:start w:val="7"/>
    </w:lvl>
  </w:abstractNum>
  <w:abstractNum w:abstractNumId="106">
    <w:nsid w:val="379E21B5"/>
    <w:multiLevelType w:val="hybridMultilevel"/>
    <w:lvl w:ilvl="0">
      <w:lvlJc w:val="left"/>
      <w:lvlText w:val="%1."/>
      <w:numFmt w:val="decimal"/>
      <w:start w:val="9"/>
    </w:lvl>
  </w:abstractNum>
  <w:abstractNum w:abstractNumId="107">
    <w:nsid w:val="69E373"/>
    <w:multiLevelType w:val="hybridMultilevel"/>
    <w:lvl w:ilvl="0">
      <w:lvlJc w:val="left"/>
      <w:lvlText w:val="%1."/>
      <w:numFmt w:val="decimal"/>
      <w:start w:val="10"/>
    </w:lvl>
  </w:abstractNum>
  <w:abstractNum w:abstractNumId="108">
    <w:nsid w:val="2C27173B"/>
    <w:multiLevelType w:val="hybridMultilevel"/>
    <w:lvl w:ilvl="0">
      <w:lvlJc w:val="left"/>
      <w:lvlText w:val="%1."/>
      <w:numFmt w:val="decimal"/>
      <w:start w:val="11"/>
    </w:lvl>
  </w:abstractNum>
  <w:abstractNum w:abstractNumId="109">
    <w:nsid w:val="4C9B0904"/>
    <w:multiLevelType w:val="hybridMultilevel"/>
    <w:lvl w:ilvl="0">
      <w:lvlJc w:val="left"/>
      <w:lvlText w:val="●"/>
      <w:numFmt w:val="bullet"/>
      <w:start w:val="1"/>
    </w:lvl>
    <w:lvl w:ilvl="1">
      <w:lvlJc w:val="left"/>
      <w:lvlText w:val="●"/>
      <w:numFmt w:val="bullet"/>
      <w:start w:val="1"/>
    </w:lvl>
  </w:abstractNum>
  <w:abstractNum w:abstractNumId="110">
    <w:nsid w:val="6AA7B75C"/>
    <w:multiLevelType w:val="hybridMultilevel"/>
    <w:lvl w:ilvl="0">
      <w:lvlJc w:val="left"/>
      <w:lvlText w:val="%1."/>
      <w:numFmt w:val="decimal"/>
      <w:start w:val="1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1."/>
      <w:numFmt w:val="decimal"/>
      <w:start w:val="1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1."/>
      <w:numFmt w:val="decimal"/>
      <w:start w:val="12"/>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decimal"/>
      <w:start w:val="13"/>
    </w:lvl>
  </w:abstractNum>
  <w:abstractNum w:abstractNumId="119">
    <w:nsid w:val="53B0A9E"/>
    <w:multiLevelType w:val="hybridMultilevel"/>
    <w:lvl w:ilvl="0">
      <w:lvlJc w:val="left"/>
      <w:lvlText w:val="●"/>
      <w:numFmt w:val="bullet"/>
      <w:start w:val="1"/>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decimal"/>
      <w:start w:val="13"/>
    </w:lvl>
  </w:abstractNum>
  <w:abstractNum w:abstractNumId="123">
    <w:nsid w:val="519E3149"/>
    <w:multiLevelType w:val="hybridMultilevel"/>
    <w:lvl w:ilvl="0">
      <w:lvlJc w:val="left"/>
      <w:lvlText w:val="%1."/>
      <w:numFmt w:val="decimal"/>
      <w:start w:val="14"/>
    </w:lvl>
  </w:abstractNum>
  <w:abstractNum w:abstractNumId="124">
    <w:nsid w:val="2C6E4AFD"/>
    <w:multiLevelType w:val="hybridMultilevel"/>
    <w:lvl w:ilvl="0">
      <w:lvlJc w:val="left"/>
      <w:lvlText w:val="(%1)"/>
      <w:numFmt w:val="lowerLetter"/>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2019-12-11T04:31:39Z</dcterms:created>
  <dcterms:modified xsi:type="dcterms:W3CDTF">2019-12-11T04:31:39Z</dcterms:modified>
</cp:coreProperties>
</file>