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388"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Gerasimos (Jerry) Kalogiratos, j.kalogiratos@capitalmaritime.com</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Common units representing limited</w:t>
            </w: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partnership interests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122,094,633 Common Units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2,439,989 General Partner Units</w:t>
      </w:r>
    </w:p>
    <w:p>
      <w:pPr>
        <w:sectPr>
          <w:pgSz w:w="11900" w:h="16888" w:orient="portrait"/>
          <w:cols w:equalWidth="0" w:num="1">
            <w:col w:w="11380"/>
          </w:cols>
          <w:pgMar w:left="240" w:top="230" w:right="27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12,983,333 Class B Convertible Preferred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760"/>
        <w:spacing w:after="0" w:line="207" w:lineRule="exact"/>
        <w:tabs>
          <w:tab w:leader="none" w:pos="61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760"/>
        <w:spacing w:after="0" w:line="207" w:lineRule="exact"/>
        <w:tabs>
          <w:tab w:leader="none" w:pos="61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740"/>
        <w:spacing w:after="0" w:line="207" w:lineRule="exact"/>
        <w:tabs>
          <w:tab w:leader="none" w:pos="61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ind w:left="4740"/>
        <w:spacing w:after="0" w:line="207" w:lineRule="exact"/>
        <w:tabs>
          <w:tab w:leader="none" w:pos="61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38" w:lineRule="exact"/>
        <w:rPr>
          <w:sz w:val="20"/>
          <w:szCs w:val="20"/>
          <w:color w:val="auto"/>
        </w:rPr>
      </w:pPr>
    </w:p>
    <w:p>
      <w:pPr>
        <w:ind w:left="2260"/>
        <w:spacing w:after="0" w:line="207" w:lineRule="exact"/>
        <w:tabs>
          <w:tab w:leader="none" w:pos="5000" w:val="left"/>
          <w:tab w:leader="none" w:pos="728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pacing w:after="0" w:line="499" w:lineRule="exact"/>
        <w:rPr>
          <w:sz w:val="20"/>
          <w:szCs w:val="20"/>
          <w:color w:val="auto"/>
        </w:rPr>
      </w:pPr>
    </w:p>
    <w:p>
      <w:pPr>
        <w:sectPr>
          <w:pgSz w:w="11900" w:h="16838" w:orient="portrait"/>
          <w:cols w:equalWidth="0" w:num="5">
            <w:col w:w="2320" w:space="80"/>
            <w:col w:w="160" w:space="480"/>
            <w:col w:w="4180" w:space="80"/>
            <w:col w:w="1260" w:space="720"/>
            <w:col w:w="2140"/>
          </w:cols>
          <w:pgMar w:left="240" w:top="121" w:right="239" w:bottom="1440" w:gutter="0" w:footer="0" w:header="0"/>
          <w:type w:val="continuous"/>
        </w:sectPr>
      </w:pPr>
    </w:p>
    <w:p>
      <w:pPr>
        <w:jc w:val="center"/>
        <w:ind w:right="8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statements item the registrant has elected to follow.</w:t>
      </w:r>
    </w:p>
    <w:p>
      <w:pPr>
        <w:spacing w:after="0" w:line="216" w:lineRule="exact"/>
        <w:rPr>
          <w:sz w:val="20"/>
          <w:szCs w:val="20"/>
          <w:color w:val="auto"/>
        </w:rPr>
      </w:pPr>
    </w:p>
    <w:p>
      <w:pPr>
        <w:ind w:left="4380"/>
        <w:spacing w:after="0" w:line="207" w:lineRule="exact"/>
        <w:tabs>
          <w:tab w:leader="none" w:pos="60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4740"/>
        <w:spacing w:after="0" w:line="207" w:lineRule="exact"/>
        <w:tabs>
          <w:tab w:leader="none" w:pos="61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PRODUCT PARTNERS 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80" w:type="dxa"/>
            <w:vAlign w:val="bottom"/>
            <w:gridSpan w:val="2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600" w:type="dxa"/>
            <w:vAlign w:val="bottom"/>
            <w:vMerge w:val="restart"/>
          </w:tcPr>
          <w:p>
            <w:pPr>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PART I</w:t>
              </w:r>
            </w:hyperlink>
          </w:p>
        </w:tc>
        <w:tc>
          <w:tcPr>
            <w:tcW w:w="520" w:type="dxa"/>
            <w:vAlign w:val="bottom"/>
            <w:gridSpan w:val="3"/>
            <w:vMerge w:val="restart"/>
          </w:tcPr>
          <w:p>
            <w:pPr>
              <w:spacing w:after="0"/>
              <w:rPr>
                <w:sz w:val="13"/>
                <w:szCs w:val="13"/>
                <w:color w:val="auto"/>
              </w:rPr>
            </w:pPr>
          </w:p>
        </w:tc>
        <w:tc>
          <w:tcPr>
            <w:tcW w:w="9880" w:type="dxa"/>
            <w:vAlign w:val="bottom"/>
            <w:gridSpan w:val="26"/>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0" w:type="dxa"/>
            <w:vAlign w:val="bottom"/>
            <w:tcBorders>
              <w:bottom w:val="single" w:sz="8" w:color="0000EE"/>
            </w:tcBorders>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2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Offer Statistics and Expected Timetable</w:t>
              </w:r>
            </w:hyperlink>
          </w:p>
        </w:tc>
        <w:tc>
          <w:tcPr>
            <w:tcW w:w="1140" w:type="dxa"/>
            <w:vAlign w:val="bottom"/>
            <w:tcBorders>
              <w:top w:val="single" w:sz="8" w:color="0000EE"/>
            </w:tcBorders>
            <w:gridSpan w:val="7"/>
          </w:tcPr>
          <w:p>
            <w:pPr>
              <w:spacing w:after="0"/>
              <w:rPr>
                <w:sz w:val="17"/>
                <w:szCs w:val="17"/>
                <w:color w:val="auto"/>
              </w:rPr>
            </w:pPr>
          </w:p>
        </w:tc>
        <w:tc>
          <w:tcPr>
            <w:tcW w:w="5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866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Information on the Partnership</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4A.</w:t>
            </w: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Unresolved Staff Comments</w:t>
              </w:r>
            </w:hyperlink>
          </w:p>
        </w:tc>
        <w:tc>
          <w:tcPr>
            <w:tcW w:w="160" w:type="dxa"/>
            <w:vAlign w:val="bottom"/>
            <w:tcBorders>
              <w:top w:val="single" w:sz="8" w:color="0000EE"/>
            </w:tcBorders>
            <w:gridSpan w:val="2"/>
          </w:tcPr>
          <w:p>
            <w:pPr>
              <w:spacing w:after="0"/>
              <w:rPr>
                <w:sz w:val="17"/>
                <w:szCs w:val="17"/>
                <w:color w:val="auto"/>
              </w:rPr>
            </w:pPr>
          </w:p>
        </w:tc>
        <w:tc>
          <w:tcPr>
            <w:tcW w:w="76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5.</w:t>
            </w:r>
          </w:p>
        </w:tc>
        <w:tc>
          <w:tcPr>
            <w:tcW w:w="34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Operating and Financial Review and Prospects</w:t>
              </w:r>
            </w:hyperlink>
          </w:p>
        </w:tc>
        <w:tc>
          <w:tcPr>
            <w:tcW w:w="64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6.</w:t>
            </w:r>
          </w:p>
        </w:tc>
        <w:tc>
          <w:tcPr>
            <w:tcW w:w="33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Directors, Senior Management and Employees</w:t>
              </w:r>
            </w:hyperlink>
          </w:p>
        </w:tc>
        <w:tc>
          <w:tcPr>
            <w:tcW w:w="65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7.</w:t>
            </w:r>
          </w:p>
        </w:tc>
        <w:tc>
          <w:tcPr>
            <w:tcW w:w="3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Major Unitholders and Related-Party Transactions</w:t>
              </w:r>
            </w:hyperlink>
          </w:p>
        </w:tc>
        <w:tc>
          <w:tcPr>
            <w:tcW w:w="62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Financial Information</w:t>
              </w:r>
            </w:hyperlink>
          </w:p>
        </w:tc>
        <w:tc>
          <w:tcPr>
            <w:tcW w:w="82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9.</w:t>
            </w:r>
          </w:p>
        </w:tc>
        <w:tc>
          <w:tcPr>
            <w:tcW w:w="9880" w:type="dxa"/>
            <w:vAlign w:val="bottom"/>
            <w:gridSpan w:val="2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The Offer and Listing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10.</w:t>
            </w:r>
          </w:p>
        </w:tc>
        <w:tc>
          <w:tcPr>
            <w:tcW w:w="9880" w:type="dxa"/>
            <w:vAlign w:val="bottom"/>
            <w:gridSpan w:val="2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11.</w:t>
            </w:r>
          </w:p>
        </w:tc>
        <w:tc>
          <w:tcPr>
            <w:tcW w:w="9880" w:type="dxa"/>
            <w:vAlign w:val="bottom"/>
            <w:gridSpan w:val="26"/>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Quantitative and Qualitative Disclosures About Market Risk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12.</w:t>
            </w:r>
          </w:p>
        </w:tc>
        <w:tc>
          <w:tcPr>
            <w:tcW w:w="4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Description of Securities Other than Equity Securities</w:t>
              </w:r>
            </w:hyperlink>
          </w:p>
        </w:tc>
        <w:tc>
          <w:tcPr>
            <w:tcW w:w="552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PART II</w:t>
              </w:r>
            </w:hyperlink>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8"/>
              </w:rPr>
              <w:t>Item 13.</w:t>
            </w:r>
          </w:p>
        </w:tc>
        <w:tc>
          <w:tcPr>
            <w:tcW w:w="460" w:type="dxa"/>
            <w:vAlign w:val="bottom"/>
            <w:gridSpan w:val="2"/>
          </w:tcPr>
          <w:p>
            <w:pPr>
              <w:spacing w:after="0"/>
              <w:rPr>
                <w:sz w:val="24"/>
                <w:szCs w:val="24"/>
                <w:color w:val="auto"/>
              </w:rPr>
            </w:pPr>
          </w:p>
        </w:tc>
        <w:tc>
          <w:tcPr>
            <w:tcW w:w="36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Defaults, Dividend, Arrearages and Delinquencies</w:t>
              </w:r>
            </w:hyperlink>
          </w:p>
        </w:tc>
        <w:tc>
          <w:tcPr>
            <w:tcW w:w="6240" w:type="dxa"/>
            <w:vAlign w:val="bottom"/>
            <w:gridSpan w:val="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14.</w:t>
            </w:r>
          </w:p>
        </w:tc>
        <w:tc>
          <w:tcPr>
            <w:tcW w:w="56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Material Modifications to the Rights of Security Holders and Use of Proceeds</w:t>
              </w:r>
            </w:hyperlink>
          </w:p>
        </w:tc>
        <w:tc>
          <w:tcPr>
            <w:tcW w:w="42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15.</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Controls and Procedures</w:t>
              </w:r>
            </w:hyperlink>
          </w:p>
        </w:tc>
        <w:tc>
          <w:tcPr>
            <w:tcW w:w="81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16A.</w:t>
            </w:r>
          </w:p>
        </w:tc>
        <w:tc>
          <w:tcPr>
            <w:tcW w:w="9880" w:type="dxa"/>
            <w:vAlign w:val="bottom"/>
            <w:gridSpan w:val="2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Audit Committee Financial Expert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10"/>
          </w:tcPr>
          <w:p>
            <w:pPr>
              <w:spacing w:after="0"/>
              <w:rPr>
                <w:sz w:val="17"/>
                <w:szCs w:val="17"/>
                <w:color w:val="auto"/>
              </w:rPr>
            </w:pPr>
          </w:p>
        </w:tc>
        <w:tc>
          <w:tcPr>
            <w:tcW w:w="738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16C.</w:t>
            </w:r>
          </w:p>
        </w:tc>
        <w:tc>
          <w:tcPr>
            <w:tcW w:w="9880" w:type="dxa"/>
            <w:vAlign w:val="bottom"/>
            <w:gridSpan w:val="2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Principal Accountant Fees and Services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16D.</w:t>
            </w:r>
          </w:p>
        </w:tc>
        <w:tc>
          <w:tcPr>
            <w:tcW w:w="9880" w:type="dxa"/>
            <w:vAlign w:val="bottom"/>
            <w:gridSpan w:val="2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Exemptions from the Listing Standards for Audit Committees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Purchases of Equity Securities by the Issuer and Affiliated Purchasers</w:t>
              </w:r>
            </w:hyperlink>
          </w:p>
        </w:tc>
        <w:tc>
          <w:tcPr>
            <w:tcW w:w="48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16F.</w:t>
            </w:r>
          </w:p>
        </w:tc>
        <w:tc>
          <w:tcPr>
            <w:tcW w:w="9880" w:type="dxa"/>
            <w:vAlign w:val="bottom"/>
            <w:gridSpan w:val="2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Change in Registrant’s Certifying Accountant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16G.</w:t>
            </w:r>
          </w:p>
        </w:tc>
        <w:tc>
          <w:tcPr>
            <w:tcW w:w="3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Corporate Governance</w:t>
              </w:r>
            </w:hyperlink>
          </w:p>
        </w:tc>
        <w:tc>
          <w:tcPr>
            <w:tcW w:w="65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PART III</w:t>
              </w:r>
            </w:hyperlink>
          </w:p>
        </w:tc>
        <w:tc>
          <w:tcPr>
            <w:tcW w:w="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sz w:val="20"/>
                <w:szCs w:val="20"/>
                <w:color w:val="auto"/>
              </w:rPr>
            </w:pPr>
            <w:r>
              <w:rPr>
                <w:rFonts w:ascii="Arial" w:cs="Arial" w:eastAsia="Arial" w:hAnsi="Arial"/>
                <w:sz w:val="18"/>
                <w:szCs w:val="18"/>
                <w:color w:val="auto"/>
              </w:rPr>
              <w:t>Item 17.</w:t>
            </w:r>
          </w:p>
        </w:tc>
        <w:tc>
          <w:tcPr>
            <w:tcW w:w="15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Financial Statements</w:t>
              </w:r>
            </w:hyperlink>
          </w:p>
        </w:tc>
        <w:tc>
          <w:tcPr>
            <w:tcW w:w="8300" w:type="dxa"/>
            <w:vAlign w:val="bottom"/>
            <w:gridSpan w:val="2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Financial Statements</w:t>
              </w:r>
            </w:hyperlink>
          </w:p>
        </w:tc>
        <w:tc>
          <w:tcPr>
            <w:tcW w:w="836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19.</w:t>
            </w:r>
          </w:p>
        </w:tc>
        <w:tc>
          <w:tcPr>
            <w:tcW w:w="9880" w:type="dxa"/>
            <w:vAlign w:val="bottom"/>
            <w:gridSpan w:val="2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Exhibits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520700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i w:val="1"/>
          <w:iCs w:val="1"/>
          <w:color w:val="auto"/>
        </w:rPr>
        <w:t>This annual report on Form 20-F (this “Annual Report”) should be read in conjunction with our audited consolidated financial statements and accompanying notes included herein. In this Annual Report, the “Partnership”, “CPLP”, “we”, “us” or “our” refer to Capital Product Partners L.P.; “Capital Maritime” or “CMTC” refer to Capital Maritime &amp; Trading Corp., our sponsor and “Capital Ship Management” or the “Manager” refer to Capital Ship Management Corp., a subsidiary of Capital Maritime and our manager.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85" w:lineRule="exact"/>
        <w:rPr>
          <w:sz w:val="20"/>
          <w:szCs w:val="20"/>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 and our Class B Convertible Preferred Units (the “Class B Units”), which rank senior to our common units and receive distributions prior to any distributions on our common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increase our distributions over time;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in the tanker, drybulk and container markets in which we operate, as well as trends and conditions in the newbuilding markets and scrapping of older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domestic or worldwide oil consumption;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seaborne transportation of containerized goods;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various new markets, including the tanker, drybulk and container carrier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tanker, drybulk and container carrier industry trends, including charter rates and factors affecting the chartering of vessels;</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any profit sharing arrangements, and required levels of reserves;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operating surplus, reserves and levels of distributions, as well as our future cash distribution policy;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130"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acquisitions of vessels from Capital Maritime or from third parties, including any of the five remaining newbuild Samsung eco medium range product tankers for which we have a right of first refusal;</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or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employment for our vessels that come off their current charters;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3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refinance and/or repay our debt and/or achieve further postponement of any amortization of our debt if necessary under the current terms of our credit facilities;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developments in any of our funding currencies;</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our charter agreements, including the timely payment of the rates under the agreements;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viability and sustainability of our customers, including their ability to obtain liquidity and access the capital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and any interest rate hedging practices in which we may engage;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amortization payments and repayment of debt and settling of interest rate swaps we may make, if 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refined product importers and exporters, major crude oil companies and major commodity traders, operators and liner companies;</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Manager to qualify for short- and long-term charter business with major charterers, oil traders, commodity traders, drybulk operators and liner companies;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no longer under long-term time charter;</w:t>
      </w:r>
    </w:p>
    <w:p>
      <w:pPr>
        <w:spacing w:after="0" w:line="142"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shipping and oil transportation industry, including, without limitation, stricter requirements adopted by international organizations, such as the International Maritime Organization, a United Nations agency that issues international trade standards for shipping (the “IMO”) and the European Union, or by individual countries or charterers and actions taken by regulatory authorities and governing such areas as safety and environmental compliance;</w:t>
      </w:r>
    </w:p>
    <w:p>
      <w:pPr>
        <w:spacing w:after="0" w:line="92"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29" w:lineRule="exact"/>
        <w:rPr>
          <w:rFonts w:ascii="Arial" w:cs="Arial" w:eastAsia="Arial" w:hAnsi="Arial"/>
          <w:sz w:val="16"/>
          <w:szCs w:val="16"/>
          <w:color w:val="auto"/>
        </w:rPr>
      </w:pPr>
    </w:p>
    <w:p>
      <w:pPr>
        <w:ind w:left="460" w:right="1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75" w:lineRule="exact"/>
        <w:rPr>
          <w:rFonts w:ascii="Arial" w:cs="Arial" w:eastAsia="Arial" w:hAnsi="Arial"/>
          <w:sz w:val="18"/>
          <w:szCs w:val="18"/>
          <w:color w:val="auto"/>
        </w:rPr>
      </w:pPr>
    </w:p>
    <w:p>
      <w:pPr>
        <w:ind w:left="460" w:right="42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anticipated general and administrative expenses and our costs and expenses under the management agreements and the administrative services agreement with our Manager, and for reimbursement for fees and costs of Capital GP L.L.C., our general partner (the “General Partner”);</w:t>
      </w:r>
    </w:p>
    <w:p>
      <w:pPr>
        <w:spacing w:after="0" w:line="29" w:lineRule="exact"/>
        <w:rPr>
          <w:rFonts w:ascii="Arial" w:cs="Arial" w:eastAsia="Arial" w:hAnsi="Arial"/>
          <w:sz w:val="16"/>
          <w:szCs w:val="16"/>
          <w:color w:val="auto"/>
        </w:rPr>
      </w:pPr>
    </w:p>
    <w:p>
      <w:pPr>
        <w:ind w:left="460" w:right="6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port expenses, lubricating oil, bunkers, repairs, maintenance and general and administrative expenses;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operating expenses of the floating fee structure under which most of our vessels are managed;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agreements in connection with certain of our vessels;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demand in the shipping sectors in which we operate in general and the demand for our crude oil and product tankers, container and drybulk vessels in particular;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General Partner and Manager to employ and retain key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General Partner’s and Manager’s track records, and past and future performance, in safety, environmental and regulatory matters;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customers, governments and others, as well as changes in maritime regulations and standards;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and expected cost savings of the vessels we have acquired or may acquire in the future from CMTC or from third parties and any new technologies incorporated into such vessels, at least some of which may be untested;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2016, and as of December 31, 2016 and 2015, from our audited consolidated financial statements (the “Financial Statements”), appearing elsewhere in this Annual Report. The historical financial data presented for the years ended December 31, 2013 and 2012 and as of December 31, 2014, 2013 and 2012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 others, the number of vessels in our fleet, prevailing charter rates, management and administrative services fees, as well as financing arrangements we enter into. Consequently, the below table should be read together with, and is qualified in its entirety by reference to, the Financial Statements and the accompanying notes included elsewhere in this Annual Report. The below table should also be read together with “Item 5A: Management’s Discussion and Analysis of Financial Condition and Results of Operations”.</w:t>
      </w:r>
    </w:p>
    <w:p>
      <w:pPr>
        <w:spacing w:after="0" w:line="19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2 (Significant Accounting Policies) to the Financial Statements included herein. All numbers are in thousands of U.S. Dollars, except numbers of units and earnings per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Revenues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$205,594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$156,613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$ 119,907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$ 116,520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$ 84,012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36,026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63,731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69,938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241,620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220,344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192,777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171,494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153,950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 xml:space="preserve">Voyage expenses </w:t>
            </w:r>
            <w:r>
              <w:rPr>
                <w:rFonts w:ascii="Arial" w:cs="Arial" w:eastAsia="Arial" w:hAnsi="Arial"/>
                <w:sz w:val="15"/>
                <w:szCs w:val="15"/>
                <w:color w:val="auto"/>
              </w:rPr>
              <w:t>(1)</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9,920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6,479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5,907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5,776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Voyage expenses—related party </w:t>
            </w:r>
            <w:r>
              <w:rPr>
                <w:rFonts w:ascii="Arial" w:cs="Arial" w:eastAsia="Arial" w:hAnsi="Arial"/>
                <w:sz w:val="15"/>
                <w:szCs w:val="15"/>
                <w:color w:val="auto"/>
              </w:rPr>
              <w:t>(1)</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 xml:space="preserve">Vessel operating expenses </w:t>
            </w:r>
            <w:r>
              <w:rPr>
                <w:rFonts w:ascii="Arial" w:cs="Arial" w:eastAsia="Arial" w:hAnsi="Arial"/>
                <w:sz w:val="15"/>
                <w:szCs w:val="15"/>
                <w:color w:val="auto"/>
              </w:rPr>
              <w:t>(2)</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66,637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58,625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48,714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38,284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22,126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 operating expenses—related party </w:t>
            </w:r>
            <w:r>
              <w:rPr>
                <w:rFonts w:ascii="Arial" w:cs="Arial" w:eastAsia="Arial" w:hAnsi="Arial"/>
                <w:sz w:val="15"/>
                <w:szCs w:val="15"/>
                <w:color w:val="auto"/>
              </w:rPr>
              <w:t>(2)</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10,866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11,708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6,253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6,608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6,316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9,477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9,159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 (gain) on sale of vessels to third parties</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71,897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62,707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57,476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52,208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48,235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Vessels’ impairment charge </w:t>
            </w:r>
            <w:r>
              <w:rPr>
                <w:rFonts w:ascii="Arial" w:cs="Arial" w:eastAsia="Arial" w:hAnsi="Arial"/>
                <w:sz w:val="15"/>
                <w:szCs w:val="15"/>
                <w:color w:val="auto"/>
              </w:rPr>
              <w:t>(4)</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165,933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146,538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132,066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130,171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150,704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75,687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41,323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Gain from bargain purchase</w:t>
            </w:r>
          </w:p>
        </w:tc>
        <w:tc>
          <w:tcPr>
            <w:tcW w:w="2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42,256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claim</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31,356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(24,302)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(20,143)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(19,225)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(15,991)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(26,658)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w:t>
            </w:r>
          </w:p>
        </w:tc>
        <w:tc>
          <w:tcPr>
            <w:tcW w:w="2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3120" w:type="dxa"/>
            <w:vAlign w:val="bottom"/>
            <w:gridSpan w:val="3"/>
          </w:tcPr>
          <w:p>
            <w:pPr>
              <w:jc w:val="right"/>
              <w:ind w:right="300"/>
              <w:spacing w:after="0"/>
              <w:rPr>
                <w:sz w:val="20"/>
                <w:szCs w:val="20"/>
                <w:color w:val="auto"/>
              </w:rPr>
            </w:pPr>
            <w:r>
              <w:rPr>
                <w:rFonts w:ascii="Arial" w:cs="Arial" w:eastAsia="Arial" w:hAnsi="Arial"/>
                <w:sz w:val="18"/>
                <w:szCs w:val="18"/>
                <w:color w:val="auto"/>
              </w:rPr>
              <w:t>1,104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2,526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350"/>
        </w:trPr>
        <w:tc>
          <w:tcPr>
            <w:tcW w:w="4500" w:type="dxa"/>
            <w:vAlign w:val="bottom"/>
          </w:tcPr>
          <w:p>
            <w:pPr>
              <w:spacing w:after="0"/>
              <w:rPr>
                <w:sz w:val="24"/>
                <w:szCs w:val="24"/>
                <w:color w:val="auto"/>
              </w:rPr>
            </w:pPr>
          </w:p>
        </w:tc>
        <w:tc>
          <w:tcPr>
            <w:tcW w:w="2120" w:type="dxa"/>
            <w:vAlign w:val="bottom"/>
          </w:tcPr>
          <w:p>
            <w:pPr>
              <w:jc w:val="right"/>
              <w:ind w:right="77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 /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18"/>
                <w:szCs w:val="18"/>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Class B unit holders’ interest in our</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11,101</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11,334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18,805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10,809</w:t>
            </w: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partner’s interest in our</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(loss)</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Common unit holders’ interest in our net income / (loss)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40,570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43,197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29,377</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79,078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(31,358)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allocable to limited partner per: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Common unit basic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unit 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Weighted–average units outstanding basic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119,803,329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115,030,879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93,353,168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75,645,207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68,256,072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Weighted–average units outstanding diluted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119,803,329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115,030,879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93,353,168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97,369,136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68,256,072</w:t>
            </w: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Sheet Data (at end of the year):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r>
              <w:rPr>
                <w:rFonts w:ascii="Arial" w:cs="Arial" w:eastAsia="Arial" w:hAnsi="Arial"/>
                <w:sz w:val="15"/>
                <w:szCs w:val="15"/>
                <w:color w:val="auto"/>
              </w:rPr>
              <w:t>(4)(9)(14)(15)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1,367,731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1,333,657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1,186,711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1,176,819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959,550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(4)(9)(14)(15)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1,598,605</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1,555,875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1,489,853</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1,397,721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1,068,510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r>
              <w:rPr>
                <w:rFonts w:ascii="Arial" w:cs="Arial" w:eastAsia="Arial" w:hAnsi="Arial"/>
                <w:sz w:val="15"/>
                <w:szCs w:val="15"/>
                <w:color w:val="auto"/>
              </w:rPr>
              <w:t>(14)(15)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578,652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556,809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572,545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459,262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 xml:space="preserve">Total partners’ capital </w:t>
            </w:r>
            <w:r>
              <w:rPr>
                <w:rFonts w:ascii="Arial" w:cs="Arial" w:eastAsia="Arial" w:hAnsi="Arial"/>
                <w:sz w:val="15"/>
                <w:szCs w:val="15"/>
                <w:color w:val="auto"/>
              </w:rPr>
              <w:t>(3)(5)(6)(7)(8)(10)(11)(12)(13)(15)(16)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927,757</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937,820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872,561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781,426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573,828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Number of units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137,517,955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135,832,778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120,427,778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109,128,388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86,343,388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Common units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122,094,633</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120,409,456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104,079,960</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88,440,710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69,372,077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12,983,333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12,983,333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14,223,737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18,922,221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15,555,554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General Partner units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2,439,989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2,439,989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2,124,081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1,765,457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1,415,757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unit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Dividends declared per class B unit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0.86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155,086</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134,209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125,277</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129,576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84,798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investing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(91,782)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15,935</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cash (used in) / provided by financing activities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(46,816)</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226,191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(110,552)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Voyage expenses primarily consist of commissions, port expenses, canal dues and bunkers.</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Vessel operating expenses consist of management fees payable to our Manager pursuant to the terms of our three separate management agreements and actual operating expenses such as crewing, repairs and maintenance, insurance, stores, spares, lubricants and other operating expenses incurred in respect of our vessels.</w:t>
      </w:r>
    </w:p>
    <w:p>
      <w:pPr>
        <w:spacing w:after="0" w:line="1"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May and June 2012, we issued a total of 15,555,554 Class B Units to a group of investors, including Capital Maritime, and received net proceeds of $136.4 million, which, together with $13.2 million from our available cash, were used to prepay bank debt of $149.6 million.</w:t>
      </w:r>
    </w:p>
    <w:p>
      <w:pPr>
        <w:ind w:left="460" w:right="3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2012, we acquired the companies owning the M/V Archimidis and the M/V Agamemnon from Capital Maritime, in exchange for our subsidiaries owning the M/T Alexander the Great and the M/T Achilleas, two Very Large Crude Carriers. As a consequence of this exchange, we recognized an impairment charge of $43.2 million, which was the result of the difference between the carrying and the fair market value of the M/T Alexander the Great and M/T Achilleas on the date of the exchange.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March 2013, we issued a total of 9,100,000 Class B Units to a group of investors, including Capital Maritime, and received net proceeds of</w:t>
      </w:r>
    </w:p>
    <w:p>
      <w:pPr>
        <w:spacing w:after="0" w:line="34" w:lineRule="exact"/>
        <w:rPr>
          <w:rFonts w:ascii="Arial" w:cs="Arial" w:eastAsia="Arial" w:hAnsi="Arial"/>
          <w:sz w:val="17"/>
          <w:szCs w:val="17"/>
          <w:color w:val="auto"/>
        </w:rPr>
      </w:pPr>
    </w:p>
    <w:p>
      <w:pPr>
        <w:ind w:left="460" w:right="220"/>
        <w:spacing w:after="0" w:line="250" w:lineRule="auto"/>
        <w:rPr>
          <w:rFonts w:ascii="Arial" w:cs="Arial" w:eastAsia="Arial" w:hAnsi="Arial"/>
          <w:sz w:val="17"/>
          <w:szCs w:val="17"/>
          <w:color w:val="auto"/>
        </w:rPr>
      </w:pPr>
      <w:r>
        <w:rPr>
          <w:rFonts w:ascii="Arial" w:cs="Arial" w:eastAsia="Arial" w:hAnsi="Arial"/>
          <w:sz w:val="18"/>
          <w:szCs w:val="18"/>
          <w:color w:val="auto"/>
        </w:rPr>
        <w:t>$72.6 million, which, together with a $54.0 million draw down under our existing $350.0 million credit facility entered into in 2008 (as amended, the “2008 credit facility”) and $3.4 million from available cash, were used to acquire from Capital Maritime the shares of two separate vessel-owning companies, each of which owns a 5,000 twenty foot equivalent (“TEU”) high specification container vessel, built in 2013, at a price of $65.0 million each.</w:t>
      </w:r>
    </w:p>
    <w:p>
      <w:pPr>
        <w:spacing w:after="0" w:line="1"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2013, we completed an equity offering of 13,685,000 common units, which included the full exercise of the underwriters’ overallotment option of 1,785,000 common units, receiving net proceeds of $119.8 million after deducting expenses related to the offering. The net proceeds, together with a $75.0 million draw down under our $225.0 million term loan facility entered into in 2013 (as amended, the “2013 credit facility”) and</w:t>
      </w:r>
    </w:p>
    <w:p>
      <w:pPr>
        <w:spacing w:after="0" w:line="2"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$0.2 million from available cash, were used to acquire from Capital Maritime three vessel-owning companies, each of which owned a 5,000 TEU high specification container vessel, built in 2013, at a price of $65.0 million each.</w:t>
      </w: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2013, our sponsor converted 349,700 common units into general partner units and delivered such units to our General Partner in order for it to maintain its 2% interest in us. Currently our General Partner holds a 1.96% general partner interest in us.</w:t>
      </w: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2013, certain holders of our Class B Units converted an aggregate of 5,733,333 Class B Units into common units in accordance with the terms of the partnership agreement.</w:t>
      </w:r>
    </w:p>
    <w:p>
      <w:pPr>
        <w:ind w:left="460" w:right="30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November 2013, we sold the M/T Agamemnon II (51,238 dwt IMO II/III Chemical Product Tanker built 2008, STX Shipbuilding &amp; Offshore, S. Korea) at a price of $33.5 million to unaffiliated third parties. In November 2013, we acquired an eco-type MR product tanker, the M/T Aristotelis (51,604 dwt IMO II/III Chemical Product Tanker built 2013, Hyundai Mipo Dockyard Ltd, S. Korea). The acquisition price of $38.0 million was funded from the sale proceeds of the M/T Agamemnon II and our available cash. The M/T Aristotelis replaced the M/T Agamemnon II as a security under our $370.0 million credit facility entered into in 2007 (as amended, the “2007 credit facility”).</w:t>
      </w:r>
    </w:p>
    <w:p>
      <w:pPr>
        <w:spacing w:after="0" w:line="1"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September 2014, we completed an equity offering of 17,250,000 common units, which included the full exercise of the underwriters’ overallotment option of 2,250,000 common units, receiving net proceeds of $173.5 million after deducting expenses related to the offering. The net proceeds were used to repurchase from Capital Maritime 5,950,610 common units at an aggregate price of $60.0 million and to cancel such common units. Furthermore, we used the amount of $30.2 million of the net proceeds of the offering as an advance payment to Capital Maritime in connection with the acquisition of five new vessels acquired from Capital Maritime, our sponsor, comprising three newbuild Daewoo 9,160 TEU eco-flex containerships (collectively, the “Dropdown Containerships”) and two newbuild Samsung eco-medium range product tankers (collectively, the “Dropdown Tankers” and, together with the Dropdown Containerships, the “Dropdown Vessels”), four of which were delivered between March and September 2015 and the fifth of which was delivered in February 2016. The total acquisition cost for these five vessels was $311.5 million. The remaining proceeds of the offering were used for general partnership purposes.</w:t>
      </w:r>
    </w:p>
    <w:p>
      <w:pPr>
        <w:spacing w:after="0" w:line="2" w:lineRule="exact"/>
        <w:rPr>
          <w:rFonts w:ascii="Arial" w:cs="Arial" w:eastAsia="Arial" w:hAnsi="Arial"/>
          <w:sz w:val="17"/>
          <w:szCs w:val="17"/>
          <w:color w:val="auto"/>
        </w:rPr>
      </w:pPr>
    </w:p>
    <w:p>
      <w:pPr>
        <w:ind w:left="460" w:right="28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2015 and 2014, our sponsor converted 315,908 and 358,624 common units, respectively, into general partner units and delivered such units to our General Partner in order for it to maintain its 2% interest in us. Currently our General Partner holds 1.96% general partner interest in us.</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2015 and 2014, various holders of our Class B Units, including Capital Maritime, converted an aggregate of 1,240,404 and 4,698,484 Class B Units into common units, respectively, in accordance with the terms of the partnership agreement.</w:t>
      </w:r>
    </w:p>
    <w:p>
      <w:pPr>
        <w:ind w:left="460" w:right="14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April 2015, we completed an equity offering of 14,555,000 common units, including 1,100,000 common units sold to Capital Maritime and 1,755,000 common units representing the overallotment option, at a net price of $9.53 per common unit, and received net proceeds before expenses of $133.3 million. The net proceeds were used to prepay the quarterly installments scheduled for 2016 and the first quarter of 2017 under our 2007, 2008 and 2011 credit facilities and to pay related fees and expenses and for general partnership purposes.</w:t>
      </w: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31, June 10, June 30 and September 18, 2015, we acquired the shares of the companies owning four of the Dropdown Vessels, namely the M/T Active, the M/V Akadimos (renamed the “CMA CGM Amazon”), the M/T Amadeus and the M/V Adonis (renamed the “CMA CGM Uruguay”), for a total consideration of $230.0 million, which was funded by drawdowns under our 2013 credit facility for a total of $115.0 million and from cash on hand.</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26, 2016, we acquired from Capital Maritime the shares of the company owning the M/V Anaxagoras (renamed the ‘CMA CGM Magdalena’), the last of the five Dropdown Vessels. We funded the acquisition by drawing under our 2013 credit facility and using available cash. On October 24, 2016, we acquired from Capital Maritime the shares of the company owning the M/T Amor, an eco-type MR product tanker, for a total consideration of $16.9 million comprising , $16.0 million in cash and the issuance of 283,696 new common units to Capital Maritime, reflecting the fair value of M/T Amor of $31.6 million andthe fair value of the time charter attached to the vessel of $1.1 million, less the assumption of a $15.8 million term loan under a credit facility previously arranged by Capital Maritime with ING Bank N.V. (the “2015 credit facility”).</w:t>
      </w:r>
    </w:p>
    <w:p>
      <w:pPr>
        <w:spacing w:after="0" w:line="4"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 million (the “ATM offering”). During the period between the launch of the ATM offering and December 31, 2016, we issued an aggregate of 1.4 million new common units and received net proceeds of $4.5 million (before offering expenses).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Please read Note 2 (Significant Accounting Policies), Note 3 (Acquisitions), Note 5 (Fixed Assets), Note 7 (Long-Term Debt), and Note 12 (Partners’ Capital) to our Financial Statements included herein for additional information.</w:t>
      </w:r>
    </w:p>
    <w:p>
      <w:pPr>
        <w:spacing w:after="0" w:line="315" w:lineRule="exact"/>
        <w:rPr>
          <w:sz w:val="20"/>
          <w:szCs w:val="20"/>
          <w:color w:val="auto"/>
        </w:rPr>
      </w:pPr>
    </w:p>
    <w:p>
      <w:pPr>
        <w:ind w:left="1920" w:hanging="440"/>
        <w:spacing w:after="0"/>
        <w:tabs>
          <w:tab w:leader="none" w:pos="1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a corporation engaged in a similar business would face, limited partner interests are inherently different from the capital stock of a corporation. If any of the following risks actually occurs, our business, financial condition or operating results could be materially adversely affected. In that case, we might not be able to pay distributions on our common units or Class B Units, the trading price of our common units could decline and you could lose all or part of your investment. The risks described below also include forward-looking statements and our actual results may differ substantially from those discussed in such forward-looking statements. For more information, please read “Forward-Looking Statements”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Changes to global economic conditions and oil and oil product demand, prices and supply could result in decreased demand for our vessels and services, materially affect our ability to re-charter our vessels at favorable rates and have a material adverse effect on our business, financial position, results of operations, cash flow and ability to make cash distributions and service or refinance our debt.</w:t>
      </w:r>
    </w:p>
    <w:p>
      <w:pPr>
        <w:spacing w:after="0" w:line="5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Global economic growth is a significant driver in the demand for oil and, as a result, the demand for shipping. The past several years were marked by major economic slowdowns, which have had, and in part continue to have, a significant impact on the global economy and demand for oil. Global economic conditions remain fragile with significant uncertainty affecting recovery prospects and long-term economic growth. In particular, uncertainty surrounding recovery in Europe and the United States, and the recent economic slowdown in China and other emerging markets, have in the past affected and may continue to affect demand for product and crude tankers.</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Furthermore, there is a general global trend towards energy efficient technologies and alternative sources of energy. In the long term, oil demand may be reduced by an increased reliance on alternative energy sources or a drive for increased efficiency in the use of oil, as a result of environmental concerns or high oil prices, which has the potential to significantly decrease demand for oil and shipping.</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expect emerging markets, which historically have had more volatile economies, to be a key driver in future oil demand and a slowdown in these economies, such as recently in China, could severely affect global demand for oil and may result in protracted, reduced consumption of oil products and a decreased demand for our vessels and lower charter rates.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global economic conditions deteriorate further or oil prices increase and, as a result, demand for oil and oil products contracts or increases more slowly, we may not be able to operate our vessels profitably or employ our vessels at favorable charter rates as they come up for re-chartering. Furthermore, the market value of our vessels may decline as a result of such events, which may cause us to recognize losses upon disposition of the vessels or record impairments and affect our ability to comply with our loan covenants.</w:t>
      </w:r>
    </w:p>
    <w:p>
      <w:pPr>
        <w:spacing w:after="0" w:line="187" w:lineRule="exact"/>
        <w:rPr>
          <w:sz w:val="20"/>
          <w:szCs w:val="20"/>
          <w:color w:val="auto"/>
        </w:rPr>
      </w:pPr>
    </w:p>
    <w:p>
      <w:pPr>
        <w:jc w:val="both"/>
        <w:ind w:right="120" w:firstLine="913"/>
        <w:spacing w:after="0" w:line="308" w:lineRule="auto"/>
        <w:rPr>
          <w:sz w:val="20"/>
          <w:szCs w:val="20"/>
          <w:color w:val="auto"/>
        </w:rPr>
      </w:pPr>
      <w:r>
        <w:rPr>
          <w:rFonts w:ascii="Arial" w:cs="Arial" w:eastAsia="Arial" w:hAnsi="Arial"/>
          <w:sz w:val="17"/>
          <w:szCs w:val="17"/>
          <w:color w:val="auto"/>
        </w:rPr>
        <w:t>In addition, reduced global supply of oil due to coordinated action, such as the production cuts recently agreed by OPEC members and other oil producing nations, or other circumstances may adversely affect demand for the transportation of crude oil and oil tankers.</w:t>
      </w:r>
    </w:p>
    <w:p>
      <w:pPr>
        <w:spacing w:after="0" w:line="14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A deterioration of the current economic conditions or changes in oil demand and supply and the product and crude tanker markets would have a material adverse effect on our business, financial position, results of operations, cash flow and ability to make cash distributions and service or refinance our debt.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Charter rates for tanker vessels are highly volatile and may decrease in the future, which may adversely affect our earnings and our ability to make cash distributions, as we may not be able to re-charter our vessels or we may not be able to re-charter them at competitive rates.</w:t>
      </w:r>
    </w:p>
    <w:p>
      <w:pPr>
        <w:spacing w:after="0" w:line="38"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shipping industry is cyclical. As a result, charter hire rates and vessel values have historically been volatile. We are particularly exposed to fluctuations in the product and crude tanker markets as the majority of our vessels are tankers. Therefore, as our charters expire, we may only be able to re-charter our tankers at reduced or unprofitable rates, or we may not be able to re-charter our tankers at all.</w:t>
      </w:r>
    </w:p>
    <w:p>
      <w:pPr>
        <w:spacing w:after="0" w:line="166"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The demand for period charters may remain stagnant or decrease. Even if we secure employment for our tankers under period charters, our charterers may go bankrupt, fail to perform their obligations under the charter agreements, delay payments or suspend payments altogether, terminate the charter agreements prior to the agreed-upon expiration date or attempt to renegotiate the terms of the charters.</w:t>
      </w:r>
    </w:p>
    <w:p>
      <w:pPr>
        <w:spacing w:after="0" w:line="166" w:lineRule="exact"/>
        <w:rPr>
          <w:sz w:val="20"/>
          <w:szCs w:val="20"/>
          <w:color w:val="auto"/>
        </w:rPr>
      </w:pPr>
    </w:p>
    <w:p>
      <w:pPr>
        <w:jc w:val="both"/>
        <w:ind w:right="180" w:firstLine="913"/>
        <w:spacing w:after="0" w:line="302" w:lineRule="auto"/>
        <w:rPr>
          <w:sz w:val="20"/>
          <w:szCs w:val="20"/>
          <w:color w:val="auto"/>
        </w:rPr>
      </w:pPr>
      <w:r>
        <w:rPr>
          <w:rFonts w:ascii="Arial" w:cs="Arial" w:eastAsia="Arial" w:hAnsi="Arial"/>
          <w:sz w:val="16"/>
          <w:szCs w:val="16"/>
          <w:color w:val="auto"/>
        </w:rPr>
        <w:t>Depending on market conditions, we may be forced to deploy our tankers in the spot market, which is cyclical and highly volatile. In the past, there have been periods during which spot rates have declined below the operating cost of tankers. If we deploy our tankers in the spot markets, we may be unable to obtain profitable spot charters or minimize the time spent waiting for charters or traveling to pick up cargo. Furthermore, as charter rates for spot charters are fixed for a single voyage of up to several weeks, we may experience delays in realizing the benefits from increases in spot charter rates.</w:t>
      </w:r>
    </w:p>
    <w:p>
      <w:pPr>
        <w:spacing w:after="0" w:line="15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factors affecting supply and demand for product and crude tankers are outside our control and the nature, timing, direction and degree of changes in industry conditions are difficult to predict with confidence. Some of the factors that may affect charter hire rates and the market value of tankers include the following:</w:t>
      </w:r>
    </w:p>
    <w:p>
      <w:pPr>
        <w:spacing w:after="0" w:line="87" w:lineRule="exact"/>
        <w:rPr>
          <w:sz w:val="20"/>
          <w:szCs w:val="20"/>
          <w:color w:val="auto"/>
        </w:rPr>
      </w:pPr>
    </w:p>
    <w:p>
      <w:pPr>
        <w:jc w:val="both"/>
        <w:ind w:left="1460" w:hanging="547"/>
        <w:spacing w:after="0" w:line="31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supply for oil and oil products, which is influenced by, among other things, international economic activity, geographic changes in oil production, processing and consumption, oil price levels, inventory policies of the major oil and oil trading companies, competition from alternative sources of energy and strategic inventory policies of countries such as the United States, China and India;</w:t>
      </w:r>
    </w:p>
    <w:p>
      <w:pPr>
        <w:spacing w:after="0" w:line="52" w:lineRule="exact"/>
        <w:rPr>
          <w:rFonts w:ascii="Arial" w:cs="Arial" w:eastAsia="Arial" w:hAnsi="Arial"/>
          <w:sz w:val="16"/>
          <w:szCs w:val="16"/>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w:t>
      </w:r>
    </w:p>
    <w:p>
      <w:pPr>
        <w:spacing w:after="0" w:line="75" w:lineRule="exact"/>
        <w:rPr>
          <w:rFonts w:ascii="Arial" w:cs="Arial" w:eastAsia="Arial" w:hAnsi="Arial"/>
          <w:sz w:val="18"/>
          <w:szCs w:val="18"/>
          <w:color w:val="auto"/>
        </w:rPr>
      </w:pPr>
    </w:p>
    <w:p>
      <w:pPr>
        <w:ind w:left="1460" w:right="180" w:hanging="547"/>
        <w:spacing w:after="0" w:line="308"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tanker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retrofitting or modifying existing vessels, as a result of technological advances in vessel design or equipment, changes in applicable environmental or other regulations or standards, or otherwise.</w:t>
      </w:r>
    </w:p>
    <w:p>
      <w:pPr>
        <w:spacing w:after="0" w:line="170"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If we have to re-charter our tankers when charter hire rates are low or are unable to re-charter our tankers, our business, financial condition, results of operations, cash flow and ability to make distributions and service or refinance our debt could be adversely affected.</w:t>
      </w:r>
    </w:p>
    <w:p>
      <w:pPr>
        <w:spacing w:after="0" w:line="25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The market values of tanker vessels are highly volatile and may decrease further in the future which may cause us to recognize losses if we sell our tankers or record impairments and affect our ability to comply with our loan covenants and refinance our debt.</w:t>
      </w:r>
    </w:p>
    <w:p>
      <w:pPr>
        <w:spacing w:after="0" w:line="38"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The market value of tankers is influenced, among other factors, by the prevailing charter market, replacement costs, the residual value of the vessels, expectations with regard to asset prices, availability of tankers for sale, as well as the ability of buyers to access financing and capital. If we sell a vessel at a time when its market value has fallen, the sale price may be less than the vessel’s carrying amount, resulting in a loss. In addition, we may be required to record an impairment charge as a result of a decrease in the future charter rates or market values of our vessels. A decline in the market value of our vessels could also lead to a default under our credit facilities, affect our ability to refinance our existing credit facilities and limit our ability to obtain additional financing and service or refinance our debt. If any of these circumstances were to happen, our business, financial condition, results of operation, cash flow and ability to make distributions may be materially and adversely affected.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 oversupply of tanker vessels or an expansion of the capacity of newly built tankers may lead to reductions in charter hire rates, vessel values and profitability.</w:t>
      </w:r>
    </w:p>
    <w:p>
      <w:pPr>
        <w:spacing w:after="0" w:line="62"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Newly built tankers were delivered in significant numbers starting at the beginning of 2006 through 2016. In addition, as of December 31, 2016, the newbuilding order book was estimated to equal approximately 13.7% of the existing world tanker fleet and may increase further in proportion to the existing fleet. Furthermore, if newly built tankers have more capacity than the tankers being scrapped or lost, tanker capacity overall will expand. If the supply of tankers or their capacity increases over time but demand for tanker vessels does not grow correspondingly, charter rates and vessel values will materially decline. If that happens, as our charters expire, we may only be able to re-charter our vessels at reduced or unprofitable rates, or we may not be able to charter our vessels at all. A reduction in charter rates and the value of our vessels may have a material adverse effect on our business, financial condition, results of operations, cash flows and ability to make cash distributions and service or refinance our debt.</w:t>
      </w:r>
    </w:p>
    <w:p>
      <w:pPr>
        <w:spacing w:after="0" w:line="2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Over the last five years, a number of vessel owners have ordered and taken delivery of so-called “eco-type” vessel designs, which offer substantial bunker savings as compared to older designs. Increased demand for and supply of “eco-type” vessels could reduce demand for certain of our vessels that are not classified as such and expose us to lower vessel utilization and/or decreased charter rates.</w:t>
      </w:r>
    </w:p>
    <w:p>
      <w:pPr>
        <w:spacing w:after="0" w:line="57" w:lineRule="exact"/>
        <w:rPr>
          <w:sz w:val="20"/>
          <w:szCs w:val="20"/>
          <w:color w:val="auto"/>
        </w:rPr>
      </w:pPr>
    </w:p>
    <w:p>
      <w:pPr>
        <w:jc w:val="both"/>
        <w:ind w:right="40" w:firstLine="913"/>
        <w:spacing w:after="0" w:line="255" w:lineRule="auto"/>
        <w:rPr>
          <w:sz w:val="20"/>
          <w:szCs w:val="20"/>
          <w:color w:val="auto"/>
        </w:rPr>
      </w:pPr>
      <w:r>
        <w:rPr>
          <w:rFonts w:ascii="Arial" w:cs="Arial" w:eastAsia="Arial" w:hAnsi="Arial"/>
          <w:sz w:val="18"/>
          <w:szCs w:val="18"/>
          <w:color w:val="auto"/>
        </w:rPr>
        <w:t>We estimate that a significant proportion of newbuilding orders are based on new vessel designs, which purport to offer material bunker savings compared to older designs, such as a significant proportion of our tanker vessels. See “Item 4.B: Business Overview—Our Fleet.” New vessel designs could result in a substantial reduction of bunker cost for charterers. As the supply of “eco-type” tankers expands, if charterers prefer those vessels over our tankers that are not classified as such, this may reduce demand for our non-“eco-type” tankers, impair our ability to re-charter such tankers at competitive rates or at all and have a material adverse effect on our business, financial condition, results of operations, cash flows and ability to make cash distributions and service or refinance our debt.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DRYBULK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Since our acquisition of the M/V Cape Agamemnon from Capital Maritime in June 2011, we have been subject to the various risks affecting the drybulk shipping industry, which is cyclical with attendant volatility in charter rates, vessel values and profitability, with wide disparities across different classes of drybulk carriers.</w:t>
      </w:r>
    </w:p>
    <w:p>
      <w:pPr>
        <w:spacing w:after="0" w:line="181"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After reaching historical highs in mid-2008, charter hire rates for capesize drybulk carriers, such as the M/V Cape Agamemnon, have been declining and are currently close to historically low levels. The M/V Cape Agamemnon is currently deployed on a period time charter. In the future, we may be forced to re-charter the M/V Cape Agamemnon pursuant to short-term time charters, and may be exposed to changes in the spot market and short-term charter rates for capesize drybulk carriers, all of which may affect our earnings and the value of the M/V Cape Agamemnon.</w:t>
      </w:r>
    </w:p>
    <w:p>
      <w:pPr>
        <w:spacing w:after="0" w:line="171"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The factors affecting supply and demand for drybulk vessels are outside our control and the nature, timing, direction and degree of changes in industry conditions are difficult to predict with confidence. Some of the factors that may influence demand for drybulk carriers include the following:</w:t>
      </w:r>
    </w:p>
    <w:p>
      <w:pPr>
        <w:spacing w:after="0" w:line="29"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growth in China and other developing economies;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factors that may influence the supply of vessel capacity for drybulk carriers include the following:</w:t>
      </w:r>
    </w:p>
    <w:p>
      <w:pPr>
        <w:spacing w:after="0" w:line="131" w:lineRule="exact"/>
        <w:rPr>
          <w:sz w:val="20"/>
          <w:szCs w:val="20"/>
          <w:color w:val="auto"/>
        </w:rPr>
      </w:pPr>
    </w:p>
    <w:p>
      <w:pPr>
        <w:ind w:left="1460" w:right="50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deliveries of newly built vessels, which among other factors depend upon the ability of shipyards to meet contracted delivery dates and the ability of purchasers to finance such new acquisitions;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as a result of vessel casualties;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lives of vessels;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22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currently anticipate that the future demand for the M/V Cape Agamemnon following completion of its charter and, in turn, drybulk charter rates,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results of operations, cash flow and ability to make cash distributions and service or repay our debt.</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values of dry bulk vessels have declined and may further decline, which may cause us to recognize a loss if we sell the Cape Agamemnon or record impairments and affect our ability to comply with our loan covenants and refinance our debt.</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market values of dry bulk vessels have generally experienced high volatility and have recently declined significantly. The market value of dry bulk vessels may continue to fluctuate depending on a number of factors, including:</w:t>
      </w:r>
    </w:p>
    <w:p>
      <w:pPr>
        <w:spacing w:after="0" w:line="76" w:lineRule="exact"/>
        <w:rPr>
          <w:sz w:val="20"/>
          <w:szCs w:val="20"/>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prevailing level of charter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types, sizes and ages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supply of and demand for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modes of transportation;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or other regulations;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need to upgrade vessels as a result of charterer requirements, technological advances in vessel design or equipment or otherwise;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other shipping companies and other modes of transportation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market value of the Cape Agamemnon deteriorates significantly, we may be required to record an impairment charge in our financial statements. Furthermore, if the current charter expires or is terminated, we may be unable to re-charter the vessel at an acceptable rate and, rather than continuing to incur costs to maintain the vessel, we may seek to dispose of it. Our inability to dispose of the vessel at a reasonable price however could result in a loss. A further decline in the market value of the Cape Agamemnon could also lead to a default under our credit facilities, affect our ability to refinance our existing credit facilities and limit our ability to obtain additional financing and service or refinance our debt. If any of these circumstances were to happen, our business, financial condition, results of operation, cash flow and ability to make distributions may be adversely affected.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markets. The loss of this charter could result in a significant loss of expected future revenues and cash flows.</w:t>
      </w:r>
    </w:p>
    <w:p>
      <w:pPr>
        <w:spacing w:after="0" w:line="6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The M/V Cape Agamemnon is currently under a ten-year time charter to Cosco Bulk Carrier Co. Ltd. (“Cosco”), a member of the China Ocean Shipping (Group) Company (“COSCO Group”) and one of the largest drybulk charterers globally. The charter commenced in July 2010 and was amended in November 2011. The earliest expiry date under the charter is June 2020. Since the charter was amended in November 2011, the gross charter rate is a flat rate of $42,200 per day.</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We currently maintain insurance to protect us against the loss of income that would result from Cosco’s failure or refusal to pay hires under the time charter agreement. Under our revenue protection insurance, our insurer has agreed to pay us a maximum amount of $25,000 per day for each day of loss, defined as the difference between the hire contractually payable under the charter and the replacement hire earned or that could be earned by us during the policy period expiring on July 30, 2020. Replacement hires are defined as the greater of the actual hires earned during the policy period and the average hire rate that the M/V Cape Agamemnon is capable of earning, as determined by three independent shipbrokers. The revenue protection insurance is renewed annually and there is no guarantee that we will be able to renew this insurance.</w:t>
      </w:r>
    </w:p>
    <w:p>
      <w:pPr>
        <w:spacing w:after="0" w:line="17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COSCO Group has faced financial difficulties. Its listed affiliate China Cosco Holdings announced record high net losses of Rmb7.2bn ($1.1bn) for the first six months of 2016, compared with a loss of Rmb1.9bn in the same period last year. We could lose this charterer or the benefits of the charter if, among other things:</w:t>
      </w:r>
    </w:p>
    <w:p>
      <w:pPr>
        <w:spacing w:after="0" w:line="87" w:lineRule="exact"/>
        <w:rPr>
          <w:sz w:val="20"/>
          <w:szCs w:val="20"/>
          <w:color w:val="auto"/>
        </w:rPr>
      </w:pPr>
    </w:p>
    <w:p>
      <w:pPr>
        <w:ind w:left="1460" w:right="4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 including the payment of the agreed rates in a timely manner;</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continues to face financial difficulties forcing it to declare bankruptcy, to restructure its operations or to default under the charter;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 due to prevailing economic and market conditions or due to continued poor performance by the charterer;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terms of the charter, the vessel is lost or damaged beyond repair, there are serious deficiencies in the vessel or prolonged periods of off-hire, or we default under the charter;</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charterer; or</w:t>
      </w:r>
    </w:p>
    <w:p>
      <w:pPr>
        <w:spacing w:after="0" w:line="75"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the event we lose the benefit of the charter with Cosco prior to its expiration date, we would have to re-charter the vessel at the then prevailing charter rates. If that were to happen and insurance cover were to be unavailable or insurance payout were to be insufficient to cover our loss for any reason, this could materially and adversely affect our business, financial condition, results of operations, cash flow and our ability to make distributions and service or refinance our debt.</w:t>
      </w:r>
    </w:p>
    <w:p>
      <w:pPr>
        <w:spacing w:after="0" w:line="29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b w:val="1"/>
          <w:bCs w:val="1"/>
          <w:i w:val="1"/>
          <w:iCs w:val="1"/>
          <w:color w:val="auto"/>
        </w:rPr>
        <w:t>A negative change in the economic conditions in Asia, especially in China, Japan or India, including as a result of slowdowns in the United States or Europe, could reduce drybulk trade and demand, which would affect charter rates and have a material adverse effect on our business, financial condition, results of operations, cash flow and ability to make cash distribution and service or refinance our debt.</w:t>
      </w:r>
    </w:p>
    <w:p>
      <w:pPr>
        <w:spacing w:after="0" w:line="3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 significant number of the port calls made by Capesize bulk carriers involve the loading or discharging of raw materials in ports in Asia, particularly China, Japan and India. In past years, China and India have had two of the world’s fastest growing economies in terms of gross domestic product and have been the main force driving demand for drybulk vessels. If economic growth declines in China, Japan, India and other countries in Asia, we may face decreases in drybulk trade and demand. For example,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recent slowdown of the Chinese economy has adversely affected demand for capesize bulk carriers. As a result, spot and period rates, as well as asset values, are currently at historically low levels. Moreover, slowdowns in the United States or the economies of the European Union, as have occurred recently, may adversely affect economic growth in China, Japan, India and other Asian countries. A negative change in economic conditions in any Asian country, particularly China, Japan or India, could reduce demand for capesize bulk carriers and, as a result, charter rates and affect our ability to re-charter the M/V Cape Agamemnon at a profitable rate or at all and have a material adverse effect on our business, financial position, results of operations, cash flow and ability to make cash distribution and service or refinance our debt.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market supply of drybulk vessels has been increasing, and the number of drybulk vessels on order as of December 2016 was estimated by market sources to be approximately 10.8%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w:t>
      </w:r>
    </w:p>
    <w:p>
      <w:pPr>
        <w:spacing w:after="0" w:line="187" w:lineRule="exact"/>
        <w:rPr>
          <w:sz w:val="20"/>
          <w:szCs w:val="20"/>
          <w:color w:val="auto"/>
        </w:rPr>
      </w:pPr>
    </w:p>
    <w:p>
      <w:pPr>
        <w:jc w:val="both"/>
        <w:ind w:right="320" w:firstLine="913"/>
        <w:spacing w:after="0" w:line="302" w:lineRule="auto"/>
        <w:rPr>
          <w:sz w:val="20"/>
          <w:szCs w:val="20"/>
          <w:color w:val="auto"/>
        </w:rPr>
      </w:pPr>
      <w:r>
        <w:rPr>
          <w:rFonts w:ascii="Arial" w:cs="Arial" w:eastAsia="Arial" w:hAnsi="Arial"/>
          <w:sz w:val="16"/>
          <w:szCs w:val="16"/>
          <w:color w:val="auto"/>
        </w:rPr>
        <w:t>Despite increased demolition of older drybulk vessels between 2011 and 2016, the drybulk fleet continues to grow. An oversupply of drybulk vessel capacity will likely result in protracted weakness in drybulk charter hire rates. Upon the expiration of the current charter period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262" w:lineRule="exact"/>
        <w:rPr>
          <w:sz w:val="20"/>
          <w:szCs w:val="20"/>
          <w:color w:val="auto"/>
        </w:rPr>
      </w:pPr>
    </w:p>
    <w:p>
      <w:pPr>
        <w:ind w:right="880"/>
        <w:spacing w:after="0" w:line="375"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customer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30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results of operations, cash flow and ability to make distributions and service or refinance our debt.</w:t>
      </w:r>
    </w:p>
    <w:p>
      <w:pPr>
        <w:spacing w:after="0" w:line="7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results of operations, cash flow and ability to make distributions and service or refinance our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CONTAINER CARRIER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ocean-going container shipping industry, which is cyclical and volatile in terms of charter rates and profitability.</w:t>
      </w:r>
    </w:p>
    <w:p>
      <w:pPr>
        <w:spacing w:after="0" w:line="15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Since December 2012, we have acquired ten container vessels from Capital Maritime and have become subject to the risks affecting the container shipping industry. We had limited experience in the container shipping market prior to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ocean-going container shipping industry is both cyclical and volatile in terms of charter rates and profitability and demand for our vessels depends on a range of factors, including demand for the shipment of cargoes in containers. Containership charter rates peaked in 2005 but have declined sharply since then and have remained at or close to historical lows throughout 2016, as the impact of the slowdowns in the European and Chinese economies continue to affect international trade, including exports from China to Europe and the United States.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Since the second half of 2011, liner companies have experienced a substantial downturn in container shipping activity, resulting in depressed average freight rates, which has caused financial distress at a number of liner companies, including our charterers, and could further impact them. In a number of instances, charterers have not performed under, or have requested modifications of, existing time charters.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Containership charter rates depend upon a range of factors, including changes in the supply and demand for ship capacity and changes in the supply and demand for major products transported by containerships. Demand for containerships and profitability of the container business have been affected negatively by a large order book of new containership vessels, including “ultra large container vessels”. Since the second half of 2015, a slowdown in demand in certain key container trade routes, including the Asia to Europe route, at a time of increased vessel supply has resulted in an increase of the idle container fleet to 7.5% as of the end of 2016.</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Furthermore, the decline in the containership market has adversely affected the value of container vessels, which follow the trends of freight rates and containership charter rates, and resulted in a less active secondhand market for the sale of vessels.</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factors affecting the supply and demand for products shipped in containers and for containerships are outside our control and the nature, timing, direction and degree of changes in industry conditions are difficult to predict with confidence. Some of the factors that influence demand for containerships include:</w:t>
      </w:r>
    </w:p>
    <w:p>
      <w:pPr>
        <w:spacing w:after="0" w:line="87"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and demand, including consumer demand, for products suitable for shipping in containers;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factors that influence the supply of containerships include the following:</w:t>
      </w:r>
    </w:p>
    <w:p>
      <w:pPr>
        <w:spacing w:after="0" w:line="131"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life of containerships;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If the charter market is depressed when time charters for our containerships expire, we may be forced to re-charter our containerships at reduced or even unprofitable rates, or we may not be able to re-charter them at all, which may reduce or eliminate our earnings or make our earnings volatile and materially and adversely affect our business, financial condition, results of operations, cash flow and ability to make cash distributions and service or refinance our debt.</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further depress current charter rates and adversely affect our ability to re-charter our existing containerships at profitable rates or at all.</w:t>
      </w:r>
    </w:p>
    <w:p>
      <w:pPr>
        <w:spacing w:after="0" w:line="62"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From 2005 through the first quarter of 2010, the size of the containership order-book was at historically high levels. Although the container order-book declined compared to previous years, as at the end of 2016, the order-book was still at almost 16% of the existing fleet. Deliveries of vessels ordered will significantly increase the size of the container fleet over the next two to three years. Additionally, a substantial number of container vessels are currently idle and the potential reactivation of the idle fleet may result in a prolonged period of lower charter rates or in a reduction of charter rates.</w:t>
      </w:r>
    </w:p>
    <w:p>
      <w:pPr>
        <w:spacing w:after="0" w:line="154"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An oversupply of newbuilding vessels and/or re-chartered or idle containership capacity entering the market, combined with any further decline in the demand for containerships, may further depress charter rates and may decrease our ability to re-charter our containerships other than for reduced rates or unprofitable rates or to re-charter our containerships at all, which may materially and adversely affect our business, financial condition, results of operations, cash flow and ability to make cash distributions and service or refinance our debt.</w:t>
      </w:r>
    </w:p>
    <w:p>
      <w:pPr>
        <w:spacing w:after="0" w:line="2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 number of vessel owners have ordered and taken delivery of so-called “eco-type” vessel designs, which offer substantial bunker savings, higher container intake as compared to older designs and comply with the latest regulatory and charterers’ requirements. Increased demand for and supply of “eco-type” vessels could reduce demand for our vessels that are not classified as such and expose us to lower vessel utilization and/or decreased charter rates.</w:t>
      </w:r>
    </w:p>
    <w:p>
      <w:pPr>
        <w:spacing w:after="0" w:line="7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majority of new orders of container vessels are based on new vessel designs, which purport to offer material bunker savings compared to older designs and higher container intakes. Such savings could result in a substantial reduction of bunker cost for charterers on a per unit basis. In addition, older designs may require additional capital expenditure in order to comply with regulatory and charterers’ requirements, such as the installation of Alternative Maritime Power or other equipment and/or modifications. As the supply of “eco-type” vessels increases, if charterers prefer such vessels over our vessels that are not classified as such, this may reduce demand for our non-“eco-type” vessels, impair our ability to re-charter such vessels at competitive rates or to re-charter such vessels at all, and have a material adverse effect on our business, financial condition, results of operations, cash flows and ability to make cash distributions and service or refinance our debt. See “Item 4.B: Business Overview—Our Fleet” for more information about the vessels in our fleet.</w:t>
      </w:r>
    </w:p>
    <w:p>
      <w:pPr>
        <w:spacing w:after="0" w:line="275"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If our container carrier vessel charterers do not fulfill their obligations to us, or if they are unable to honor their obligations, our business, financial condition, results of operations, cash flow and ability to make cash distributions and service or refinance our debt may be adversely affected.</w:t>
      </w:r>
    </w:p>
    <w:p>
      <w:pPr>
        <w:spacing w:after="0" w:line="1"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Our ten container carrier vessels are currently under charters with Hyundai Merchant Marine Co. Ltd. (“HMM”), CMA CGM Group (“CMA CGM”) and Pacific International Lines (PTE) Ltd Singapore (“PIL”). We currently only have short term charters at market rates with PIL.</w:t>
      </w:r>
    </w:p>
    <w:p>
      <w:pPr>
        <w:spacing w:after="0" w:line="147"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Many liner companies, including our charterers, are highly leveraged. In recent years, a combination of factors, including, among other things, unavailability of credit, volatility in financial markets, overcapacity, competitive pressure, declines in world trade and depressed freight rates, have severely affected the financial condition of liner companies and their ability to make charter payments, which has resulted in a material increase in the credit and counterparty risks to which we are exposed and our ability to re-charter our vessels at competitive rates.</w:t>
      </w:r>
    </w:p>
    <w:p>
      <w:pPr>
        <w:spacing w:after="0" w:line="171"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Furthermore, the surplus of containerships available at lower charter rates and lack of demand for our charterers’ liner services could negatively impact our charterers’ willingness to perform their obligations under our time charters, that provide for charter rates above current market rates.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HMM, the charterer of five of our container vessels, completed a financial restructuring in July 2016. Our subsidiaries owning vessels under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charter with HMM agreed a reduction of the charter rate payable under their respective charters by 20% to $23,480 per day (from a gross daily rate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$29,350) for a three and a half year period starting in July 2016 and ending in December 2019 (the “Charter Reduction Period”). The charter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entered into with HMM provides that at the end of the Charter Reduction Period, the charter rate under the respective charter parties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restored to the original gross daily rate of $29,350 until the expiry of each charter in 2024 and 2025. There can however be no assurance that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restructuring of HMM will prove sufficient to ensure the financial viability of HMM, which still has a high level of indebtedness, and continued charter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payments to us.</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CMA-CGM, the charterer of three of our container vessels, is also under financial stress, in part following its acquisition of Neptune Orient Lines Limited (NOL). CMA-CGM reported a $476.3 million net loss for the nine-month period ended September 30, 2016.</w:t>
      </w:r>
    </w:p>
    <w:p>
      <w:pPr>
        <w:spacing w:after="0" w:line="17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If one of our charterers defaults on our time charters for any reason, we may be unable to redeploy the vessel previously employed by such charterer on similarly favorable or on competitive terms or at all. Also, we will incur expenses to maintain and insure the vessel but will not receive any revenue if such a vessel remains idle before being re-chartered. A variety of factors, including containership overcapacity and the expected increase in the world containership fleet over the next few years, may make it difficult for us to secure substitute employment, and any new charter arrangements may be at significantly lower rates.</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 failure of our charterers to comply with the terms of their respective charters, and our inability to replace such charters at minimum charter rates and maintain minimum financial ratios may result in an event of default under our credit facilities. The loss of our charterers or a decline in payments under our time charters could have a material adverse effect on our business, financial condition, results of operations, cash flow and our ability to make cash distributions and service or refinance our debt.</w:t>
      </w:r>
    </w:p>
    <w:p>
      <w:pPr>
        <w:spacing w:after="0" w:line="29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Many of our container vessels are under time charters at rates that are at a substantial premium to the spot and period markets, and our charterers’ failure to perform under our time charters could result in a significant loss of expected future revenues and cash flows.</w:t>
      </w:r>
    </w:p>
    <w:p>
      <w:pPr>
        <w:spacing w:after="0" w:line="3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Our five container vessels that are chartered to HMM are each currently employed under 12-year time charters. Following HMM’s financial restructuring that was completed in July 2016, the charter rate payable under the respective charter parties was reduced to $23,480 per day (from a gross daily rate of $29,350) from July 2016 to December 2019. Our container vessels that are chartered to CMA CGM are each employed under time charters for a minimum of five years, at a gross charter rate of $39,250 per day, all of which were entered into in December 2013.</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Given that the rates we charge under these time charters are significantly higher than the current spot and period rates, failure to perform by any of these charterers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92" w:lineRule="exact"/>
        <w:rPr>
          <w:sz w:val="20"/>
          <w:szCs w:val="20"/>
          <w:color w:val="auto"/>
        </w:rPr>
      </w:pPr>
    </w:p>
    <w:p>
      <w:pPr>
        <w:ind w:left="1460" w:right="34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continues to face financial difficulties forcing it to declare bankruptcy, further restructure its operations or default under the charters;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agreements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charters;</w:t>
      </w:r>
    </w:p>
    <w:p>
      <w:pPr>
        <w:spacing w:after="0" w:line="130" w:lineRule="exact"/>
        <w:rPr>
          <w:rFonts w:ascii="Arial" w:cs="Arial" w:eastAsia="Arial" w:hAnsi="Arial"/>
          <w:sz w:val="18"/>
          <w:szCs w:val="18"/>
          <w:color w:val="auto"/>
        </w:rPr>
      </w:pPr>
    </w:p>
    <w:p>
      <w:pPr>
        <w:ind w:left="1460" w:right="400" w:hanging="547"/>
        <w:spacing w:after="0" w:line="308" w:lineRule="auto"/>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460" w:right="26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the event we lose the benefit of the charters with HMM or CMA CGM prior to their respective expiration date, we would have to re-charter the vessels at the then prevailing charter rates. In such event, we may not be able to obtain competitive or profitable rates for these vessels or we may not be able to re-charter these vessels at all and our business, financial condition, results of operation, cash flow and ability to make distribution and service or refinance our debt may be materially and adversely affected.</w:t>
      </w:r>
    </w:p>
    <w:p>
      <w:pPr>
        <w:spacing w:after="0" w:line="29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A decrease in the level of export of goods, in particular from Asia, or an increase in trade protectionism globally, including from the United States, could have a material adverse impact on our charterers’ business and, in turn, could cause a material adverse impact on our business, financial condition, results of operations, cash flows and ability to make cash distributions and service or refinance our debt.</w:t>
      </w:r>
    </w:p>
    <w:p>
      <w:pPr>
        <w:spacing w:after="0" w:line="5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operations expose us to the risk that increased trade protectionism from the United States or other nations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 Trade protectionism in the markets that our charterers serve may cause an increase in the cost of exported goods, the length of time required to deliver goods and the risks associated with exporting goods and, as a result, a decline in the volume of exported goods and demand for shipping.</w:t>
      </w:r>
    </w:p>
    <w:p>
      <w:pPr>
        <w:spacing w:after="0" w:line="173"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The new U.S. president was elected on a platform promoting trade protectionism. The results of the presidential election have thus created significant uncertainty about the future relationship between the United States and China and other exporting countries, including with respect to trade policies, treaties, government regulations and tariffs. On January 23, 2017, the U.S. President signed an executive order withdrawing the United States from the Trans-Pacific Partnership, a global trade agreement intended to include the United States, Canada, Mexico, Peru and a number of Asian countries. Protectionist developments, or the perception they may occur, may have a material adverse effect on global economic conditions, and may significantly reduce global trade and, in particular, trade between the United States and other countries, including China.</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 Any reduction in or hindrance to the output of Asia-based exporters could have a material adverse effect on the growth rate of Asia’s exports and on our charterers’ business.</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 In addition, reforms in China for a gradual shift to a “market economy” including with respect to the prices of certain commodities, are unprecedented or experimental and may be subject to revision, change or abolition and if these reforms are reversed or amended, the level of imports to and exports from China could be adversely affected.</w:t>
      </w:r>
    </w:p>
    <w:p>
      <w:pPr>
        <w:spacing w:after="0" w:line="17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Any new or increased trade barriers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 and our ability to make cash distributions and service or refinance our debt.</w:t>
      </w:r>
    </w:p>
    <w:p>
      <w:pPr>
        <w:spacing w:after="0" w:line="29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Containership values have been volatile over the last five years and have decreased markedly during 2016. Containership values may decrease further and over time may fluctuate substantially, which may cause us to recognize losses if we sell our container vessels or record impairments and affect our ability to comply with our loan covenants or refinance our debt.</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values can fluctuate substantially over time due to a number of different factors, including:</w:t>
      </w:r>
    </w:p>
    <w:p>
      <w:pPr>
        <w:spacing w:after="0" w:line="131"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containerships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demand for containerships, including as a result of a substantial or extended decline in world trade;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supply of containership capacity;</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charter rates and the cost of retrofitting or modifying existing ships to respond to technological advances in vessel design or equipment;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or otherwise.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newbuilding prices for similar vessels;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prevailing demolition prices for similar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capital for investment in containerships including ship finance and public equity;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supply of containerships in the market for sale including mass disposals of containerships controlled by financing institutions</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In addition, fire sales of vessels by some of our competitors or other fleet-owners that may be in distress from time to time could, among other consequences, drive down vessel values. Hanjin Shipping, the world’s seventh largest container shipper, recently filed for bankruptcy and a liquidation of its assets could have a negative impact on the value of our vessels.</w:t>
      </w:r>
    </w:p>
    <w:p>
      <w:pPr>
        <w:spacing w:after="0" w:line="18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If the market values of our vessels deteriorate further,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the containerships at a reasonable price however could result in a loss. A further decline in the market value of our vessels could also lead to a default under our credit facilities, affect our ability to refinance our existing credit facilities and limit our ability to obtain additional financing and service or refinance our debt. If any of these circumstances were to happen, our business, financial condition, results of operation, cash flow and ability to make distributions may be materially and adversely affected.</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growth and our ability to re-charter our containerships depend on, among other things, our ability to expand relationships with existing charterers and develop relationships with new charterers, for which we will face substantial competition.</w:t>
      </w:r>
    </w:p>
    <w:p>
      <w:pPr>
        <w:spacing w:after="0" w:line="62"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process of obtaining new long-term time charters on containerships is highly competitive and generally involves an intensive screening process and competitive bids, and often extends for several months.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Containership charters are awarded based upon a variety of factors related to the vessel owner, including, among other things:</w:t>
      </w:r>
    </w:p>
    <w:p>
      <w:pPr>
        <w:spacing w:after="0" w:line="131"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 and safety;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container shipping experience and quality of vessel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vessel owner’s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 according to customer specifications;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willingness to accept operational risks under the charter, such as allowing termination of the charter for force majeure events;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Competition for providing containerships for chartering purposes comes from a number of experienced shipping companies, including direct competition from other independent charter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 and ability to make cash distributions and to service or refinance our debt.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future growth will depend upon a number of factors, some of which we cannot control. These factors include, among other things, our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460" w:right="32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capitalize on opportunities in the crude and product tanker, dry bulk and container markets by fixing period charters for our vessels at attractive rates;</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financing for existing and new operations, including refinancing of indebtedness, and access to capital markets, including equity and debt capital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Our ability to grow is in part dependent on our ability to expand our fleet through acquisitions of suitable vessels. We may not be able to acquire newly built or secondhand vessels on favorable terms, which could impede our growth and negatively impact our financial condition and ability to pay cash distributions. We may not be able to contract for newbuildings or locate suitable vessels or negotiate acceptable construction or purchase contracts with shipyards and owners, or obtain financing for such acquisitions on economically acceptable terms, or at all. See also “—Risks Related to Financing Activities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rely on the master limited partnership (“MLP”) structure and its appeal to investors for accessing debt and equity markets to finance our growth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repay or </w:t>
      </w:r>
      <w:r>
        <w:rPr>
          <w:rFonts w:ascii="Arial" w:cs="Arial" w:eastAsia="Arial" w:hAnsi="Arial"/>
          <w:sz w:val="18"/>
          <w:szCs w:val="18"/>
          <w:color w:val="auto"/>
        </w:rPr>
        <w:t>refinance our debt.”</w:t>
      </w:r>
    </w:p>
    <w:p>
      <w:pPr>
        <w:spacing w:after="0" w:line="18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failure to effectively identify, purchase, develop, employ and integrate any vessels or businesses could negatively affect our competitiveness which in turn could adversely affect our business, financial condition, results of operations, cash flow and our ability to make cash distributions and service or refinance our debt.</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fees and expenses we pay to Capital Ship Management, a subsidiary of Capital Maritime, for services provided to us are substantial, fluctuate, cannot be easily predicted and may reduce our cash available for distribution to our unitholders.</w:t>
      </w:r>
    </w:p>
    <w:p>
      <w:pPr>
        <w:spacing w:after="0" w:line="6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have entered into three separate technical and commercial management agreements with Capital Ship Management, our Manager, for the management of our fleet. These include a fixed fee management agreement, a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information on the main terms of our three management agreements.</w:t>
      </w:r>
    </w:p>
    <w:p>
      <w:pPr>
        <w:spacing w:after="0" w:line="188" w:lineRule="exact"/>
        <w:rPr>
          <w:sz w:val="20"/>
          <w:szCs w:val="20"/>
          <w:color w:val="auto"/>
        </w:rPr>
      </w:pPr>
    </w:p>
    <w:p>
      <w:pPr>
        <w:jc w:val="both"/>
        <w:ind w:right="60" w:firstLine="913"/>
        <w:spacing w:after="0" w:line="312" w:lineRule="auto"/>
        <w:rPr>
          <w:sz w:val="20"/>
          <w:szCs w:val="20"/>
          <w:color w:val="auto"/>
        </w:rPr>
      </w:pPr>
      <w:r>
        <w:rPr>
          <w:rFonts w:ascii="Arial" w:cs="Arial" w:eastAsia="Arial" w:hAnsi="Arial"/>
          <w:sz w:val="16"/>
          <w:szCs w:val="16"/>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14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Furthermore, we expect that as the fixed fee management agreement expires for the five remaining vessels to which it currently applies or as we acquire new vessels, these vessels will be managed under floating fee management agreements on terms similar to those currently in place. The level of our operating costs is likely to be more volatile under floating fee arrangements than under fixed fee arrangements. In particular, any increase in the costs and expenses associated with the provision of our Manager’s services, by reason, for example, of the condition and age of our vessels, costs of crews for our time chartered vessels and insurance, will be borne by us.</w:t>
      </w:r>
    </w:p>
    <w:p>
      <w:pPr>
        <w:spacing w:after="0" w:line="188" w:lineRule="exact"/>
        <w:rPr>
          <w:sz w:val="20"/>
          <w:szCs w:val="20"/>
          <w:color w:val="auto"/>
        </w:rPr>
      </w:pPr>
    </w:p>
    <w:p>
      <w:pPr>
        <w:ind w:right="460" w:firstLine="913"/>
        <w:spacing w:after="0" w:line="286" w:lineRule="auto"/>
        <w:rPr>
          <w:sz w:val="20"/>
          <w:szCs w:val="20"/>
          <w:color w:val="auto"/>
        </w:rPr>
      </w:pPr>
      <w:r>
        <w:rPr>
          <w:rFonts w:ascii="Arial" w:cs="Arial" w:eastAsia="Arial" w:hAnsi="Arial"/>
          <w:sz w:val="17"/>
          <w:szCs w:val="17"/>
          <w:color w:val="auto"/>
        </w:rPr>
        <w:t>The payment of fees to Capital Ship Management and compensation for expenses and liabilities incurred on our behalf, as well as the costs associated with future drydockings and/or intermediate surveys on our vessels, which can be significant, may adversely affect our business, financial condition, results of operations, cash flow and our ability to make cash distributions and service or refinance our debt.</w:t>
      </w:r>
    </w:p>
    <w:p>
      <w:pPr>
        <w:sectPr>
          <w:pgSz w:w="11900" w:h="16838" w:orient="portrait"/>
          <w:cols w:equalWidth="0" w:num="1">
            <w:col w:w="11400"/>
          </w:cols>
          <w:pgMar w:left="240" w:top="459" w:right="25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 on our units.</w:t>
      </w:r>
    </w:p>
    <w:p>
      <w:pPr>
        <w:spacing w:after="0" w:line="11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Our board of directors determines our cash distribution policy and the level of our cash distributions. Generally, our board of directors seeks to maintain a balance between the level of reserves it takes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external debt, the level of our capital expenditures, our ability to pursue accretive transactions, our financial condition, results of operations, prospects and applicable provisions of Marshall Islands law.</w:t>
      </w:r>
    </w:p>
    <w:p>
      <w:pPr>
        <w:spacing w:after="0" w:line="158"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Under the terms of our partnership agreement, we are prohibited from declaring and paying distributions on our common units until we declare and pay, or set aside for payment, full distributions on our Class B Units. As of December 31, 2016, there were 12,983,333 Class B Units issued and outstanding. The minimum quarterly distribution on our Class B Units is $0.21375 per unit, which is equal to $0.86 per unit per year, until May 22, 2022 and will thereafter increase if the Class B Units are still outstanding. Among other consequences, if we fail to pay the minimum Class B Unit distribution for six or more quarters, the holders of the Class B Units will have the right to appoint a director to our board of directors and, if such arrearages exist after March 1, 2018, to replace the directors appointed by our General Partner, in each case by the affirmative vote of the holders of a majority of the Class B Units.</w:t>
      </w:r>
    </w:p>
    <w:p>
      <w:pPr>
        <w:spacing w:after="0" w:line="16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We may not have sufficient cash available each quarter to pay a minimum quarterly distribution on our common units following the payment of fees and expenses, the establishment by our board of directors of cash reserves, and the declaration of the minimum quarterly distribution on our Class B Units.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indebtedness, additional borrowings, compliance with our loan covenants, our anticipated future cost of capital, access to financing and equity and debt capital markets, including for the purposes of refinancing or repaying existing indebtedness, and asset valuations. Our distribution policy may be changed at any time, and from time to time, by our board of directors.</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58"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light of the factors described above and elsewhere in this annual report, there can be no assurance that we will pay any distributions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 and our Class B Units.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common units are equity interests and do not constitute indebtedness. Our common units rank junior to all indebtedness and other non-equity claims on us with respect to the assets available to satisfy claims, including a liquidation of the Partnership. Additionally, holders of our common units are subject to the prior distribution and liquidation rights of any holders of the Class B Units and any other preferred units we may issue in the future. Therefore, we are prohibited from making distributions on our common units under our partnership agreement until all accrued and unpaid distributions are paid on the Class B Units.</w:t>
      </w:r>
    </w:p>
    <w:p>
      <w:pPr>
        <w:spacing w:after="0" w:line="188"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As of December 31, 2016, there were 12,983,333 Class B Units issued and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reduction in the amount of distributions made on our common units could materially and adversely affect the market price of the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31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3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18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87"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regulations, industry and maritime self-regulatory organization standards relating to safety, security or the environment.</w:t>
      </w:r>
    </w:p>
    <w:p>
      <w:pPr>
        <w:spacing w:after="0" w:line="24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66"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 and ability to make cash distributions and service or refinance our debt.</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will increase and we will incur expenses related to the drydockings and as a result our cash available for distribution to our unitholders may decrease.</w:t>
      </w:r>
    </w:p>
    <w:p>
      <w:pPr>
        <w:spacing w:after="0" w:line="62"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Once one of our vessels is drydocked, it is automatically considered to be off-hire for the duration of the special or intermediate survey and associated drydocking, which means that for such period of time that vessel will not be earning any revenues. In 2016, five of our vessels were drydocked with a total of 135 off-hire days. None of our vessels are scheduled to drydock in 2017.</w:t>
      </w:r>
    </w:p>
    <w:p>
      <w:pPr>
        <w:spacing w:after="0" w:line="181" w:lineRule="exact"/>
        <w:rPr>
          <w:sz w:val="20"/>
          <w:szCs w:val="20"/>
          <w:color w:val="auto"/>
        </w:rPr>
      </w:pPr>
    </w:p>
    <w:p>
      <w:pPr>
        <w:ind w:right="400" w:firstLine="913"/>
        <w:spacing w:after="0" w:line="255" w:lineRule="auto"/>
        <w:rPr>
          <w:sz w:val="20"/>
          <w:szCs w:val="20"/>
          <w:color w:val="auto"/>
        </w:rPr>
      </w:pPr>
      <w:r>
        <w:rPr>
          <w:rFonts w:ascii="Arial" w:cs="Arial" w:eastAsia="Arial" w:hAnsi="Arial"/>
          <w:sz w:val="18"/>
          <w:szCs w:val="18"/>
          <w:color w:val="auto"/>
        </w:rPr>
        <w:t>During the drydocking of our vessels, we may incur or may be obligated to reimburse our manager for certain costs, including, among other things, the installation of the ballast water treatment system for vessels, the levels of which are not possible to predict. Consequently, as scheduled drydockings for our vessels approach, the number of off-hire days of our fleet and operating expenses increase, which may materially affect our cash available for distribution to our unitholders. In addition, we may decide to put any of our vessels into drydock before the scheduled drydocking date in anticipation of regulatory changes, opportunities in the charter market or if we deem that, due to the position of the vessel, it will be less costly to put the vessel into drydock at the time.</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2"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make cash distributions and service or refinance our debt.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a significant loss of earnings for the related off-hire period, which could adversely affect our business, financial condition, results of operations, cash flows and ability to make cash distributions and service or refinance our debt.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the Indian Ocean and the Gulf of Aden in recent years it has, for example, shown an increase in West Africa (Gulf of Guinea).</w:t>
      </w:r>
    </w:p>
    <w:p>
      <w:pPr>
        <w:spacing w:after="0" w:line="181"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If these piracy attacks result in regions in which our vessels are deployed being characterized by insurers as “war risk” zones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aspects of loss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 in increased costs and decreased cash flows to our customers impairing their ability to make payments to us under our charters.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bunkers consumed, which can be a significant vessel expense.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cash distributions. The price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8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addition, the IMO confirmed in October 2016 that a global 0.5% sulphur cap on marine fuels will come into force on January 1, 2020, as agreed in amendments adopted in 2008 for Annex VI to the International Convention for the Prevention of Pollution from ships (“MARPOL”). Annex VI sets progressively stricter regulations to control sulphur oxides (SOx) and nitrous oxides (NOx) emissions from ships, which present both environmental and health risks. The 0.5% sulphur cap marks a significant reduction from the current global sulphur cap of 3.5%, which came into effect on January 1, 2012. When the 2020 sulphur cap was decided upon in 2008, it was also agreed that a review should be undertaken by 2018 to assess whether there was sufficient compliant fuel available to meet the 2020 effective date, failing which, the effective date could be deferred to 2025. That review was completed in July 2016 by a consortium of consultants led by CE Delft, and submitted to the IMO’s Marine Environment Protection Committee (MEPC) during their 70th session. The review concluded that sufficient compliant fuel would be available to meet the new requirement. However, there have been competing studies, that hold the opposing view that refining capacity will not be sufficient in 2020, with an estimated 60-70% additional sulphur plant capacity required by 2020. There have also been questions as to how the sulphur cap will be enforced, as it is up to individual parties to MARPOL to enforce fines and sanctions. A potential shortage of low sulphur marine fuels could drive prices upwards, which could adversely affect our profit margins, if our vessels are being chartered on the spot market or are off hire or the profit margins of our charterers.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Investigations of Greek Professional Football (Soccer).</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Our former Chairman and the founder and current chairman of Capital Maritime, Evangelos M. Marinakis, has been the principal owner of Olympiacos, a Greek professional football team, since January 2011 and has served as President of Olympiacos since December 2010. Mr. Marinakis was also President of the Superleague Greece in which Olympiacos participates and Vice-President of the Hellenic Football Federation between August 2010 and September 2011. Mr. Marinakis has informed us that, since 2011, Greek authorities have investigated allegations of match-fixing and other improprieties related to professional football in Greece. Various individuals, including Mr. Marinakis, were identified as subjects of these investigations. In June 2015, the judge in charge of the investigations provisionally ordered that Mr. Marinakis report periodically to a police station, deposit €200,000 as security and refrain from football-related activities pending determination of the charges. Mr. Marinakis has advised us that he has cooperated with the investigations and has denied any wrongdoing.</w:t>
      </w:r>
    </w:p>
    <w:p>
      <w:pPr>
        <w:spacing w:after="0" w:line="19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September 2016, the public prosecutor recommended to the judicial council of the Court of Appeals that some of the charges that were the subject of the investigations, including in relation to the alleged operation of a criminal network, be referred to trial, that other charges be dismissed and that the judicial council of the Court of Appeals place Mr. Marinakis in provisional custody (which, if approved by the judicial council, would be subject to legal challenge) on the ground that Mr. Marinakis allegedly breached the previous order restraining him from further football-related activities. The judicial council of the Court of Appeals has responsibility for determining whether to refer the charges for trial or to withdraw them and for approving or rejecting the public prosecutor’s recommendation to place Mr. Marinakis in provisional custody. Capital Maritime has advised us that it is unable to assess what, if any, reputational or other harm Capital Maritime and we may suffer as a result of these proceedings. For more information on the risks arising from our relationship with Capital Maritime, see “Item 3.D—Risk Factors—</w:t>
      </w:r>
      <w:r>
        <w:rPr>
          <w:rFonts w:ascii="Arial" w:cs="Arial" w:eastAsia="Arial" w:hAnsi="Arial"/>
          <w:sz w:val="17"/>
          <w:szCs w:val="17"/>
          <w:i w:val="1"/>
          <w:iCs w:val="1"/>
          <w:color w:val="auto"/>
        </w:rPr>
        <w:t>Risk inherent in our operations</w:t>
      </w:r>
      <w:r>
        <w:rPr>
          <w:rFonts w:ascii="Arial" w:cs="Arial" w:eastAsia="Arial" w:hAnsi="Arial"/>
          <w:sz w:val="17"/>
          <w:szCs w:val="17"/>
          <w:color w:val="auto"/>
        </w:rPr>
        <w:t xml:space="preserve">—we </w:t>
      </w:r>
      <w:r>
        <w:rPr>
          <w:rFonts w:ascii="Arial" w:cs="Arial" w:eastAsia="Arial" w:hAnsi="Arial"/>
          <w:sz w:val="17"/>
          <w:szCs w:val="17"/>
          <w:i w:val="1"/>
          <w:iCs w:val="1"/>
          <w:color w:val="auto"/>
        </w:rPr>
        <w:t>depend on Capital Maritime and its affiliates to assist</w:t>
      </w:r>
      <w:r>
        <w:rPr>
          <w:rFonts w:ascii="Arial" w:cs="Arial" w:eastAsia="Arial" w:hAnsi="Arial"/>
          <w:sz w:val="17"/>
          <w:szCs w:val="17"/>
          <w:color w:val="auto"/>
        </w:rPr>
        <w:t xml:space="preserve"> </w:t>
      </w:r>
      <w:r>
        <w:rPr>
          <w:rFonts w:ascii="Arial" w:cs="Arial" w:eastAsia="Arial" w:hAnsi="Arial"/>
          <w:sz w:val="17"/>
          <w:szCs w:val="17"/>
          <w:i w:val="1"/>
          <w:iCs w:val="1"/>
          <w:color w:val="auto"/>
        </w:rPr>
        <w:t>us in operating and expanding our business. If Capital Maritime is materially adversely affected by market fluctuations, and risks or suffers material damage to its reputation, its ability to comply with the terms of its charters with us or provide us with the necessary level of services to support and expand our business may be negatively affected.</w:t>
      </w:r>
      <w:r>
        <w:rPr>
          <w:rFonts w:ascii="Arial" w:cs="Arial" w:eastAsia="Arial" w:hAnsi="Arial"/>
          <w:sz w:val="17"/>
          <w:szCs w:val="17"/>
          <w:color w:val="auto"/>
        </w:rPr>
        <w: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vessels that we have recently acquired or may acquire in the future, from Capital Maritime or third parties, may not meet our design or cost savings expectations.</w:t>
      </w:r>
    </w:p>
    <w:p>
      <w:pPr>
        <w:spacing w:after="0" w:line="62"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2016 and 2015 we acquired six vessels from our sponsor Capital Maritime, comprising three newbuild Daewoo eco-flex containerships, two newbuild Samsung eco medium range product tankers and one additional Samsung eco medium range product tanker. These vessels incorporate many technological and design features, such as new hull and propulsion designs, energy saving devices, de-rated electronic engines and other equipment not previously tested on our other vessels. Certain of these vessels were also constructed at shipyards and by vessel construction firms with which we have not previously worked. While we expect that vessels with such features will generate increased cost savings and, in turn, increase demand for our charters, there is no assurance that they will do so. For example, if the current trend of decreased costs for oil and bunkers were to continue, it could substantially reduce the cost savings these vessels are expected to deliver to our charterers. If they do not generate the cost reduction benefits that we anticipate, competition from vessels without these features, but with lower charter rates, could adversely affect the amount of charter hire payments we receive for the vessels and, in turn, our return on investment on such vessels. As a result, our business, financial condition, results of operations, cash flows, and ability to make distributions and service or refinance our debt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reliant on our ability to obtain required financing and access the financial markets to operate and grow our business.</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However, asset impairments, financial stress, enforcement actions and credit rating pressures experienced in recent years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HSH Nordbank AG, has initiated a process to be privatized by the end of February 2018.</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product tankers,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to refinance our existing indebtedness on terms that are commercially acceptable could have a material adverse impact on our business, financial condition, results of operations, cash flow and our ability to make cash distributions and service or refinance our debt, and could cause the market price of our common units to decline.</w:t>
      </w:r>
    </w:p>
    <w:p>
      <w:pPr>
        <w:spacing w:after="0" w:line="2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rely on the master limited partnership (“MLP”) structure and its appeal to investors for accessing debt and equity markets to finance our growth and repay or refinance our debt. The recent drop in energy prices has, among other factors, caused increased volatility and contributed to a dislocation in pricing for MLPs.</w:t>
      </w:r>
    </w:p>
    <w:p>
      <w:pPr>
        <w:spacing w:after="0" w:line="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fall in energy prices and, in particular, the price of oil, among other factors, has contributed to increased volatility in the pricing of MLPs and the energy debt markets, as a number of MLPs and other energy companies may be adversely affected by a lower energy prices environment. A number of MLPs, including certain maritime MLPs and us, have reduced or eliminated their distributions to unitholders.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rely on our ability to obtain financing and to raise capital in the equity and debt markets to fund our capital replacement, growth and investment expenditures, and to refinance our debt. A protracted deterioration in the valuation of our common units would increase our cost of capital, make any equity issuance significantly dilutive and may affect our ability to access capital markets and, as a result, our capacity to pay distributions to our unitholders and service or refinance our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from time to time, financial institutions located in Greece.</w:t>
      </w:r>
    </w:p>
    <w:p>
      <w:pPr>
        <w:spacing w:after="0" w:line="11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maintain our cash with a limited number of financial institutions, occasionally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and political uncertainty in Greece may result in an event of default by some or all of these financial institutions. The occurrence of such a default could have a material adverse effect on our business, financial condition, results of operations, cash flows and ability to make cash distribution and service or refinance our debt.</w:t>
      </w: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62"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As of December 31, 2016, our total debt was $605.0 million, consisting of (i) $186.0 million outstanding under our credit facility entered into in 2007 (the “2007 credit facility”); (ii) $181.6 million outstanding under our credit facility entered into in 2008 (the “2008 credit facility”); (iii) $14.0 million outstanding under our credit facility entered into in 2011 (the “2011 credit facility”); (iv) $207.6 million outstanding under our credit facility entered into in 2013 (the “2013 credit facility”) and (v) $15.8 million outstanding under a credit facility arranged in 2015 (the “2015 credit facility”). With the exception of the 2013 credit facility, which has a quarterly amortization of $4.3 million starting in the first quarter of 2017, and the 2015 credit facility which is non-amortizing until the fourth quarter of 2018, our credit facilities are non-amortizing until the fourth quarter of 2017. Please see </w:t>
      </w:r>
      <w:r>
        <w:rPr>
          <w:rFonts w:ascii="Arial" w:cs="Arial" w:eastAsia="Arial" w:hAnsi="Arial"/>
          <w:sz w:val="17"/>
          <w:szCs w:val="17"/>
          <w:i w:val="1"/>
          <w:iCs w:val="1"/>
          <w:color w:val="auto"/>
        </w:rPr>
        <w:t>“Item 5.B. 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Capital Resources—Borrowings—Our Credit Facilities” </w:t>
      </w:r>
      <w:r>
        <w:rPr>
          <w:rFonts w:ascii="Arial" w:cs="Arial" w:eastAsia="Arial" w:hAnsi="Arial"/>
          <w:sz w:val="17"/>
          <w:szCs w:val="17"/>
          <w:color w:val="auto"/>
        </w:rPr>
        <w:t>for further information on our existing facilities.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repayment schedule under our existing credit facilities, on an aggregated basis,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w:t>
            </w:r>
          </w:p>
        </w:tc>
        <w:tc>
          <w:tcPr>
            <w:tcW w:w="474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(Expressed in millions of United States Dollars)</w:t>
            </w:r>
          </w:p>
        </w:tc>
        <w:tc>
          <w:tcPr>
            <w:tcW w:w="0" w:type="dxa"/>
            <w:vAlign w:val="bottom"/>
          </w:tcPr>
          <w:p>
            <w:pPr>
              <w:spacing w:after="0"/>
              <w:rPr>
                <w:sz w:val="1"/>
                <w:szCs w:val="1"/>
                <w:color w:val="auto"/>
              </w:rPr>
            </w:pPr>
          </w:p>
        </w:tc>
      </w:tr>
      <w:tr>
        <w:trPr>
          <w:trHeight w:val="171"/>
        </w:trPr>
        <w:tc>
          <w:tcPr>
            <w:tcW w:w="320" w:type="dxa"/>
            <w:vAlign w:val="bottom"/>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25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Aggregate Principal Amount Due</w:t>
            </w:r>
          </w:p>
        </w:tc>
        <w:tc>
          <w:tcPr>
            <w:tcW w:w="25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$40.5</w:t>
            </w: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$119.4</w:t>
            </w:r>
          </w:p>
        </w:tc>
        <w:tc>
          <w:tcPr>
            <w:tcW w:w="3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$275.4</w:t>
            </w: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$156.9</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   12.8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and setting distributions at a level that our board believes to be sustainable and consistent with the proper conduct of our business. The capital reserve, set by the board of directors at approximately $14.6 million per quarter, is intended to address amortization requirements under our credit facilities through the end of 2018. As of December 31, 2016, we had made aggregate allocations of $58.6 million to the capital reserve. We anticipate refinancing any portion of our indebtedness that we do not fund through our capital reserve and internally generated cash flow.</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leverage and debt service obligations could have a significant impact on our operations, including the following:</w:t>
      </w:r>
    </w:p>
    <w:p>
      <w:pPr>
        <w:spacing w:after="0" w:line="131" w:lineRule="exact"/>
        <w:rPr>
          <w:sz w:val="20"/>
          <w:szCs w:val="20"/>
          <w:color w:val="auto"/>
        </w:rPr>
      </w:pPr>
    </w:p>
    <w:p>
      <w:pPr>
        <w:ind w:left="1460" w:right="160" w:hanging="547"/>
        <w:spacing w:after="0" w:line="255"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before or upon the maturity of our credit facilities, we are not able to refinance our existing indebtedness on commercially acceptable terms and our capital reserve and future cash flows are insufficient to service our debt, our obligation to make principal payments under our credit facilities may force us to take actions, such as reducing or eliminating cash distributions to our unitholders, reducing or delaying business activities, acquisitions, investments or capital expenditures, selling assets, restructuring or refinancing our debt, or seeking additional equity capital or bankruptcy protection. We cannot assure you that we will be able to refinance our existing indebtedness on acceptable terms or at all;</w:t>
      </w:r>
    </w:p>
    <w:p>
      <w:pPr>
        <w:spacing w:after="0" w:line="98"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and, therefore, may pose substantial risks to our business and our unitholders;</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our unitholders;</w:t>
      </w:r>
    </w:p>
    <w:p>
      <w:pPr>
        <w:spacing w:after="0" w:line="7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secure additional financing, or to refinance our credit facilities, may be substantially restricted by the existing level of our indebtedness and the restrictions contained in our debt instruments;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220" w:hanging="547"/>
        <w:spacing w:after="0" w:line="264"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or before maturity of our indebtedness, we will be required to dedicate a substantial portion of our cash flow and cash balances to the payment of such debt, which will reduce the amount of funds available for operations, capital expenditures, distributions and future business opportunities.</w:t>
      </w:r>
    </w:p>
    <w:p>
      <w:pPr>
        <w:spacing w:after="0" w:line="18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8"/>
          <w:szCs w:val="18"/>
          <w:i w:val="1"/>
          <w:iCs w:val="1"/>
          <w:color w:val="auto"/>
        </w:rPr>
        <w:t>Since 2011, our board of directors has elected not to deduct cash</w:t>
      </w:r>
      <w:r>
        <w:rPr>
          <w:rFonts w:ascii="Arial" w:cs="Arial" w:eastAsia="Arial" w:hAnsi="Arial"/>
          <w:sz w:val="18"/>
          <w:szCs w:val="18"/>
          <w:color w:val="auto"/>
        </w:rPr>
        <w:t xml:space="preserve"> </w:t>
      </w:r>
      <w:r>
        <w:rPr>
          <w:rFonts w:ascii="Arial" w:cs="Arial" w:eastAsia="Arial" w:hAnsi="Arial"/>
          <w:sz w:val="18"/>
          <w:szCs w:val="18"/>
          <w:i w:val="1"/>
          <w:iCs w:val="1"/>
          <w:color w:val="auto"/>
        </w:rPr>
        <w:t>reserves for estimated replacement capital expenditures from our operating surplus. If this practice continues, our asset base and the income generating capacity of our fleet may be significantly affected</w:t>
      </w:r>
      <w:r>
        <w:rPr>
          <w:rFonts w:ascii="Arial" w:cs="Arial" w:eastAsia="Arial" w:hAnsi="Arial"/>
          <w:sz w:val="18"/>
          <w:szCs w:val="18"/>
          <w:color w:val="auto"/>
        </w:rPr>
        <w:t>”.</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Any of the risks described above may have a material adverse effect on our business, financial condition, results of operations, cash flow and ability to make cash distributions and to service or refinance our debt.</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cash distributions.</w:t>
      </w:r>
    </w:p>
    <w:p>
      <w:pPr>
        <w:spacing w:after="0" w:line="62"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87"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 pledge or encumber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fees payable under the management agreements.</w:t>
      </w:r>
    </w:p>
    <w:p>
      <w:pPr>
        <w:spacing w:after="0" w:line="170" w:lineRule="exact"/>
        <w:rPr>
          <w:sz w:val="20"/>
          <w:szCs w:val="20"/>
          <w:color w:val="auto"/>
        </w:rPr>
      </w:pPr>
    </w:p>
    <w:p>
      <w:pPr>
        <w:ind w:right="720" w:firstLine="913"/>
        <w:spacing w:after="0" w:line="342" w:lineRule="auto"/>
        <w:rPr>
          <w:sz w:val="20"/>
          <w:szCs w:val="20"/>
          <w:color w:val="auto"/>
        </w:rPr>
      </w:pPr>
      <w:r>
        <w:rPr>
          <w:rFonts w:ascii="Arial" w:cs="Arial" w:eastAsia="Arial" w:hAnsi="Arial"/>
          <w:sz w:val="16"/>
          <w:szCs w:val="16"/>
          <w:color w:val="auto"/>
        </w:rPr>
        <w:t>Our credit facilities also require us to comply with the International Safety Management Code and to maintain valid safety management certificates and documents of compliance at all times. In addition, our credit facilities require us to comply with certain financial covenants:</w:t>
      </w:r>
    </w:p>
    <w:p>
      <w:pPr>
        <w:spacing w:after="0" w:line="29"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maintain a ratio of EBITDA (as defined in each credit facility) to net interest expense of at least 2.00 to 1.00 on a trailing four-quarter basis; and</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maintain a ratio of net Total Indebtedness to the aggregate Fair Market Value (as each term is defined in each credit facility) of our total fleet, current or future, of no more than 0.725.</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In addition, our credit facilities require that we maintain an aggregate fair market value of the vessels, subject to mortgage under each credit facility, of at least 120% in relation to the 2015 credit facility and at least 125% in relation to our other credit facilities, of the aggregate amount outstanding under each credit facility.</w:t>
      </w:r>
    </w:p>
    <w:p>
      <w:pPr>
        <w:spacing w:after="0" w:line="181"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vessel earnings and asset valuations. If market or other economic conditions deteriorate, our ability to comply with these covenants may be impaired. If we are in breach of any of the restrictions, covenants, ratios or tests in our credit facilities, or if we trigger a cross-default currently contained in our credit facilities, we may be forced to suspend our distributions,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92"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described above. The global economic downturn that occurred within the past several years, depressed shipping markets, lack of capital in the industry and prolonged overcapacity had an adverse effect on vessel values. If the estimated asset values of our vessels decrease, we may be obligated to prepay part of our outstanding debt in order to remain in compliance with the relevant covenants in our credit facilities, which could have a material adverse effect on our business, financial condition, results of operations, cash flow and our ability to make cash distributions and service or refinance our debt.</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default under our credit facilities, our ability to make cash distributions may be impaired and we could forfeit our rights in certain of our vessels and their charters.</w:t>
      </w:r>
    </w:p>
    <w:p>
      <w:pPr>
        <w:spacing w:after="0" w:line="62"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When final payment is due under our credit facilities, we must repay any borrowings outstanding, including balloon payments. To the extent that cash flows are insufficient to repay any of these borrowings or asset cover is inadequate due to a deterioration in vessel values, we will need to refinance some or all of our credit facilities, replace them with alternate credit arrangements or provide additional security. We may not be able to refinance or replace our credit facilities or provide additional security at the time they become due.</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the event we default under our credit facilities or we are not able to refinance our existing debt obligations with new debt facilities on commercially acceptable terms,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2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in breach of any of the terms of our credit facilities a significant portion of our obligations may become immediately due and payable, and our lenders’ commitments to make further loans to us, if any, may terminate. This can adversely affect our ability to execute our business strategy or make cash distributions.</w:t>
      </w:r>
    </w:p>
    <w:p>
      <w:pPr>
        <w:spacing w:after="0" w:line="7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we are in breach of any of the restrictions, covenants, ratios or tests in our credit facilities, or if we trigger a cross-default currently contained in our credit facilities or any interest rate swap agreements, or in any such facility or agreement we may enter into, pursuant to their terms, a significant portion of our obligations may become immediately due and payable, and our lenders’ commitment to make further loans to us, if any, may terminate. We may not be able to reach agreement with our lenders to amend the terms of the loan agreements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our vessels is less than 125% of the aggregate amount outstanding under our credit facilities (120% for the 2015 credit facility).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Events of default under our credit facilities include:</w:t>
      </w:r>
    </w:p>
    <w:p>
      <w:pPr>
        <w:spacing w:after="0" w:line="131"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460" w:right="120" w:hanging="547"/>
        <w:spacing w:after="0" w:line="286" w:lineRule="auto"/>
        <w:tabs>
          <w:tab w:leader="none" w:pos="1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vessel-owning subsidiaries and failure to maintain proper insurance;</w:t>
      </w:r>
    </w:p>
    <w:p>
      <w:pPr>
        <w:spacing w:after="0" w:line="70" w:lineRule="exact"/>
        <w:rPr>
          <w:rFonts w:ascii="Arial" w:cs="Arial" w:eastAsia="Arial" w:hAnsi="Arial"/>
          <w:sz w:val="17"/>
          <w:szCs w:val="17"/>
          <w:color w:val="auto"/>
        </w:rPr>
      </w:pPr>
    </w:p>
    <w:p>
      <w:pPr>
        <w:ind w:left="1460" w:right="20" w:hanging="547"/>
        <w:spacing w:after="0" w:line="259"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following prior written notice of the lenders (for a period of 14 days under our 2013 and 2015 credit facilities and 20 days under our other credit facilities);</w:t>
      </w:r>
    </w:p>
    <w:p>
      <w:pPr>
        <w:spacing w:after="0" w:line="92" w:lineRule="exact"/>
        <w:rPr>
          <w:rFonts w:ascii="Arial" w:cs="Arial" w:eastAsia="Arial" w:hAnsi="Arial"/>
          <w:sz w:val="18"/>
          <w:szCs w:val="18"/>
          <w:color w:val="auto"/>
        </w:rPr>
      </w:pPr>
    </w:p>
    <w:p>
      <w:pPr>
        <w:ind w:left="1460" w:right="70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cross-default of our other indebtedness of $5.0 million or greater, or of the indebtedness of our subsidiaries of $750,000 or greater;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$5.0 million or more that is not discharged within 15 business days;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common units cease to be listed on the Nasdaq Global Select Market or on any other recognized securities exchange;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breach under any provisions contained in our interest rate swap agreements, if we decide to enter into such agreements in the future;</w:t>
      </w:r>
    </w:p>
    <w:p>
      <w:pPr>
        <w:spacing w:after="0" w:line="153" w:lineRule="exact"/>
        <w:rPr>
          <w:rFonts w:ascii="Arial" w:cs="Arial" w:eastAsia="Arial" w:hAnsi="Arial"/>
          <w:sz w:val="16"/>
          <w:szCs w:val="16"/>
          <w:color w:val="auto"/>
        </w:rPr>
      </w:pPr>
    </w:p>
    <w:p>
      <w:pPr>
        <w:ind w:left="1460" w:right="20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 if we decide to enter into such agreements in the future;</w:t>
      </w:r>
    </w:p>
    <w:p>
      <w:pPr>
        <w:spacing w:after="0" w:line="7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key charter parties, such as HMM, CMA CGM, Petróleo Brasileiro S.A. (“Petrobras”), Capital Maritime and BP Shipping Limited or other charterers we may have from time to time, to comply with the terms of their charters to the extent that we are unable to replace the charter in a manner that meets our obligations under the facilities; or</w:t>
      </w:r>
    </w:p>
    <w:p>
      <w:pPr>
        <w:spacing w:after="0" w:line="86"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81"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We anticipate that any subsequent refinancing of our current debt or any new debt could have similar or more onerous restrictions. Please see “Item 5.B. Liquidity and Capital Resources—Borrowings—Our Credit Facilities” for further information on our existing facilities.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arising from the political situation in Greece.</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Following the national elections in Greece in September 2015, the previous government led by Greek political parties from the left and right wings has been kept in place. While the new government announced its commitment to the European Union and the Euro, it is required to implement in return a new Memorandum of Understanding between Greece and the “Troika”, comprised of the European Commission, the IMF and the ECB, which includes numerous austerity measures and could potentially result in increased taxation for shipping companies. These and related developments may have adverse effects on the Greek economy as well as the political and regulatory environment in Greece. While we believe that any resulting effects on managing our business and operations would be limited, it is possible that these developments could adversely affect our operations based in Greece.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charterers and the loss of any charterer or charter or vessel could result in a significant loss of revenues and cash flow.</w:t>
      </w:r>
    </w:p>
    <w:p>
      <w:pPr>
        <w:spacing w:after="0" w:line="62"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have derived, and expect that we will continue to derive, all of our revenues and cash flow from a limited number of charterers. For the year ended December 31, 2016, our charterers who individually accounted for more than 10% of total revenues were HMM, Petrobras, CMA CGM and Capital Maritime who accounted for 19%, 18%, 17% and 15% of our revenues, respectively. For the year ended December 31, 2015, Capital Maritime and HMM accounted for 29% and 21% of our revenues, respectively. For the year ended December 31, 2014, Capital Maritime, HMM and Maersk Line accounted for 38%, 24% and 12% of our revenues,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could lose a charterer, including charterers who individually account for more than 10% of our total revenues or the benefits of some or all of our charters in the following circumstances:</w:t>
      </w:r>
    </w:p>
    <w:p>
      <w:pPr>
        <w:spacing w:after="0" w:line="76" w:lineRule="exact"/>
        <w:rPr>
          <w:sz w:val="20"/>
          <w:szCs w:val="20"/>
          <w:color w:val="auto"/>
        </w:rPr>
      </w:pPr>
    </w:p>
    <w:p>
      <w:pPr>
        <w:ind w:left="1460" w:right="30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charterer faces financial difficulties forcing it to declare bankruptcy or to restructure its operations or default under the charters;</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 or purchase the vessel;</w:t>
      </w:r>
    </w:p>
    <w:p>
      <w:pPr>
        <w:spacing w:after="0" w:line="130" w:lineRule="exact"/>
        <w:rPr>
          <w:rFonts w:ascii="Arial" w:cs="Arial" w:eastAsia="Arial" w:hAnsi="Arial"/>
          <w:sz w:val="18"/>
          <w:szCs w:val="18"/>
          <w:color w:val="auto"/>
        </w:rPr>
      </w:pPr>
    </w:p>
    <w:p>
      <w:pPr>
        <w:ind w:left="1460" w:right="240" w:hanging="547"/>
        <w:spacing w:after="0" w:line="264"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terminates the charter because we fail to comply with the terms of the charters, deliver the vessel within a fixed period of time, the vessel is lost or damaged beyond repair, there are serious deficiencies in the vessel or prolonged periods of off-hire, or we default under the charter;</w:t>
      </w:r>
    </w:p>
    <w:p>
      <w:pPr>
        <w:spacing w:after="0" w:line="86"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damage to or destruction of relevant production facilities, war or political unrest prevents us from performing services for that customer; or</w:t>
      </w:r>
    </w:p>
    <w:p>
      <w:pPr>
        <w:spacing w:after="0" w:line="75"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A number of our charterers, including Capital Maritime, are private companies and we may have limited access to their financial affairs, which may result in us having limited information on their financial strength and ability to meet their financial obligations. In addition, some of our charterers including HMM, Petrobras and CMA-CGM have been reported to be under significant financial pressure. Please read “Item 4B: Business Overview—Our Customers” and “—Our Charters” for further information on our customers. See also “—Risks Related to the Container Carrier Industry—</w:t>
      </w:r>
      <w:r>
        <w:rPr>
          <w:rFonts w:ascii="Arial" w:cs="Arial" w:eastAsia="Arial" w:hAnsi="Arial"/>
          <w:sz w:val="17"/>
          <w:szCs w:val="17"/>
          <w:i w:val="1"/>
          <w:iCs w:val="1"/>
          <w:color w:val="auto"/>
        </w:rPr>
        <w:t>Many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container vessels are under time charters at rates that are at a substantial premium to the spot and period markets, and our charterers’ failure to perform under our time charters could result in a significant loss of expected future revenues and cash flows.”</w:t>
      </w:r>
    </w:p>
    <w:p>
      <w:pPr>
        <w:spacing w:after="0" w:line="178"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If we lose a key charter, we may be unable to redeploy the related vessel on terms as favorable to us due to the long-term nature of most charters or at all. If we are unable to redeploy a vessel for which the charter has been terminated, we will not receive any revenues from that vessel, but we may be required to pay expenses necessary to maintain the vessel in proper operating condition and may also have to enter into costly and lengthy legal proceedings in order to reserve our rights. Until such time as the vessel is re-chartered, we may have to operate it in the spot market or for short periods at charter rates which may not be as favorable to us as our current charter rates.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 The loss of any of our charterers, time or bareboat charters or vessels, or a decline in payments under our charters, could have a material adverse effect on our business, financial condition, results of operations, cash flow and our ability to make cash distributions and service or refinance our debt.</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Capital Maritime and its affiliates to assist us in operating and expanding our business. If Capital Maritime is materially adversely affected by market fluctuations, and risks or suffers material damage to its reputation, its ability to comply with the terms of its charters with us or provide us with the necessary level of services to support and expand our business may be negatively affected.</w:t>
      </w:r>
    </w:p>
    <w:p>
      <w:pPr>
        <w:spacing w:after="0" w:line="57" w:lineRule="exact"/>
        <w:rPr>
          <w:sz w:val="20"/>
          <w:szCs w:val="20"/>
          <w:color w:val="auto"/>
        </w:rPr>
      </w:pPr>
    </w:p>
    <w:p>
      <w:pPr>
        <w:ind w:right="360" w:firstLine="913"/>
        <w:spacing w:after="0" w:line="257" w:lineRule="auto"/>
        <w:rPr>
          <w:sz w:val="20"/>
          <w:szCs w:val="20"/>
          <w:color w:val="auto"/>
        </w:rPr>
      </w:pPr>
      <w:r>
        <w:rPr>
          <w:rFonts w:ascii="Arial" w:cs="Arial" w:eastAsia="Arial" w:hAnsi="Arial"/>
          <w:sz w:val="18"/>
          <w:szCs w:val="18"/>
          <w:color w:val="auto"/>
        </w:rPr>
        <w:t>As of December 31, 2016, seven of our 36 vessels were under charter or were expected to commence charters with Capital Maritime. In the future we may enter into additional contracts with Capital Maritime to charter our vessels as they become available for re-chartering. Capital Maritime is subject to the same risks and market fluctuations as all other charterers. In the event Capital Maritime is affected by a market downturn and limited availability of financing, it may default under its charters with us, which would materially adversely affect our operations and ability to make cash distributions.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4B: Business Overview—Our Management Agreements” for a description of all our management agreements. Our operational success and ability to execute our growth strategy will depend significantly upon Capital Ship Management’s satisfactory performance of these services. In the event Capital Maritime is materially affected by a market downturn and cannot support Capital Ship Management, and Capital Ship Management fails to perform these services satisfactorily or cancels or materially amends either of these agreements, or if Capital Ship Management stops providing these services to us, our business will be materially harmed.</w:t>
      </w:r>
    </w:p>
    <w:p>
      <w:pPr>
        <w:spacing w:after="0" w:line="179" w:lineRule="exact"/>
        <w:rPr>
          <w:sz w:val="20"/>
          <w:szCs w:val="20"/>
          <w:color w:val="auto"/>
        </w:rPr>
      </w:pPr>
    </w:p>
    <w:p>
      <w:pPr>
        <w:jc w:val="both"/>
        <w:ind w:right="60" w:firstLine="913"/>
        <w:spacing w:after="0" w:line="286" w:lineRule="auto"/>
        <w:rPr>
          <w:sz w:val="20"/>
          <w:szCs w:val="20"/>
          <w:color w:val="auto"/>
        </w:rPr>
      </w:pPr>
      <w:r>
        <w:rPr>
          <w:rFonts w:ascii="Arial" w:cs="Arial" w:eastAsia="Arial" w:hAnsi="Arial"/>
          <w:sz w:val="17"/>
          <w:szCs w:val="17"/>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long-term business with certain oil majors. If Capital Maritime suffers material damage to its reputation, justifiably or not, or relationships, it may harm our ability to:</w:t>
      </w:r>
    </w:p>
    <w:p>
      <w:pPr>
        <w:spacing w:after="0" w:line="71"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 agreed-upon price. If Capital Maritime is unable to meet the payments under any such contract we enter into, it could have a material adverse effect on our business, financial condition, results of operations and cash flow and our ability to make cash distributions or service or refinance our debt.</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If our ability to do any of the things described above is impaired, our business, results of operations, financial condition and our ability to make cash distributions and service or refinance our debt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14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95" w:lineRule="exact"/>
        <w:rPr>
          <w:sz w:val="20"/>
          <w:szCs w:val="20"/>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the standards of the IMO;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460" w:right="78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460" w:right="94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business, financial condition, results of operations, cash flows and ability to make cash distributions and service or refinance our debt. Please read “Item 4B: Business Overview—Major Oil Company Vetting Process” for more information regarding this process.</w:t>
      </w:r>
    </w:p>
    <w:p>
      <w:pPr>
        <w:spacing w:after="0" w:line="30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As our fleet ages, the risks associated with older vessels could adversely affect our ability to obtain profitable charters, refinance our debt and our ability to comply with debt covenants. In addition, if we purchase and operate secondhand vessels, we will be exposed to increased operating costs, which could adversely affect our earnings.</w:t>
      </w:r>
    </w:p>
    <w:p>
      <w:pPr>
        <w:spacing w:after="0" w:line="7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Our fleet had an average age of approximately 7.4 years as of December 31, 2016. 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bank covenants and/or refinance our debt.</w:t>
      </w:r>
    </w:p>
    <w:p>
      <w:pPr>
        <w:spacing w:after="0" w:line="15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If we purchase secondhand vessels, we will not have the same knowledge about their condition as the knowledge we have about the condition of the vessels that are built for and operated solely by us. Generally, we will not receive the benefit of warranties from the builder for any secondhand vessel that we may acquire.</w:t>
      </w:r>
    </w:p>
    <w:p>
      <w:pPr>
        <w:spacing w:after="0" w:line="18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If we are unable to obtain profitable charters due to an aging fleet, this could adversely affect our business, financial condition, results of operations, cash flows and ability to make cash distributions and service or refinance our debt.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expand the size of our fleet or replace aging vessels in the future, which may affect our ability to pay distributions.</w:t>
      </w:r>
    </w:p>
    <w:p>
      <w:pPr>
        <w:spacing w:after="0" w:line="12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Our ability to expand the size of our fleet or maintain our asset base by replacing aging vessels in the future will depend on our ability to acquire new vessels on favorable terms. Depending on our ability to obtain required finance and access financial markets, we expect to enter into agreements with Capital Maritime or other third parties to purchase newly built vessels or other modern vessels (or interests in vessel owning companies). See “—Risks Related to Our Financing Activities— </w:t>
      </w:r>
      <w:r>
        <w:rPr>
          <w:rFonts w:ascii="Arial" w:cs="Arial" w:eastAsia="Arial" w:hAnsi="Arial"/>
          <w:sz w:val="17"/>
          <w:szCs w:val="17"/>
          <w:i w:val="1"/>
          <w:iCs w:val="1"/>
          <w:color w:val="auto"/>
        </w:rPr>
        <w:t>“We are reliant on our ability to obtain required financing and access the financial markets. Therefore, we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 </w:t>
      </w:r>
      <w:r>
        <w:rPr>
          <w:rFonts w:ascii="Arial" w:cs="Arial" w:eastAsia="Arial" w:hAnsi="Arial"/>
          <w:sz w:val="17"/>
          <w:szCs w:val="17"/>
          <w:color w:val="auto"/>
        </w:rPr>
        <w:t>and “—Risk Related to Our Business and Operations—</w:t>
      </w:r>
      <w:r>
        <w:rPr>
          <w:rFonts w:ascii="Arial" w:cs="Arial" w:eastAsia="Arial" w:hAnsi="Arial"/>
          <w:sz w:val="17"/>
          <w:szCs w:val="17"/>
          <w:i w:val="1"/>
          <w:iCs w:val="1"/>
          <w:color w:val="auto"/>
        </w:rPr>
        <w:t>Since 2011, our board of directors has elected not to deduct any replacement capital expenditures from our operating surplus. If this practice continues in the future, our asset base and income generating capacity of our fleet may be significantly affected.</w:t>
      </w:r>
      <w:r>
        <w:rPr>
          <w:rFonts w:ascii="Arial" w:cs="Arial" w:eastAsia="Arial" w:hAnsi="Arial"/>
          <w:sz w:val="17"/>
          <w:szCs w:val="17"/>
          <w:color w:val="auto"/>
        </w:rPr>
        <w:t>”</w:t>
      </w:r>
    </w:p>
    <w:p>
      <w:pPr>
        <w:spacing w:after="0" w:line="182"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If Capital Maritime or any third-party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financing and equity capital, and any disruptions to the market and the possible lack of adequate available financing may negatively affect such market values. The failure to effectively identify, purchase, develop, employ and integrate any vessels or businesses could adversely affect our business, financial condition, results of operations, cash flow and our ability to make cash distributions and service or refinance our debt.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newbuildings in the future, we will generally be required to make significant installment payments for such acquisitions prior to their delivery and generation of any revenue.</w:t>
      </w:r>
    </w:p>
    <w:p>
      <w:pPr>
        <w:spacing w:after="0" w:line="46"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66"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of December 31, 2016, our fleet consisted of 36 vessels, only eight of which had been part of our initial fleet at the time of our initial public offering (“IPO”). We have financed the purchase of the additional vessels with debt, or partly with debt, cash and/or by issuing additional equity securities. We also acquired additional vessels through the acquisition of Crude Carriers in 2011. If we issue additional common units, Class B Units or other equity securities to finance the acquisition of a vessel or business, your ownership interest in us may be diluted. Please read “Item 3.D: Risk Factors—Risks Inherent in an Investment in Us—We may issue additional equity securities without your approval, which would dilute your ownership interests.”</w:t>
      </w:r>
    </w:p>
    <w:p>
      <w:pPr>
        <w:spacing w:after="0" w:line="15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If, depending on our ability to obtain required financing and access the financial markets, we determine to expand our fleet by entering into contracts for newbuildings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78"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grow or make cash distributions. See also “—Risks Related to Financing Activities—</w:t>
      </w:r>
      <w:r>
        <w:rPr>
          <w:rFonts w:ascii="Arial" w:cs="Arial" w:eastAsia="Arial" w:hAnsi="Arial"/>
          <w:sz w:val="17"/>
          <w:szCs w:val="17"/>
          <w:i w:val="1"/>
          <w:iCs w:val="1"/>
          <w:color w:val="auto"/>
        </w:rPr>
        <w:t>We rely on the master limited partnership (“MLP”) structure and its appeal to</w:t>
      </w:r>
      <w:r>
        <w:rPr>
          <w:rFonts w:ascii="Arial" w:cs="Arial" w:eastAsia="Arial" w:hAnsi="Arial"/>
          <w:sz w:val="17"/>
          <w:szCs w:val="17"/>
          <w:color w:val="auto"/>
        </w:rPr>
        <w:t xml:space="preserve"> </w:t>
      </w:r>
      <w:r>
        <w:rPr>
          <w:rFonts w:ascii="Arial" w:cs="Arial" w:eastAsia="Arial" w:hAnsi="Arial"/>
          <w:sz w:val="17"/>
          <w:szCs w:val="17"/>
          <w:i w:val="1"/>
          <w:iCs w:val="1"/>
          <w:color w:val="auto"/>
        </w:rPr>
        <w:t>investors for accessing debt and equity markets to finance our growth and repay or refinance our debt.</w:t>
      </w:r>
      <w:r>
        <w:rPr>
          <w:rFonts w:ascii="Arial" w:cs="Arial" w:eastAsia="Arial" w:hAnsi="Arial"/>
          <w:sz w:val="17"/>
          <w:szCs w:val="17"/>
          <w:color w:val="auto"/>
        </w:rPr>
        <w:t>”</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industries in which we operate, which may adversely affect our business.</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may be adversely affected by the effects of political instability, terrorist or other attacks, war or international hostilities. Terrorist attacks, such as the attacks on the United States on September 11, 2001 and recently in Europe, the recent conflicts in Iraq, Afghanistan, Syria and Ukraine, other current and future conflicts, and the continuing response of the Western countries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79"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 and service or refinance our debt.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62"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customers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vessels maybe chartered or sub-chartered to parties, or call on ports, located in countries that are subject to restrictions and sanctions imposed by the United States, the European Union and other jurisdictions.</w:t>
      </w:r>
    </w:p>
    <w:p>
      <w:pPr>
        <w:spacing w:after="0" w:line="6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Certain countries (including the Crimea region of Ukraine, Cuba, Iran, North Korea, Sudan and Syria), entities and persons are targeted by economic sanctions and embargoes imposed by the United States, the European Union and other jurisdictions, and a number of those countries, currently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7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With regard to Iran, significant sanctions relief was implemented in January 2016 in accordance with the agreement among the permanent members of the United Nations Security Council (China, France, Russia, the United Kingdom and the United States), plus Germany, the High Representative of the European Union for Foreign Affairs and Security Policy and Iran on the final text of a Joint Comprehensive Plan of Action (“JCPOA”) in exchange for Iran’s implementation of certain measures intended to ensure that Iran’s nuclear program is used for peaceful purposes. Nevertheless, certain transactions and dealings, including transactions involving targeted Iran-related persons and entities and transactions that implicate U.S. jurisdiction remain subject to sanctions.</w:t>
      </w:r>
    </w:p>
    <w:p>
      <w:pPr>
        <w:spacing w:after="0" w:line="193"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Activities permissible under the JCPOA have not actually been repealed or permanently terminated at this time. Rather, the U.S. government has implemented changes to the sanctions regime by: (1) issuing waivers of certain statutory sanctions provisions; (2) committing to refrain from exercising certain discretionary sanctions authorities; (3) removing certain individuals and entities from sanctions lists; and (4) revoking certain Executive Orders and specified sections of Executive Orders. These sanctions will not be permanently “lifted” until the earlier of October 18, 2023, and a report from the International Atomic Energy Agency stating that all nuclear material in Iran is being used for peaceful activities. Therefore, while non-U.S. companies are allowed to engage in certain business or trade with Iran that was previously prohibited, the United States has the ability to re-impose sanctions against Iran if Iran does not comply with its obligations under the nuclear agreement.</w:t>
      </w:r>
    </w:p>
    <w:p>
      <w:pPr>
        <w:spacing w:after="0" w:line="178"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We generally do not do business in sanctions-targeted jurisdictions unless an activity is authorized by the appropriate governmental or other sanctions authority. Except as otherwise described below,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w:t>
      </w:r>
    </w:p>
    <w:p>
      <w:pPr>
        <w:spacing w:after="0" w:line="17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order to help maintain our compliance with applicable sanctions and embargo laws and regulations, we monitor and review the movement of our vessels, as well as the cargo being transported by our vessels, on a continuing basis. In 2016, our vessels under time charter contracts made approximately 1,642 total calls on worldwide ports. None of the vessels in our fleet made any port calls in Cuba or Syria.</w:t>
      </w:r>
    </w:p>
    <w:p>
      <w:pPr>
        <w:spacing w:after="0" w:line="18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In 2016, vessels owned by CPLP and chartered under time charter parties to Product &amp; Crude Tanker Chartering Inc. (“PCTC”), a subsidiary of CMTC, our sponsor and the sole member of our general partner, made the following port calls to Iran: five port calls to load crude oil, gas condensate or naphtha, three port calls to discharge gasoline and one port call to discharge vegetable oils. These port calls represented approximately 0.5% of the total port calls made by all the vessels owned by CPLP in 2016, and each of them occurred while the respective vessel was sublet under voyage charter by PCTC to a third-party sub-charterer under the instructions of such sub-charterer. In one instance, the sub-charterer of a vessel was the National Iranian Oil Company, a government-owned corporation under the direction of the Ministry of Petroleum of Iran. As the vessel owner, we earned revenues at the agreed daily charter rates from PCTC. PCTC in turn earned revenues at the agreed freight rate from the sub-charterers that employed the vessels.</w:t>
      </w:r>
    </w:p>
    <w:p>
      <w:pPr>
        <w:spacing w:after="0" w:line="16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Further, in 2016, vessels owned by CMTC and chartered under voyage charter contracts by third-party charterers made the following port calls to Iran: ten port calls to load crude oil and ten port calls to load steel or sulphur products. These port calls represented 3.6% of the total port calls made by all the vessels owned by CMTC in 2016, and each of them occurred while the respective vessel was chartered out to a third-party charterer under the instructions of such charterer. As the vessel owner, CMTC earned revenues at the agreed freight rate from the charterers that employed the vessels.</w:t>
      </w:r>
    </w:p>
    <w:p>
      <w:pPr>
        <w:spacing w:after="0" w:line="15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 which in 2016 did not include any payments for refueling or bunkers for the vessels making such port calls.</w:t>
      </w:r>
    </w:p>
    <w:p>
      <w:pPr>
        <w:spacing w:after="0" w:line="181"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We believe all such port calls were made in full compliance with applicable economic sanctions laws and regulations, including those of the United States, the European Union and other relevant jurisdictions. See also “</w:t>
      </w:r>
      <w:r>
        <w:rPr>
          <w:rFonts w:ascii="Arial" w:cs="Arial" w:eastAsia="Arial" w:hAnsi="Arial"/>
          <w:sz w:val="18"/>
          <w:szCs w:val="18"/>
          <w:i w:val="1"/>
          <w:iCs w:val="1"/>
          <w:color w:val="auto"/>
        </w:rPr>
        <w:t>Item 4B: Business Overview—Regulation</w:t>
      </w:r>
      <w:r>
        <w:rPr>
          <w:rFonts w:ascii="Arial" w:cs="Arial" w:eastAsia="Arial" w:hAnsi="Arial"/>
          <w:sz w:val="18"/>
          <w:szCs w:val="18"/>
          <w:color w:val="auto"/>
        </w:rPr>
        <w:t>” for information on the port calls made by certain our vessels and those of our affiliates to Iran.</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charter agreements include provisions that restrict trades of our vessels to countries targeted by economic sanctions unless such transportation activities involving sanctioned countries are permitted under applicable economic sanctions and embargo regimes. Our ordinary chartering policy is to seek to include similar provisions in all of our period charters. Prior to agreeing to waive existing charter party restrictions on carrying cargoes to or from ports that may implicate sanctions risks, we ensure that the charterers have proof of compliance with international and U.S. sanctions requirements, or applicable licenses or other exemptions.</w:t>
      </w:r>
    </w:p>
    <w:p>
      <w:pPr>
        <w:spacing w:after="0" w:line="18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Should one of our charterers engage in actions that involve us or our vessels and that may, if completed, represent material violations of economic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 sanctioned countries,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result in some investors deciding, or being required, to divest their interest, or not to invest, in our common units.</w:t>
      </w:r>
    </w:p>
    <w:p>
      <w:pPr>
        <w:spacing w:after="0" w:line="188"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Additionally, some investors, including U.S. state pension funds, may decide, or be required, to divest their interest, or not to invest, in our common units simply because we or our affiliates may do business with charterers or sub-charterers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vessels from making any calls at certain ports, which potentially could have a negative impact on our business and results of operations.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460" w:right="34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damage, including liabilities and costs to recover spilled oil or other petroleum products, and to pay for environmental damage and ecosystem restoration where the spill occurred;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Any of these results could have a material adverse effect on our business, financial condition, operating results and ability to make cash distributions and to service or refinance our debt.</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62"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operation of ocean-going vessels in international trade is inherently risky. Not all risks can be adequately insured against, and any particular claim upon our insurance may not be paid for any number of reasons. We have contracted revenue protection insurance for the MV ‘Cape Agamemnon’ but we otherwise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Our third-party liability insurance coverage is maintained through mutual protection and indemnity associations. As a member of such associations we may be required to make additional payments over and above budgeted premiums if member claims exceed association reserves. Please read “Item 3.D: Risk Factors—Risks Inherent in Our Operations—</w:t>
      </w:r>
      <w:r>
        <w:rPr>
          <w:rFonts w:ascii="Arial" w:cs="Arial" w:eastAsia="Arial" w:hAnsi="Arial"/>
          <w:sz w:val="16"/>
          <w:szCs w:val="16"/>
          <w:i w:val="1"/>
          <w:iCs w:val="1"/>
          <w:color w:val="auto"/>
        </w:rPr>
        <w:t>We will be subject to funding calls by our</w:t>
      </w:r>
      <w:r>
        <w:rPr>
          <w:rFonts w:ascii="Arial" w:cs="Arial" w:eastAsia="Arial" w:hAnsi="Arial"/>
          <w:sz w:val="16"/>
          <w:szCs w:val="16"/>
          <w:color w:val="auto"/>
        </w:rPr>
        <w:t xml:space="preserve"> </w:t>
      </w:r>
      <w:r>
        <w:rPr>
          <w:rFonts w:ascii="Arial" w:cs="Arial" w:eastAsia="Arial" w:hAnsi="Arial"/>
          <w:sz w:val="16"/>
          <w:szCs w:val="16"/>
          <w:i w:val="1"/>
          <w:iCs w:val="1"/>
          <w:color w:val="auto"/>
        </w:rPr>
        <w:t>protection and indemnity associations, and our associations may not have enough resources to cover claims made against them, resulting in potential unbudgeted supplementary liability to fund claims made upon them and unbudgeted cash-calls made upon us by the associations</w:t>
      </w:r>
      <w:r>
        <w:rPr>
          <w:rFonts w:ascii="Arial" w:cs="Arial" w:eastAsia="Arial" w:hAnsi="Arial"/>
          <w:sz w:val="16"/>
          <w:szCs w:val="16"/>
          <w:color w:val="auto"/>
        </w:rPr>
        <w:t>”.</w:t>
      </w:r>
    </w:p>
    <w:p>
      <w:pPr>
        <w:spacing w:after="0" w:line="169"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results of operations, cash flows, financial condition and ability to make cash distributions. In addition, certain of our vessels are under bareboat charters with BP Shipping Limited and subsidiaries of International Seaways, Inc. (“INSW”), the international business arm of Overseas Shipholding Group Inc. (“OSG”) separated from OSG on November 30, 2016. Under the terms of these charters, the charterer provides for the insurance of the vessel, and, as a result these vessels may not be adequately insured and/or in some cases may be self-insured.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9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73"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and international standards, which may significantly limit our operations or increase our expenses</w:t>
      </w:r>
      <w:r>
        <w:rPr>
          <w:rFonts w:ascii="Arial" w:cs="Arial" w:eastAsia="Arial" w:hAnsi="Arial"/>
          <w:sz w:val="18"/>
          <w:szCs w:val="18"/>
          <w:b w:val="1"/>
          <w:bCs w:val="1"/>
          <w:color w:val="auto"/>
        </w:rPr>
        <w:t>.</w:t>
      </w:r>
    </w:p>
    <w:p>
      <w:pPr>
        <w:spacing w:after="0" w:line="6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79"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Under the MARPOL Annex VI requirements, all ships trading in designated emission control areas are using fuel oil on board with a sulfur content of no more than 0.10% after January 1, 2015. Outside the emission control areas, the current limit for sulfur content of fuel oil is 3.50%. The IMO confirmed in October 2016 that a global 0.5% sulphur cap on marine fuels will come into force on 1 January 2020, as agreed in amendments adopted in 2008 for Annex VI to MARPOL. Annex VI sets progressively stricter regulations to control sulphur oxides (SOx) and nitrous oxides (NOx) emissions from ships, which present both environmental and health risks. The 0.5% sulphur cap marks a significant reduction from the current global sulphur cap of 3.5%, which had been implemented since 1 January 2012. When the 2020 sulphur cap was decided upon in 2008, it was also agreed that a review should be undertaken by 2018 to assess whether there was sufficient compliant fuel available to meet the 2020 date, failing which, the date could be deferred to 2025. That review was completed in July 2016 by a consortium of consultants led by CE Delft, and submitted to the IMO’s Marine Environment Protection Committee (MEPC) during their 70th session. The review concluded that sufficient compliant fuel would be available to meet the new requirement. However, there have been competing studies, that hold the opposing view that refining capacity will not be sufficient in 2020, with an estimated 60-70% additional sulphur plant capacity required by 2020. There have also been questions as to how the sulphur cap will be enforced, as it is up to individual parties to MARPOL to enforce fines and sanctions.</w:t>
      </w:r>
    </w:p>
    <w:p>
      <w:pPr>
        <w:spacing w:after="0" w:line="18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Shipowners can meet the new requirements by continuing to use fuel types which exceed the 0.5% sulphur limit and retrofitting an approved Exhaust Gas Cleaning System (also known as scrubbers) to remove sulphur from exhaust, which might require a substanatial capital expenditure and prolonged offhire of the vessel during installation; or use petroleum fuels such as marine gasoil (“MGO”), which meet the 0.5% sulphur limit. According to Platts, the premium of MGO over 380 CST 3.5% bunker fuel in Rotterdam has averaged $270/mt over the last five years.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high sulfur fuel oil and MGO; or by retrofitting the vessel to handle alternative fuels, such as LNG, methanol, biofuels, liquefied petroleum gas (“LPG”) etc. Retrofitting vessels for the consumption of these type of alternative fuels would involve a substantial capital expenditure and might be uneconomical for most conventional vessel types in light of current technology and design challenges. Similarly MARPOL Annex VI requires Tier III standards for NOx emissions to be applied to ships constructed and engines installed in ships operating in NOx emission control areas from January 1, 2016.</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IMO ballast water management (“BWM”) convention requires vessels to install expensive ballast water treatment systems (“BWTS”) before the first MARPOL renewal survey conducted after September 8, 2017, however all vessels need to be certified in accordance with the BWM convention by September 8, 2017. This certification entails ballast water management plans to be approved by the flag state and surveyors in attendance onboard for survey and issuance of BWM certificate. Additional expenditure for such certification will be incurred.</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Additionally to IMO requirements, installation of expensive BWTS will be required for ships entering U.S. jurisdictions as the U.S. Coast Guard (“USCG”) requires installation of BWTS at the first bottom survey conducted after January 1, 2016. Nevertheless as USCG approved BWTS are not available as yet, we have obtained extensions for all vessels with due date of docking up to and including 2018 to carry out installation of BWTS at the next docking survey after December 31, 2018.</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Currently only 12 out of our 36 vessels are equipped with BWTS.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Significant expenditures for the installation of additional equipment or new systems on board our vessels may be required in order to comply with existing or future environmental regulations.</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could incur significant costs, including cleanup costs, fines, penalties, third-party claims and natural resource damages, as the result of an oil spill or other liabilities under environmental laws. OPA 90 affects all vessel owners shipping oil or petroleum products to, from or within United States territorial waters. OPA 90 allows for potentially unlimited cleanup liability without regard to fault by owners, operators and bareboat charterers of vessels for oil pollution in U.S. waters. Similarly,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International Convention on Civil Liability for Oil Pollution Damage, 1969, as amended, which has been adopted by most countries outside of the United States, imposes liability for oil pollution in international waters. OPA 90 expressly permits individual U.S. states to impose their own stricter liability regimes with regard to hazardous materials and oil pollution incidents occurring within their boundaries. Certain coastal states in the United States, especially on the Pacific coast, have enacted their own stricter pollution prevention, liability and response laws, many providing for strict or unlimited liability.</w:t>
      </w:r>
    </w:p>
    <w:p>
      <w:pPr>
        <w:spacing w:after="0" w:line="154"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54"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addition, the U.S. Environmental Protection Agency has also adopted a rule which requires commercial vessels to obtain a Vessel General Permit (“VGP”) from the USCG in compliance with the Federal Water Pollution Control Act (the “Clean Water Act”) regulating, among other things, the discharge of ballast water and other discharges into U.S. waters. Permit holders must also comply with detailed operational, maintenance and recordkeeping permit requirements.</w:t>
      </w:r>
    </w:p>
    <w:p>
      <w:pPr>
        <w:spacing w:after="0" w:line="18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Other requirements may also come into force regarding the protection of threatened and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 others, may arise out of commitments made at international conferences such as periodic G8 and G20 summits through international environmental agreements and United Nations Climate Change Conferences and through other multilateral or bilateral agreements.</w:t>
      </w:r>
    </w:p>
    <w:p>
      <w:pPr>
        <w:spacing w:after="0" w:line="18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and financial results.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4B: Business Overview—Regulation” for more information on the regulations applicable to our vessels.</w:t>
      </w:r>
    </w:p>
    <w:p>
      <w:pPr>
        <w:spacing w:after="0" w:line="3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Capital Maritime or any of its affiliates, including our Manager, may not prevent labor interruptions, and the failure to renegotiate these agreements or to successfully attract and retain qualified personnel in the future may disrupt our operations and adversely affect our cash flows.</w:t>
      </w:r>
    </w:p>
    <w:p>
      <w:pPr>
        <w:spacing w:after="0" w:line="73"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The collective bargaining agreement between our Manager and the Pan-Hellenic Seamen’s Federation, effective August 1, 2016, expires on July 31, 2017.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results of operations, cash flows and financial condition.</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2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customers may begin to pressure us to reduce our charter rates.</w:t>
      </w:r>
    </w:p>
    <w:p>
      <w:pPr>
        <w:spacing w:after="0" w:line="62"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flow may be subject to instability in the long term. Currently, two of our container vessels are chartered for less than two years. A more active short-term or spot containership market may require us to enter into charters based on changing market prices, as opposed to contracts based on a fixed rate, which could result in a decrease in our cash flow in periods when the market price for vessels is depressed or insufficient funds to cover our financing costs for related vessels. In addition, the development of an active short-term or spot containership market could affect rates under our existing time charters as our current customers may begin to pressure us to reduce our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ind w:right="480" w:firstLine="913"/>
        <w:spacing w:after="0" w:line="279" w:lineRule="auto"/>
        <w:rPr>
          <w:sz w:val="20"/>
          <w:szCs w:val="20"/>
          <w:color w:val="auto"/>
        </w:rPr>
      </w:pPr>
      <w:r>
        <w:rPr>
          <w:rFonts w:ascii="Arial" w:cs="Arial" w:eastAsia="Arial" w:hAnsi="Arial"/>
          <w:sz w:val="17"/>
          <w:szCs w:val="17"/>
          <w:color w:val="auto"/>
        </w:rPr>
        <w:t>It is possible that changes to inspection procedures could impose additional financial and legal obligations on us. Changes to inspection procedures could also impose additional costs and obligations on our customers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Pursuant to the amended and restated omnibus agreement that we and Capital Maritime have entered into, 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without the consent of our General Partner or our board of directors or without first offering such tanker vessel to us. Similarly, we may not acquire, own or operate product or crude oil tankers with carrying capacity under 30,000 dwt, other than vessels we had owned prior to the date of the amended and restated omnibus agreement, without first offering such tanker vessel to Capital Maritime.</w:t>
      </w:r>
    </w:p>
    <w:p>
      <w:pPr>
        <w:spacing w:after="0" w:line="178" w:lineRule="exact"/>
        <w:rPr>
          <w:sz w:val="20"/>
          <w:szCs w:val="20"/>
          <w:color w:val="auto"/>
        </w:rPr>
      </w:pPr>
    </w:p>
    <w:p>
      <w:pPr>
        <w:jc w:val="both"/>
        <w:ind w:right="260" w:firstLine="913"/>
        <w:spacing w:after="0" w:line="286" w:lineRule="auto"/>
        <w:rPr>
          <w:sz w:val="20"/>
          <w:szCs w:val="20"/>
          <w:color w:val="auto"/>
        </w:rPr>
      </w:pPr>
      <w:r>
        <w:rPr>
          <w:rFonts w:ascii="Arial" w:cs="Arial" w:eastAsia="Arial" w:hAnsi="Arial"/>
          <w:sz w:val="17"/>
          <w:szCs w:val="17"/>
          <w:color w:val="auto"/>
        </w:rPr>
        <w:t>Furthermore, we granted Capital Maritime a right of first offer on the disposal of product and crude oil tankers with a carrying capacity under 30,000 dwt,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166" w:lineRule="exact"/>
        <w:rPr>
          <w:sz w:val="20"/>
          <w:szCs w:val="20"/>
          <w:color w:val="auto"/>
        </w:rPr>
      </w:pPr>
    </w:p>
    <w:p>
      <w:pPr>
        <w:jc w:val="both"/>
        <w:ind w:right="160" w:firstLine="913"/>
        <w:spacing w:after="0" w:line="342" w:lineRule="auto"/>
        <w:rPr>
          <w:sz w:val="20"/>
          <w:szCs w:val="20"/>
          <w:color w:val="auto"/>
        </w:rPr>
      </w:pPr>
      <w:r>
        <w:rPr>
          <w:rFonts w:ascii="Arial" w:cs="Arial" w:eastAsia="Arial" w:hAnsi="Arial"/>
          <w:sz w:val="16"/>
          <w:szCs w:val="16"/>
          <w:color w:val="auto"/>
        </w:rPr>
        <w:t>The omnibus agreement contains significant exceptions that may allow Capital Maritime and its controlled affiliates to compete with us, which could harm our business. It also does not apply to container and drybulk vessels. Please read “Item 7B: Related-Party Transactions” 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117"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Capital Maritime, the sole member of our General Partner, is one of our largest charterers in revenue terms, with seven of our 36 vessels chartered or expected to commence charters to Capital Maritime as of December 31, 2016. In addition, our Manager is a subsidiary of Capital Maritime. The ability of Capital Maritime to continue providing services for our benefit will depend in part on its own financial strength and reputation in the industry.</w:t>
      </w:r>
    </w:p>
    <w:p>
      <w:pPr>
        <w:spacing w:after="0" w:line="14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Circumstances beyond our control could impair Capital Maritime’s financial strength and also affect its relationships and reputations within the industry, and because it is a privately held company, little or no information about its financial strength is publicly available. As a result, an investor in our common units might have little advance warning of problems Capital Maritime may experience, even though these problems could have a material adverse effect on 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Holders of units have only limited voting rights on matters affecting our business.</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 holders by the affirmative vote of the holders of a majority of the outstanding common units.</w:t>
      </w:r>
    </w:p>
    <w:p>
      <w:pPr>
        <w:spacing w:after="0" w:line="193"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The holders of the Class B Units have voting rights that are identical to the voting rights of the common units on an as converted basis and will vote with the common units as a single class on all matters with respect to which each common unit is entitled to vote, provided, however, that except in the circumstances where we are in arrears in the payment of the minimum quarterly distribution on the Class B Units, holders of Class B Units have no right to vote for, elect or appoint any director, or to nominate any individual to stand for election or appointment as a director. If we fail to pay the minimum Class B Unit distribution for six or more quarters, the holders of the Class B Units will have the right to appoint a director to our board and, if and as long as such arrears exists after March 1, 2018, to replace the directors appointed by our General Partner, in each case by the affirmative vote of the holders of a majority of the Class B Units, subject to exceptions and conditions contained in our partnership agreement.</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Furthermore, 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units, including any units owned by our General Partner and its affiliates, our Class B unitholders voting together as a single class and a majority vote of our board of directors. Currently, 101,767,728 common units are owned by non-affiliated public unitholders, representing 83.2% of our common units and 73.9% of the partnership interests in us (on an as converted basis).</w:t>
      </w:r>
    </w:p>
    <w:p>
      <w:pPr>
        <w:spacing w:after="0" w:line="19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affiliates of our General Partner, Capital Maritime and Crude Carriers Investments Corp. (“Crude Carriers Investments”) are not subject to such limitation and will be attributed their pro rata share of any units reallocated as a result of such limitation.</w:t>
      </w:r>
    </w:p>
    <w:p>
      <w:pPr>
        <w:spacing w:after="0" w:line="17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As of December 31, 2016, the Marinakis family, including Evangelos M. Marinakis, our former chairman, may be deemed to beneficially own on a fully converted basis a 16.7% interest in us (18.5% on a non-fully converted basis), through, among others, Capital Maritime, which may be deemed to beneficially own a 14.3% interest in us, including 17,291,768 common units and a 1.8% interest in us (2% on a non-fully converted basis) through its ownership of our General Partner, and Crude Carriers Investments, which may be deemed to beneficially own a 2.4% interest in us.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General Partner and its affiliates own a significant interest in us and have conflicts of interest and limited fiduciary and contractual duties, which may permit them to favor their own interests to your detriment.</w:t>
      </w:r>
    </w:p>
    <w:p>
      <w:pPr>
        <w:spacing w:after="0" w:line="6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general partner is in charge of our day-to-day affairs consistent with policies and procedures adopted by and subject to the direction of our board of directors. Our General Partner and its affiliates and our directors have a fiduciary duty to manage us in a manner beneficial to us and our unitholders. Units owned by affiliates of our General Partner have the same rights as our other outstanding units of the same class (other than the 5% limit on voting rights, which does not apply to our General Partner and its affiliates; see “—</w:t>
      </w:r>
      <w:r>
        <w:rPr>
          <w:rFonts w:ascii="Arial" w:cs="Arial" w:eastAsia="Arial" w:hAnsi="Arial"/>
          <w:sz w:val="18"/>
          <w:szCs w:val="18"/>
          <w:i w:val="1"/>
          <w:iCs w:val="1"/>
          <w:color w:val="auto"/>
        </w:rPr>
        <w:t>Unitholders have limited voting rights and our partnership agreement restricts</w:t>
      </w:r>
      <w:r>
        <w:rPr>
          <w:rFonts w:ascii="Arial" w:cs="Arial" w:eastAsia="Arial" w:hAnsi="Arial"/>
          <w:sz w:val="18"/>
          <w:szCs w:val="18"/>
          <w:color w:val="auto"/>
        </w:rPr>
        <w:t xml:space="preserve"> </w:t>
      </w:r>
      <w:r>
        <w:rPr>
          <w:rFonts w:ascii="Arial" w:cs="Arial" w:eastAsia="Arial" w:hAnsi="Arial"/>
          <w:sz w:val="18"/>
          <w:szCs w:val="18"/>
          <w:i w:val="1"/>
          <w:iCs w:val="1"/>
          <w:color w:val="auto"/>
        </w:rPr>
        <w:t>the voting rights of unitholders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owning 5% or more of our units.</w:t>
      </w:r>
      <w:r>
        <w:rPr>
          <w:rFonts w:ascii="Arial" w:cs="Arial" w:eastAsia="Arial" w:hAnsi="Arial"/>
          <w:sz w:val="16"/>
          <w:szCs w:val="16"/>
          <w:color w:val="auto"/>
        </w:rPr>
        <w:t>”). However, the officers of our General Partner have a fiduciary duty to manage our General Partner in a manner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“Item 3.D: Risk Factors—</w:t>
      </w:r>
      <w:r>
        <w:rPr>
          <w:rFonts w:ascii="Arial" w:cs="Arial" w:eastAsia="Arial" w:hAnsi="Arial"/>
          <w:sz w:val="16"/>
          <w:szCs w:val="16"/>
          <w:i w:val="1"/>
          <w:iCs w:val="1"/>
          <w:color w:val="auto"/>
        </w:rPr>
        <w:t>Risks Inherent in an</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 in Us—Our partnership agreement limits our General Partner’s and our directors’ fiduciary duties to our unitholders and restricts the remedies available to unitholders for actions taken by our General Partner or our directors</w:t>
      </w:r>
      <w:r>
        <w:rPr>
          <w:rFonts w:ascii="Arial" w:cs="Arial" w:eastAsia="Arial" w:hAnsi="Arial"/>
          <w:sz w:val="16"/>
          <w:szCs w:val="16"/>
          <w:color w:val="auto"/>
        </w:rPr>
        <w:t>.” These conflicts include, among others, the following situations:</w:t>
      </w:r>
    </w:p>
    <w:p>
      <w:pPr>
        <w:spacing w:after="0" w:line="72" w:lineRule="exact"/>
        <w:rPr>
          <w:sz w:val="20"/>
          <w:szCs w:val="20"/>
          <w:color w:val="auto"/>
        </w:rPr>
      </w:pPr>
    </w:p>
    <w:p>
      <w:pPr>
        <w:ind w:left="1460" w:right="180" w:hanging="547"/>
        <w:spacing w:after="0" w:line="286" w:lineRule="auto"/>
        <w:tabs>
          <w:tab w:leader="none" w:pos="1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shareholders of Capital Maritime, which may be contrary to our interests;</w:t>
      </w:r>
    </w:p>
    <w:p>
      <w:pPr>
        <w:spacing w:after="0" w:line="70" w:lineRule="exact"/>
        <w:rPr>
          <w:rFonts w:ascii="Arial" w:cs="Arial" w:eastAsia="Arial" w:hAnsi="Arial"/>
          <w:sz w:val="17"/>
          <w:szCs w:val="17"/>
          <w:color w:val="auto"/>
        </w:rPr>
      </w:pPr>
    </w:p>
    <w:p>
      <w:pPr>
        <w:ind w:left="1460" w:right="60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executive officers of our General Partner and three of our directors also serve as executive officers and/or directors of Capital Maritime;</w:t>
      </w:r>
    </w:p>
    <w:p>
      <w:pPr>
        <w:spacing w:after="0" w:line="75" w:lineRule="exact"/>
        <w:rPr>
          <w:rFonts w:ascii="Arial" w:cs="Arial" w:eastAsia="Arial" w:hAnsi="Arial"/>
          <w:sz w:val="18"/>
          <w:szCs w:val="18"/>
          <w:color w:val="auto"/>
        </w:rPr>
      </w:pPr>
    </w:p>
    <w:p>
      <w:pPr>
        <w:ind w:left="1460" w:right="440" w:hanging="547"/>
        <w:spacing w:after="0" w:line="308" w:lineRule="auto"/>
        <w:tabs>
          <w:tab w:leader="none" w:pos="1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spacing w:after="0" w:line="51" w:lineRule="exact"/>
        <w:rPr>
          <w:rFonts w:ascii="Arial" w:cs="Arial" w:eastAsia="Arial" w:hAnsi="Arial"/>
          <w:sz w:val="17"/>
          <w:szCs w:val="17"/>
          <w:color w:val="auto"/>
        </w:rPr>
      </w:pPr>
    </w:p>
    <w:p>
      <w:pPr>
        <w:ind w:left="1460" w:hanging="547"/>
        <w:spacing w:after="0" w:line="259"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92"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86" w:lineRule="exact"/>
        <w:rPr>
          <w:rFonts w:ascii="Arial" w:cs="Arial" w:eastAsia="Arial" w:hAnsi="Arial"/>
          <w:sz w:val="18"/>
          <w:szCs w:val="18"/>
          <w:color w:val="auto"/>
        </w:rPr>
      </w:pPr>
    </w:p>
    <w:p>
      <w:pPr>
        <w:ind w:left="1460" w:right="180" w:hanging="547"/>
        <w:spacing w:after="0" w:line="308" w:lineRule="auto"/>
        <w:tabs>
          <w:tab w:leader="none" w:pos="1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460" w:right="200" w:hanging="547"/>
        <w:spacing w:after="0" w:line="342"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29" w:lineRule="exact"/>
        <w:rPr>
          <w:rFonts w:ascii="Arial" w:cs="Arial" w:eastAsia="Arial" w:hAnsi="Arial"/>
          <w:sz w:val="16"/>
          <w:szCs w:val="16"/>
          <w:color w:val="auto"/>
        </w:rPr>
      </w:pPr>
    </w:p>
    <w:p>
      <w:pPr>
        <w:ind w:left="1460" w:right="36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279"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Generally, the vote of a majority of our common unitholders, including affiliates of our General Partner, is required to amend the terms of our partnership agreement. Affiliates of our General Partner may favor their own interests in any vote by our unitholders.</w:t>
      </w:r>
    </w:p>
    <w:p>
      <w:pPr>
        <w:spacing w:after="0" w:line="38"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Under the terms of our partnership agreement, the affirmative vote of a majority of common units (including, subject to certain exceptions, the votes of holders of Class B Units voting on an as-converted basis) is required in order to reach certain decisions or actions, including:</w:t>
      </w:r>
    </w:p>
    <w:p>
      <w:pPr>
        <w:spacing w:after="0" w:line="29" w:lineRule="exact"/>
        <w:rPr>
          <w:sz w:val="20"/>
          <w:szCs w:val="20"/>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of the general partner interest prior to March 31, 2017;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of our incentive distribution rights (“IDRs”) prior to March 31, 2017;</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the board of directors to cause us to sell, exchange or otherwise dispose of all or substantially all of our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460" w:hanging="547"/>
        <w:spacing w:after="0" w:line="276" w:lineRule="auto"/>
        <w:tabs>
          <w:tab w:leader="none" w:pos="1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other amendment to the partnership agreement, except for certain amendments related to the day-to-day management of the Partnership and amendments necessary or appropriate to carrying on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173"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Furthermore, our partnership agreement provides that any changes to the rights of the Class B unitholders, whose rights rank senior to those of our common unitholders in many respects, must be approved by at least 75% of the holders of such units, excluding units held by Capital Maritime and its affiliates (if any).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of December 31, 2016, the Marinakis family, including Mr. Evangelos M. Marinakis, our former chairman, may be deemed to beneficially own on a fully converted basis a 16.7% interest in us (18.5% on a non-fully converted basis), through, among others, Capital Maritime, which may be deemed to beneficially own a 14.3% interest in us, consisting of 17,291,768 common units and our General Partner’s 1.8% interest, and Crude Carriers Investments, which may be deemed to beneficially own a 2.4% interest in us.</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Affiliates of our General Partner are not subject to the limitations on voting rights imposed on our other limited partners and would be attributed their pro rata share of any units reallocated as a result of such limitations.</w:t>
      </w:r>
    </w:p>
    <w:p>
      <w:pPr>
        <w:spacing w:after="0" w:line="170"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Affiliates of our General Partner may favor their own interests in any vote by our unitholders. These considerations may significantly impact any vote under the terms of our partnership agreement and may significantly affect your rights under our partnership agreement.</w:t>
      </w:r>
    </w:p>
    <w:p>
      <w:pPr>
        <w:spacing w:after="0" w:line="14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Please also read “Item 3.D: Risk Factors—Risks Inherent in an Investment in Us—</w:t>
      </w:r>
      <w:r>
        <w:rPr>
          <w:rFonts w:ascii="Arial" w:cs="Arial" w:eastAsia="Arial" w:hAnsi="Arial"/>
          <w:sz w:val="18"/>
          <w:szCs w:val="18"/>
          <w:i w:val="1"/>
          <w:iCs w:val="1"/>
          <w:color w:val="auto"/>
        </w:rPr>
        <w:t>Unitholders have limited voting rights and our partnership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restricts the voting rights of unitholders owning 5% or more of our units</w:t>
      </w:r>
      <w:r>
        <w:rPr>
          <w:rFonts w:ascii="Arial" w:cs="Arial" w:eastAsia="Arial" w:hAnsi="Arial"/>
          <w:sz w:val="18"/>
          <w:szCs w:val="18"/>
          <w:color w:val="auto"/>
        </w:rPr>
        <w:t>” for information on additional restrictions imposed by our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62"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Our board of directors has not exercised its power to appoint officers of CPLP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and its Chief Operating Officer are also executive officers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financial condition, results of operations, cash flow and ability to make cash distributions and service or refinance our debt.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6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Our partnership agreement contains provisions that reduce the standards and fiduciary duties to which our General Partner and directors may otherwise be held by or owed to you pursuant to Marshall Islands law. For example, our partnership agreement:</w:t>
      </w:r>
    </w:p>
    <w:p>
      <w:pPr>
        <w:spacing w:after="0" w:line="76" w:lineRule="exact"/>
        <w:rPr>
          <w:sz w:val="20"/>
          <w:szCs w:val="20"/>
          <w:color w:val="auto"/>
        </w:rPr>
      </w:pPr>
    </w:p>
    <w:p>
      <w:pPr>
        <w:ind w:left="1460" w:right="80" w:hanging="547"/>
        <w:spacing w:after="0" w:line="270"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83" w:lineRule="exact"/>
        <w:rPr>
          <w:rFonts w:ascii="Arial" w:cs="Arial" w:eastAsia="Arial" w:hAnsi="Arial"/>
          <w:sz w:val="17"/>
          <w:szCs w:val="17"/>
          <w:color w:val="auto"/>
        </w:rPr>
      </w:pPr>
    </w:p>
    <w:p>
      <w:pPr>
        <w:ind w:left="1460" w:right="80" w:hanging="547"/>
        <w:spacing w:after="0" w:line="277" w:lineRule="auto"/>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75" w:lineRule="exact"/>
        <w:rPr>
          <w:rFonts w:ascii="Arial" w:cs="Arial" w:eastAsia="Arial" w:hAnsi="Arial"/>
          <w:sz w:val="18"/>
          <w:szCs w:val="18"/>
          <w:color w:val="auto"/>
        </w:rPr>
      </w:pPr>
    </w:p>
    <w:p>
      <w:pPr>
        <w:ind w:left="1460" w:right="60" w:hanging="547"/>
        <w:spacing w:after="0" w:line="276"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460" w:right="120" w:hanging="547"/>
        <w:spacing w:after="0" w:line="259" w:lineRule="auto"/>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 Please read “Conflicts of Interest and Fiduciary Duties”.</w:t>
      </w:r>
    </w:p>
    <w:p>
      <w:pPr>
        <w:spacing w:after="0" w:line="2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7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460" w:hanging="547"/>
        <w:spacing w:after="0" w:line="276" w:lineRule="auto"/>
        <w:tabs>
          <w:tab w:leader="none" w:pos="1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unitholders will be unable to remove our General Partner without its consent so long as our General Partner and its affiliates own sufficient units to be able to prevent such removal. The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all outstanding units voting together as a single class and a majority vote of our board of directors is required to remove the General Partner. As of December 31, 2016, the Marinakis family, including Evangelos M. Marinakis, our former chairman, may be deemed to beneficially own on a fully converted basis a 16.7% interest in us (18.5% on a non-fully converted basis), through, among others, Capital Maritime.</w:t>
      </w:r>
    </w:p>
    <w:p>
      <w:pPr>
        <w:spacing w:after="0" w:line="77" w:lineRule="exact"/>
        <w:rPr>
          <w:rFonts w:ascii="Arial" w:cs="Arial" w:eastAsia="Arial" w:hAnsi="Arial"/>
          <w:sz w:val="17"/>
          <w:szCs w:val="17"/>
          <w:color w:val="auto"/>
        </w:rPr>
      </w:pPr>
    </w:p>
    <w:p>
      <w:pPr>
        <w:ind w:left="1460" w:right="22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460" w:right="120" w:hanging="547"/>
        <w:spacing w:after="0" w:line="264"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spacing w:after="0" w:line="257" w:lineRule="auto"/>
        <w:rPr>
          <w:sz w:val="20"/>
          <w:szCs w:val="20"/>
          <w:color w:val="auto"/>
        </w:rPr>
      </w:pPr>
      <w:r>
        <w:rPr>
          <w:rFonts w:ascii="Arial" w:cs="Arial" w:eastAsia="Arial" w:hAnsi="Arial"/>
          <w:sz w:val="18"/>
          <w:szCs w:val="18"/>
          <w:color w:val="auto"/>
        </w:rPr>
        <w:t>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unitholders of the same class holding less than 4.9% of the voting power of that class.</w:t>
      </w:r>
    </w:p>
    <w:p>
      <w:pPr>
        <w:spacing w:after="0" w:line="94" w:lineRule="exact"/>
        <w:rPr>
          <w:sz w:val="20"/>
          <w:szCs w:val="20"/>
          <w:color w:val="auto"/>
        </w:rPr>
      </w:pPr>
    </w:p>
    <w:p>
      <w:pPr>
        <w:ind w:left="920" w:right="3900" w:hanging="7"/>
        <w:spacing w:after="0" w:line="624" w:lineRule="auto"/>
        <w:tabs>
          <w:tab w:leader="none" w:pos="14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have substantial latitude in issuing equity securities without unitholder approval. One effect of these provisions may be to diminish the price at which our units will trade.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After March 31, 2017, our General Partner may transfer all or any of its General Partner interest without unitholder approval.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financial condition, results of operations, cash flow and our ability to make cash distributions and service or refinance our debt.</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6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common units.</w:t>
      </w:r>
    </w:p>
    <w:p>
      <w:pPr>
        <w:spacing w:after="0" w:line="18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In addition, pursuant to the terms of our partnership agreement, holders of our Class B Units may convert all or a portion of their Class B Units into common units at any time, and from time to time, at a ratio of one-for-one, such conversion ratio to be adjusted in the event that, among other anti-dilution protection provisions, we declare, order, pay or make a distribution (including any distribution of units or other securities or property or rights or warrants to subscribe for our securities at a price per unit less than the fair market value of such securities, by way of distribution or spin-off) on our common units, other than regular and customary quarterly distributions of available cash. As of December 31, 2016, there were 12,983,333 Class B Units outstanding.</w:t>
      </w:r>
    </w:p>
    <w:p>
      <w:pPr>
        <w:spacing w:after="0" w:line="158"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For more information on the rights and privileges of our Class B Units, read “Item 10B: Memorandum and Articles of Association—The Partnership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117"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Except for consent rights of the Class B Unit holders with respect to the issuance of interests senior to the Class B Units, we may, without the approval of our unitholders, issue an unlimited number of additional units or other equity securities, including to Capital Maritime or its affiliates.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our initial public offering, we conducted a number of issuances:</w:t>
      </w:r>
    </w:p>
    <w:p>
      <w:pPr>
        <w:spacing w:after="0" w:line="131" w:lineRule="exact"/>
        <w:rPr>
          <w:sz w:val="20"/>
          <w:szCs w:val="20"/>
          <w:color w:val="auto"/>
        </w:rPr>
      </w:pPr>
    </w:p>
    <w:p>
      <w:pPr>
        <w:ind w:left="1460" w:right="80" w:hanging="547"/>
        <w:spacing w:after="0" w:line="277"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issued Class B Units, which are convertible into common units. As of December 31, 2016, there were 12,983,333 Class B Units outstanding.</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conducted multiple issuances of common units, including in the unit-for-share acquisition of Crude Carriers in 2011, in public offerings on an SEC-registered basis or to our General Partner or Capital Maritime in private placements.</w:t>
      </w:r>
    </w:p>
    <w:p>
      <w:pPr>
        <w:spacing w:after="0" w:line="51" w:lineRule="exact"/>
        <w:rPr>
          <w:rFonts w:ascii="Arial" w:cs="Arial" w:eastAsia="Arial" w:hAnsi="Arial"/>
          <w:sz w:val="17"/>
          <w:szCs w:val="17"/>
          <w:color w:val="auto"/>
        </w:rPr>
      </w:pPr>
    </w:p>
    <w:p>
      <w:pPr>
        <w:ind w:left="1460" w:right="60" w:hanging="547"/>
        <w:spacing w:after="0" w:line="259"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August 2014, following approval obtained from our limited partners at our 2014 annual meeting, we amended and restated our Omnibus Incentive Compensation Plan, adopted in April 2008 (the “Plan”), to increase the maximum number of restricted units authorized for issuance thereunder from 800,000 to 1,650,000. 850,000 restricted units were issued under the Plan in December 2015 and 699,168 remained unvested as of December 31,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59"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September 2016, we entered into an equity distribution agreement under which we may sell, from time to time, new common units having an aggregate offering amount of up to $50.0 million. As of December 31, 2016, we have issued an aggregate of 1.4 million new common units in this ATM offering translating into net proceeds of $4.5 million (before offering expenses). We may make additional such issuances in the future.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issuance by us of additional units or other equity securities of equal or senior rank may have the following effects:</w:t>
      </w:r>
    </w:p>
    <w:p>
      <w:pPr>
        <w:spacing w:after="0" w:line="131" w:lineRule="exact"/>
        <w:rPr>
          <w:sz w:val="20"/>
          <w:szCs w:val="20"/>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relative voting power of each previously outstanding unit may be diminished;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a result, you may be required to sell your units at an undesirable time or price and may not receive any return on your investment. You may also incur a tax liability upon a sale of your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“Item 10B: Memorandum and Articles of Association—The Partnership Agreement—Limited Liability” for a more detailed discussion of the implications of the limitations on liability to a unitholder.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 borrow money to pay distributions or buy back our units, which would reduce the amount of credit available to operate our business.</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11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296"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3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completed our IPO on the Nasdaq Global Select Market on April 3, 2007. 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Our sponsor,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6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it is to be applied and construed to make the laws of the Marshall Islands, with respect to the subject matter of the MILPA, as it relates to nonresident limited partnerships, such as us,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17" w:lineRule="exact"/>
        <w:rPr>
          <w:sz w:val="20"/>
          <w:szCs w:val="20"/>
          <w:color w:val="auto"/>
        </w:rPr>
      </w:pPr>
    </w:p>
    <w:p>
      <w:pPr>
        <w:ind w:right="280"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w:t>
      </w:r>
    </w:p>
    <w:p>
      <w:pPr>
        <w:spacing w:after="0" w:line="103" w:lineRule="exact"/>
        <w:rPr>
          <w:sz w:val="20"/>
          <w:szCs w:val="20"/>
          <w:color w:val="auto"/>
        </w:rPr>
      </w:pPr>
    </w:p>
    <w:p>
      <w:pPr>
        <w:ind w:right="360" w:firstLine="913"/>
        <w:spacing w:after="0" w:line="291" w:lineRule="auto"/>
        <w:rPr>
          <w:sz w:val="20"/>
          <w:szCs w:val="20"/>
          <w:color w:val="auto"/>
        </w:rPr>
      </w:pPr>
      <w:r>
        <w:rPr>
          <w:rFonts w:ascii="Arial" w:cs="Arial" w:eastAsia="Arial" w:hAnsi="Arial"/>
          <w:sz w:val="16"/>
          <w:szCs w:val="16"/>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w:t>
      </w:r>
    </w:p>
    <w:p>
      <w:pPr>
        <w:ind w:firstLine="8"/>
        <w:spacing w:after="0" w:line="252"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94"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 Material U.S. Federal Income Tax Considerations—U.S. Federal Income Taxation of U.S. Holders—PFIC Status and Significant Tax Consequences”.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73"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74"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See also “Item 3.D: Risk Factors—Risks Relating to Financing Activities—Risks arising from the political situation in Greece”. Any foreign taxes imposed on us or any subsidiaries or the increase of any tonnage tax will reduce our cash available for distribution.</w:t>
      </w:r>
    </w:p>
    <w:p>
      <w:pPr>
        <w:spacing w:after="0" w:line="3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131" w:lineRule="exact"/>
        <w:rPr>
          <w:sz w:val="20"/>
          <w:szCs w:val="20"/>
          <w:color w:val="auto"/>
        </w:rPr>
      </w:pPr>
    </w:p>
    <w:p>
      <w:pPr>
        <w:ind w:left="1920" w:hanging="440"/>
        <w:spacing w:after="0"/>
        <w:tabs>
          <w:tab w:leader="none" w:pos="19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are a master limited partnership organized as Capital Product Partners L.P. under the laws of the Marshall Islands on January 16, 2007.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completed our IPO in April 2007. Upon our IPO, our fleet consisted of eight vessels, as compared to the 36 vessels currently in our fleet.</w:t>
      </w:r>
    </w:p>
    <w:p>
      <w:pPr>
        <w:spacing w:after="0" w:line="24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February 2010, we completed the issuance of 5,800,000 common units at a public offering price of $8.85 per common unit. An additional 481,578 common units were subsequently sold at the same price following the partial exercise of the overallotment option granted to the underwriters for the offering. The net proceeds from the offering were used to acquire one MR tanker at an acquisition price of $43.0 million and for general partnership purposes.</w:t>
      </w:r>
    </w:p>
    <w:p>
      <w:pPr>
        <w:spacing w:after="0" w:line="147"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In August 2010, we completed the issuance of 5,500,000 common units at a public offering price of $8.63 per common unit. An additional 552,254 common units were subsequently sold at the same price following the partial exercise of the overallotment option granted to the underwriters. The net proceeds from the offering were used to acquire one MR tanker at an acquisition price of $43.5 million and for general partnership purposes.</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May 2011, we entered into a definitive agreement to merge with Crude Carriers Corp. (“Crude Carrier”), a corporation organized under the laws of the Republic of Marshall Islands and managed by Capital Maritime, in a unit-for-share transaction. In September 2011, we completed the merger, as a result of which Crude Carrier became our wholly owned subsidiary. In connection with the merger, we issued 24,967,240 common units to holders of Crude Carriers’ shares.</w:t>
      </w:r>
    </w:p>
    <w:p>
      <w:pPr>
        <w:spacing w:after="0" w:line="187"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In June 2011, we completed the acquisition of the company owning the M/V Cape Agamemnon and the attached charter from Capital Maritime. The vessel is under a charter with Cosco for a ten-year period, which commenced in July 2010. The acquisition was funded through $1.5 million from available cash and the incurrence of $25.0 million of debt under our 2011 credit facility. We also issued 6,958,000 common units to Capital Maritime.</w:t>
      </w:r>
    </w:p>
    <w:p>
      <w:pPr>
        <w:spacing w:after="0" w:line="14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September 2011, pursuant to the terms of our merger agreement with Crude Carriers, we amended and restated the omnibus agreement with Capital Maritime. Please read “Item 7.B: Related-Party Transactions—Omnibus Agreement with Capital Maritime”.</w:t>
      </w:r>
    </w:p>
    <w:p>
      <w:pPr>
        <w:spacing w:after="0" w:line="170"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 June 2012, we issued 15,555,554 Class B Units to a group of investors, including Capital Maritime, at price of $9.00 per unit. The Class B Units pay fixed quarterly cash distribution of $0.21375 per unit representing an annualized distribution yield of 9.5%. The net proceeds of the transaction, together with part of our cash balances, were used to prepay debt in the amount of $149.6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connection with the issuance and sale of the Class B Units, we adopted an amendment to our partnership agreement, dated as of May 22, 2012 (the “Second Amendment to the Partnership Agreement”), which established and set forth the rights, preferences, privileges, duties and obligations of the Class B Units. The Class B Units have not been registered under the Securities Act of 1933, as amended, and may not be offered or sold in the United States absent a registration statement or exemption from registration.</w:t>
      </w:r>
    </w:p>
    <w:p>
      <w:pPr>
        <w:spacing w:after="0" w:line="18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In March 2013, we issued 9,100,000 Class B Units to a group of investors, including Capital Maritime, at a price of $8.25 per unit. In this connection, we adopted a further amendment to our limited partnership agreement, dated as of March 19, 2013 (the “Third Amendment to the Partnership Agreement”), which amends some of the rights, preferences and privileges of the Class B Units.</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net proceeds of the transaction, together with approximately $54.0 million from our existing 2008 credit facility and part of our cash balances, were used for the acquisition of two 5,023 TEU container vessels, the M/V ‘Hyundai Premium’ and M/V ‘Hyundai Paramount’, for a total consideration of $130.0 million. The vessels were originally ordered by Capital Maritime and secured a 12-year time charter employment (+/- 60 days) with HMM.</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holders of Class B Units, including Capital Maritime, have since converted an aggregate of 11,672,221 Class B Units.</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November 2012, one of our charterers, OSG, and certain of its subsidiaries made a voluntary filing for relief under Chapter 11 of the U.S. Bankruptcy Code. At the date of the filing, we had three IMO II/III Chemical/Product tankers (the M/T Alexandros II, the M/T Aristotelis II and the M/T Aris</w:t>
      </w:r>
    </w:p>
    <w:p>
      <w:pPr>
        <w:ind w:right="60" w:firstLine="8"/>
        <w:spacing w:after="0" w:line="295" w:lineRule="auto"/>
        <w:tabs>
          <w:tab w:leader="none" w:pos="2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long term bareboat charter to OSG subsidiaries. These charters were scheduled to terminate, approximately, in November 2017, April 2018 and June of 2018, respectively. We agreed to enter into new charters with OSG on substantially the same terms as the prior charters, but at reduced bareboat charter rate. In May 2013, we filed six claims for a total of $54.1 million against each of the three charterers and their respective three guarantors for damages resulting from the rejection of each of the prior charters. We sold our rights under these claims to Deutsche Bank Securities Inc.</w:t>
      </w:r>
    </w:p>
    <w:p>
      <w:pPr>
        <w:spacing w:after="0" w:line="16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August 2013, we issued 11,900,000 common units at a public offering price of $9.25 per common unit. An additional 1,785,000 common units were subsequently sold at the same price following the full exercise of the overallotment option granted to the underwriters. Capital GP L.L.C., our General Partner, participated in both the offering and the exercise of the overallotment option and purchased 279,286 units at the public offering price. The net proceeds from the offering, together with $75.0 million from our 2013 credit facility and part of our cash balances, were used to acquire three 5,023 TEU container vessels, the M/V Hyundai Prestige, the M/V Hyundai Privilege and the M/V Hyundai Platinum, from Capital Maritime for an aggregate purchase price of $195.0 million.</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2016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Acquisition of the M/T Amor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October 24, 2016, we acquired from Capital Maritime the shares of the company owning the M/T Amor for a total consideration of</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$16.9 million comprising $16.0 million in cash and the issuance of 283,696 new common units to Capital Maritime, reflecting the fair value of M/T Amor of $31.6 million and the fair value of the time charter attached to the vessel of $1.1 million, less the assumption of a $15.8 million term loan under a credit facility previously arranged by Capital Maritime. The term loan is non-amortizing for a period of two years from the anniversary of the delivery of the M/T Amor with an expected final maturity date in November 2022 and has an interest margin of 2.50%. For further information on our existing facilities, please see “Item 5.B. Liquidity and Capital Resources—Borrowings—Our Credit Facilities”.</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 million. We intend to use the net proceeds from the sales of new common units, after deducting the sales agent’s commissions and our offering expenses, for general partnership purposes, which may include, among other things, the acquisition of new vessels, the repayment or refinancing of all or a portion of our outstanding indebtedness and funding of working capital requirements or capital expenditures. For the period between the launch of the ATM offering and December 31, 2016, we issued an aggregate of 1.4 million new common units translating into net proceeds of $4.5 million (before offering expenses).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HMM restructuring agreement &amp; disposal of HMM Shares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HMM, the charterer of five of our container vessels and one of our largest counterparties in terms of revenue, completed a financial restructuring in July 2016. In this connection, our subsidiaries owning vessels under charter with HMM entered into a charter restructuring agreement with HMM on July 15, 2016. This agreement provides for the reduction of the charter rate payable under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respective charter parties by 20% to $23,480 per day (from a gross daily rate of $29,350) for a three and a half year period starting in July 2016 and ending in December 2019. The total charter rate reduction for the Charter Reduction Period is approximately $37.0 million. The charter restructuring agreement further provides that at the end of the Charter Reduction Period, the charter rate under the respective charter parties will be restored to the original gross daily rate of $29,350 until the expiry of each charter in 2024 and 2025. As compensation for the charter rate reduction, we received approximately 4.4 million HMM common shares, which we sold on the Stock Market Division of the Korean Exchange for aggregate consideration of $29.7 million in August 2016.</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Delivery of M/V CMA CGM Magdalena</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Pursuant to the Master Vessel Acquisition Agreement we entered into on July 24, 2014, the Partnership acquired on February 26, 2016 the shares of the company owning the M/V CMA CGM Magdalena, the last of five Dropdown Vessels that we agreed to acquire from Capital Maritime for a total consideration of $81.5 million. The M/V ‘CMA CGM Magdalena’ is chartered to CMA-CGM S.A. for five years at a gross daily charter rate of $39,250.</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2015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Issuance and Sale of Common Units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April 2015, we completed the issuance of 14,555,000 common units at an offering price of $9.53 per unit. This total includes 1,100,000 common units sold to our sponsor and 1,755,000 common units sold to the underwriters following partial exercise of the overallotment option. Also in May 2015, our sponsor converted an aggregate of 315,908 common units into general partner units and delivered such units to our General Partner in order for it to maintain its 2% interest in us. Net proceeds, after the deduction of the underwriters’ commission but before expenses, relating to the offering were</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$133.3 million. The proceeds were used to prepay the quarterly amortization installments scheduled for 2016 and the first quarter of 2017 under our 2007, 2008 and 2011 credit facilities and to pay related fees and expenses and for general partnership purposes.</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Amendments to Certain of Our Credit Facilities</w:t>
      </w:r>
    </w:p>
    <w:p>
      <w:pPr>
        <w:spacing w:after="0" w:line="11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April 2015, upon the completion of the issuance and sale of the 14,555,000 common units, we entered into three amendments to our 2007, 2008 and 2011 credit facilities providing for: (i) the prepayments made on April 30, 2015, and funded by the proceeds of the April 2015 offering of common units, of the scheduled four quarterly amortization payments in 2016 and the first quarter of 2017 in the respective aggregate amounts of $64.9 million, $46.0 million and $5.0 million; (ii) the deferral, following the prepayments, of any further scheduled amortization payments until November 2017 for the 2007 and 2008 credit facilities and until December 2017 for the 2011 credit facility; (iii) an extension of the final maturity date to December 31, 2019 for the 2007 and 2008 credit facilities; and (iv) an increase of the interest rate under the 2007 credit facility to 3.0% over LIBOR from 2.0% over LIBOR. All other terms in our existing credit facilities remained unchanged.</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Delivery of Dropdown Vessels</w:t>
      </w:r>
    </w:p>
    <w:p>
      <w:pPr>
        <w:spacing w:after="0" w:line="117"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On July 24, 2014, we entered into a Master Vessel Acquisition Agreement with our sponsor, Capital Maritime (the “Master Vessel Acquisition Agreement”), pursuant to which we agreed to acquire the Dropdown Vessels for an aggregate purchase price of $311.5 million. Between March and September 2015, we took delivery of the M/T Active, the M/V CMA CGM Amazon, the M/T Amadeus and the M/V CMA CGM Uruguay. Further to the Master Vessel Acquisition Agreement, the Partnership has a right of first refusal over six newbuild eco medium range product tankers built by Samsung Heavy Industries (Ningbo) Co. Ltd. including M/T Amor which was delivered in October 2016.</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Management Transition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June 30, 2015, Mr. Gerasimos (Jerry) Kalogiratos was appointed as Chief Executive Officer and Chief Financial Officer, succeeding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Petros Christodoulou, who served as the Chief Executive Officer and Chief Financial Officer of the Partnership’s General Partner between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and June 2015, and Mr. Gerasimos (Gerry) Ventouris was appointed as Chief Operating Officer. Mr. Christodoulou resigned as a director of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and was replaced by Mr. Nikolaos Syntychakis.</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During 2015, various holders of our Class B Units converted an aggregate of 1,240,404 Class B Units into common units in accordance with the terms of the partnership agreement.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2014 Developments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Amendment to the Partnership Agreement</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As consideration for the acquisitions of the Dropdown Vessels at prices below current market value, we agreed, subject to, among other things, the approval of our unitholders, to amend the partnership agreement to revise the target distributions to holders of our IDRs. Prior to this amendment to the partnership agreement, our General Partner had the right to receive, subject to the rights of holders of the Class B Units and assuming our General Partner maintained a 2% general partner interest in us and had not transferred the IDRs: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459" w:right="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780" w:hanging="547"/>
        <w:spacing w:after="0" w:line="277"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$0.3750 per unit (the “Minimum Quarterly Distribution”);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 of all quarterly distributions until the holders of our common units had received $0.4313 per unit (the “First Target Distribution”);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15% of all quarterly distributions until the holders of our common units had received $0.4688 per unit (the “Second Target Distribution”);</w:t>
      </w:r>
    </w:p>
    <w:p>
      <w:pPr>
        <w:spacing w:after="0" w:line="153"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$0.5625 per unit (the “Third Target Distribution”);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of all quarterly distributions in excess of $0.5625 per unit.</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Under the amendment to the partnership agreement proposed for unitholder approval, each of the Minimum Quarterly Distribution, the First Target Distribution, the Second Target Distribution and the Third Target Distribution would be reduced to $0.2325, $0.2425, $0.2675 and $0.2925, respectively, while our General Partner’s right to receive 50% of quarterly cash distributions in excess of the Third Target Distribution would be reduced to a right to receive 35% of such cash distributions. As a result, our General Partner would receive:</w:t>
      </w:r>
    </w:p>
    <w:p>
      <w:pPr>
        <w:spacing w:after="0" w:line="92" w:lineRule="exact"/>
        <w:rPr>
          <w:sz w:val="20"/>
          <w:szCs w:val="20"/>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$0.2325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 of all quarterly distributions until the holders of our common units had received $0.2425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15% of all quarterly distributions until the holders of our common units had received $0.2675 per unit;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25% of all quarterly distributions until the holders of our common units had received $0.2925 per unit;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35% of all quarterly distributions in excess of $0.2925 per unit.</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On August 21, 2014, our unitholders approved, among other things, the amendment to the partnership agreement outlined above. As a result, we adopted the fourth amendment to the partnership agreement, dated as of August 25, 2014 (the “Fourth Amendment to the Partnership Agreement”), to reflect the approval of such amendment.</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Thereafter, Capital Maritime, after discussion with, and with the unanimous support of, the conflicts committee of our board of directors, unilaterally notified us that it decided to waive its rights to receive quarterly incentive distributions between $0.2425 and $0.25. This waiver effectively has increased the First Target Distribution from $0.2425 to $0.25.</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Issuance and Sale of Common Units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 September 2014, we completed the issuance of 15,000,000 common units at a public offering price of $10.53 per common unit. An additional 2,250,000 common units were subsequently sold on the same terms following the full exercise of the overallotment option granted to the underwriters. Also in September 2014, our sponsor converted an aggregate of 358,624 common units into general partner units and delivered such units to our General Partner in order for it to maintain its 2% interest in us. Net proceeds, after the deduction of the underwriters’ commission but before expenses, relating to the offering were $173.9 million. The net proceeds from the offering were used to repurchase from Capital Maritime 5,950,610 common units at an aggregate price of $60.0 million, and to cancel such common units. The remaining proceeds were used to partially fund the $311.5 million aggregate purchase price for the Dropdown Vessels and for general partnership purposes.</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Amendment to our Omnibus Incentive Compensation Plan</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At our annual general meeting of unitholders held on August 21, 2014, the Plan was amended and restated to increase the maximum number of restricted units authorized for issuance thereunder from 800,000 to 1,650,000, of which 795,200 have been previously issued and have vested. No other actions were taken at the meeting.</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During 2014, certain holders of our Class B Units, including Capital Maritime, converted an aggregate of 4,698,484 Class B Units into common units in accordance with the terms of the partnership agreement</w:t>
      </w:r>
      <w:r>
        <w:rPr>
          <w:rFonts w:ascii="Arial" w:cs="Arial" w:eastAsia="Arial" w:hAnsi="Arial"/>
          <w:sz w:val="18"/>
          <w:szCs w:val="18"/>
          <w:i w:val="1"/>
          <w:iCs w:val="1"/>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We are an international owner of tanker, container and drybulk vessels. Our fleet of 36 modern high specification vessels (2.6 million dwt) with an average age of approximately 7.4 years as of December 31, 2016, consists of four Suezmax crude oil tankers, twenty one modern MR tankers, all of which are classed as IMO II/III vessels, ten post-panamax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2016, all our vessels were chartered under medium- to long-term time and bareboat charters with a revenue weighted average remaining term of approximately 5.6 years to large charterers such as BP Shipping Limited, CMA CGM, Petrobras, Pacific International Lines (Pte) Ltd , Cargill International S.A. (“Cargill”) subsidiaries of INSW, HMM, CSSA S.A. (Total S.A.), Empresa Publica Flota Petrolera Ecuatoriana EP Flopec (“Flopec”), Cosco, Repsol Trading S.A. (“Repsol”), Stena Bulk A.B. (“Stena Bulk”) and Capital Maritime. All our time and bareboat charters provide for the receipt of a fixed base rate for the life of the charter, and in the case of two of our time charters, also provide for profit sharing arrangements in excess of the base rate. Please see “Item 4B: Business Overview—Our Charters—Profit Sharing Arrangements” for a detailed description of how profit sharing is calculated. As of December 31, 2016, the Marinakis family, including Evangelos M. Marinakis, our former chairman, may be deemed to beneficially own on a fully converted basis a 16.7% interest in us (18.5% on a non-fully converted basis), through, among others, Capital Maritime.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primary business objective is to pay a sustainable quarterly distribution for our common units and Class B Units and to increase our distributions on our common units over time while maintaining a strong financial position and an appropriate level of liquidity for the proper conduct of our business. Our objective involves the following business strategies:</w:t>
      </w:r>
    </w:p>
    <w:p>
      <w:pPr>
        <w:spacing w:after="0" w:line="87" w:lineRule="exact"/>
        <w:rPr>
          <w:sz w:val="20"/>
          <w:szCs w:val="20"/>
          <w:color w:val="auto"/>
        </w:rPr>
      </w:pPr>
    </w:p>
    <w:p>
      <w:pPr>
        <w:ind w:left="1460" w:right="80" w:hanging="547"/>
        <w:spacing w:after="0" w:line="270" w:lineRule="auto"/>
        <w:tabs>
          <w:tab w:leader="none" w:pos="14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medium- to long-term fixed charters. </w:t>
      </w:r>
      <w:r>
        <w:rPr>
          <w:rFonts w:ascii="Arial" w:cs="Arial" w:eastAsia="Arial" w:hAnsi="Arial"/>
          <w:sz w:val="17"/>
          <w:szCs w:val="17"/>
          <w:color w:val="auto"/>
        </w:rPr>
        <w:t>We believe that the medium- to long-term, fixed-rate nature of our charters and our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efficient ship management operations under our agreements with Capital Ship Management contribute to providing visibility of revenues and cash flows in the medium- to long-term. As of December 31, 2016, all vessels were chartered under medium- to long-term time and bareboat charters with a revenue weighted average remaining term of approximately 5.6 years. As these vessels come up for re-chartering, we will seek to redeploy them under period contracts that reflect our expectations of prevailing market conditions. We will continue to evaluate growth opportunities across all shipping sectors. We believe that the overall young age and diversified profile of our fleet, the high specifications of our vessels and our Manager’s ability to meet the rigorous vetting requirements of some of the world’s most selective major international oil companies and major charterers in the tanker, drybulk and container sectors will position us favorably to continue to secure medium- to long-term charters for our vessels.</w:t>
      </w:r>
    </w:p>
    <w:p>
      <w:pPr>
        <w:spacing w:after="0" w:line="87" w:lineRule="exact"/>
        <w:rPr>
          <w:rFonts w:ascii="Arial" w:cs="Arial" w:eastAsia="Arial" w:hAnsi="Arial"/>
          <w:sz w:val="17"/>
          <w:szCs w:val="17"/>
          <w:color w:val="auto"/>
        </w:rPr>
      </w:pPr>
    </w:p>
    <w:p>
      <w:pPr>
        <w:ind w:left="1460" w:right="80" w:hanging="547"/>
        <w:spacing w:after="0" w:line="255"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both current and new charterers and capitalize on our relationship with Capital Maritime. </w:t>
      </w:r>
      <w:r>
        <w:rPr>
          <w:rFonts w:ascii="Arial" w:cs="Arial" w:eastAsia="Arial" w:hAnsi="Arial"/>
          <w:sz w:val="18"/>
          <w:szCs w:val="18"/>
          <w:color w:val="auto"/>
        </w:rPr>
        <w:t>We aim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our relationships with current and new charterers and to take advantage of our charterers’ diverse shipping requirements. We also believe that we can leverage our relationship with Capital Maritime and its ability to meet the rigorous vetting and selection processes of leading oil companies, as well as other charterers in the tanker, drybulk and container sectors, in order to attract new charterers for our fleet and increase the product, customer, geography and maturity diversity of our portfolio. We also believe that Capital Maritime will remain a strong chartering option.</w:t>
      </w:r>
    </w:p>
    <w:p>
      <w:pPr>
        <w:spacing w:after="0" w:line="98"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fleet through opportunistic and accretive acquisitions. </w:t>
      </w:r>
      <w:r>
        <w:rPr>
          <w:rFonts w:ascii="Arial" w:cs="Arial" w:eastAsia="Arial" w:hAnsi="Arial"/>
          <w:sz w:val="16"/>
          <w:szCs w:val="16"/>
          <w:color w:val="auto"/>
        </w:rPr>
        <w:t>Our fleet currently consists of 36 vessels with an aggregate of</w:t>
      </w:r>
    </w:p>
    <w:p>
      <w:pPr>
        <w:spacing w:after="0" w:line="46" w:lineRule="exact"/>
        <w:rPr>
          <w:rFonts w:ascii="Arial" w:cs="Arial" w:eastAsia="Arial" w:hAnsi="Arial"/>
          <w:sz w:val="16"/>
          <w:szCs w:val="16"/>
          <w:color w:val="auto"/>
        </w:rPr>
      </w:pPr>
    </w:p>
    <w:p>
      <w:pPr>
        <w:ind w:left="1460"/>
        <w:spacing w:after="0" w:line="268" w:lineRule="auto"/>
        <w:rPr>
          <w:rFonts w:ascii="Arial" w:cs="Arial" w:eastAsia="Arial" w:hAnsi="Arial"/>
          <w:sz w:val="16"/>
          <w:szCs w:val="16"/>
          <w:color w:val="auto"/>
        </w:rPr>
      </w:pPr>
      <w:r>
        <w:rPr>
          <w:rFonts w:ascii="Arial" w:cs="Arial" w:eastAsia="Arial" w:hAnsi="Arial"/>
          <w:sz w:val="17"/>
          <w:szCs w:val="17"/>
          <w:color w:val="auto"/>
        </w:rPr>
        <w:t>2.6 million deadweight tonnage, as compared to eight vessels with 0.3 million deadweight tonnage at the time of our IPO in 2007. Subject to our ability to obtain required financing and access financial markets, we intend to continue to evaluate potential acquisitions of both newbuilds and second-hand vessels in order to make opportunistic acquisitions for our fleet while maintaining a strong balance sheet. We also intend to take advantage of opportunities afforded to us by our relationship with our sponsor, Capital Maritime. As of the date hereof, Capital Maritime controls a total of 19 vessels in the water and on order, including five additional product tanker vessels for which we have a right of first refusal pursuant to the Master Vessel Acquisition Agreement. For future acquisitions, we may consider moderate increases in our overall leverage, either through debt or equity financing, provided that we are able to maintain low breakeven rates and deliver steady distributions to our unitholders. In addition, we may pursue opportunities for acquisitions of, or combinations with, other shipping businesses.</w:t>
      </w:r>
    </w:p>
    <w:p>
      <w:pPr>
        <w:spacing w:after="0" w:line="83" w:lineRule="exact"/>
        <w:rPr>
          <w:rFonts w:ascii="Arial" w:cs="Arial" w:eastAsia="Arial" w:hAnsi="Arial"/>
          <w:sz w:val="16"/>
          <w:szCs w:val="16"/>
          <w:color w:val="auto"/>
        </w:rPr>
      </w:pPr>
    </w:p>
    <w:p>
      <w:pPr>
        <w:ind w:left="1460" w:right="20" w:hanging="547"/>
        <w:spacing w:after="0" w:line="292" w:lineRule="auto"/>
        <w:tabs>
          <w:tab w:leader="none" w:pos="14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Maintain a strong balance sheet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we seek to finance our vessels and future vessel acquisitions through a mix of debt,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and current cash balances, we intend to maintain a moderate level of leverage over time. We have taken measures aiming to fund the amortization of our external debt through internally generated cash flow through the end of 2018. By maintaining moderate levels of leverage and pre-funding amortization requirements through the end of 2018, we aim to retain greater flexibility than more leveraged competitors, maintain lower breakeven rates and deliver sustainable distributions to our unitholders. In addition, charterers have increasingly favored financially solid vessel owners, and we believe that maintaining a strong balance sheet will help us access more favorable chartering opportunities, as well as give us a competitive advantage in pursuing vessel acquisitions.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20" w:hanging="547"/>
        <w:spacing w:after="0" w:line="302" w:lineRule="auto"/>
        <w:tabs>
          <w:tab w:leader="none" w:pos="14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in growing our business, we need to maintain our vessel safety record and build on our high level of customer service and support. Our Manager, Capital Ship Management, has a strong record of vessel safety and compliance with rigorous health, safety and environmental protection standards, and is also committed to providing our customers with a high level of customer service and support.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well-positioned to execute our business strategies because of the following competitive strengths:</w:t>
      </w:r>
    </w:p>
    <w:p>
      <w:pPr>
        <w:spacing w:after="0" w:line="131" w:lineRule="exact"/>
        <w:rPr>
          <w:sz w:val="20"/>
          <w:szCs w:val="20"/>
          <w:color w:val="auto"/>
        </w:rPr>
      </w:pPr>
    </w:p>
    <w:p>
      <w:pPr>
        <w:ind w:left="1460" w:right="80" w:hanging="547"/>
        <w:spacing w:after="0" w:line="270"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Well-established relationships with our counterparties and with Capital Maritime. </w:t>
      </w:r>
      <w:r>
        <w:rPr>
          <w:rFonts w:ascii="Arial" w:cs="Arial" w:eastAsia="Arial" w:hAnsi="Arial"/>
          <w:sz w:val="17"/>
          <w:szCs w:val="17"/>
          <w:color w:val="auto"/>
        </w:rPr>
        <w:t>We believe our strong relationships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counterparties, some of which have chartered vessels from us since our IPO in 2007, provide a platform for the growth of our business and operating cash flow. We have established longstanding relationships with large well-known charterers, such as CMA CGM, Petrobras, HMM, BP, Total S.A., and Repsol. Because of our existing relationships, we believe that we are well situated to further develop our medium- to long-term charter relationships with leading charterers in the shipping industry. Our business also benefits from our unique relationship with Capital Maritime, our sponsor, which has a well-established reputation and safety and environmental track record within the shipping industry, a substantial newbuilding orderbook and strong relationships with many of the world’s leading oil companies, commodity traders, container operators and shipping companies. We also benefit from Capital Maritime’s expertise in technical fleet management and its track record of meeting the rigorous vetting requirements of some of the world’s most selective major international oil companies and other charterers in the drybulk and container sectors.</w:t>
      </w:r>
    </w:p>
    <w:p>
      <w:pPr>
        <w:spacing w:after="0" w:line="83" w:lineRule="exact"/>
        <w:rPr>
          <w:rFonts w:ascii="Arial" w:cs="Arial" w:eastAsia="Arial" w:hAnsi="Arial"/>
          <w:sz w:val="17"/>
          <w:szCs w:val="17"/>
          <w:color w:val="auto"/>
        </w:rPr>
      </w:pPr>
    </w:p>
    <w:p>
      <w:pPr>
        <w:ind w:left="1460" w:hanging="547"/>
        <w:spacing w:after="0" w:line="259" w:lineRule="auto"/>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revenue stream. </w:t>
      </w:r>
      <w:r>
        <w:rPr>
          <w:rFonts w:ascii="Arial" w:cs="Arial" w:eastAsia="Arial" w:hAnsi="Arial"/>
          <w:sz w:val="18"/>
          <w:szCs w:val="18"/>
          <w:color w:val="auto"/>
        </w:rPr>
        <w:t>Since our IPO in 2007, our fleet has grown from eight to 36 vessels as of December 31, 2016, comprising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twenty one IMO II/III MR product tankers, ten neo-panamax container vessels, four Suezmax crude oil tankers and one Capesize dry bulk vessel. We believe that our exposure to the product, crude, container and bulk shipping sectors provides us with a diversified revenue stream, with a view to enhancing the stability of our revenue and cash flow.</w:t>
      </w:r>
    </w:p>
    <w:p>
      <w:pPr>
        <w:spacing w:after="0" w:line="92" w:lineRule="exact"/>
        <w:rPr>
          <w:rFonts w:ascii="Arial" w:cs="Arial" w:eastAsia="Arial" w:hAnsi="Arial"/>
          <w:sz w:val="18"/>
          <w:szCs w:val="18"/>
          <w:color w:val="auto"/>
        </w:rPr>
      </w:pPr>
    </w:p>
    <w:p>
      <w:pPr>
        <w:ind w:left="1460" w:right="460" w:hanging="547"/>
        <w:spacing w:after="0" w:line="276"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and cash flow visibility and stability. </w:t>
      </w:r>
      <w:r>
        <w:rPr>
          <w:rFonts w:ascii="Arial" w:cs="Arial" w:eastAsia="Arial" w:hAnsi="Arial"/>
          <w:sz w:val="17"/>
          <w:szCs w:val="17"/>
          <w:color w:val="auto"/>
        </w:rPr>
        <w:t>As a number of our vessels are chartered under medium and long-term contracts,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from revenue and cash flow visibility. Also, many of our charters expire on a staggered basis, which we believe contributes towards cash flow stability. As our vessels come up for re-chartering, we will seek to redeploy them under contracts that reflect our expectations of prevailing market conditions. As of December 31, 2016, our average remaining charter duration was 5.6 years. In addition, we have 82% and 48% charter coverage for 2017 and 2018 respectively.</w:t>
      </w:r>
    </w:p>
    <w:p>
      <w:pPr>
        <w:spacing w:after="0" w:line="77" w:lineRule="exact"/>
        <w:rPr>
          <w:rFonts w:ascii="Arial" w:cs="Arial" w:eastAsia="Arial" w:hAnsi="Arial"/>
          <w:sz w:val="17"/>
          <w:szCs w:val="17"/>
          <w:color w:val="auto"/>
        </w:rPr>
      </w:pPr>
    </w:p>
    <w:p>
      <w:pPr>
        <w:ind w:left="1460" w:right="20" w:hanging="547"/>
        <w:spacing w:after="0" w:line="289" w:lineRule="auto"/>
        <w:tabs>
          <w:tab w:leader="none" w:pos="14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specification fleet. </w:t>
      </w:r>
      <w:r>
        <w:rPr>
          <w:rFonts w:ascii="Arial" w:cs="Arial" w:eastAsia="Arial" w:hAnsi="Arial"/>
          <w:sz w:val="16"/>
          <w:szCs w:val="16"/>
          <w:color w:val="auto"/>
        </w:rPr>
        <w:t>Our vessels were primarily constructed by reputable Japanese and South Korean shipyards to high specifications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have an average age of 7.4 years as of December 31, 2016. The twenty one medium range tankers that form part of our fleet are all classed as IMO II/III vessels, which, in addition to the Ice Class 1A classification notation of many of our vessels, the wide range in size and geographic flexibility of our fleet and our compliance with existing regulatory standards, are attractive to our charterers, providing them with a high degree of flexibility in the types of cargoes and variety in the trade routes they may choose as they employ our fleet. We believe that these characteristics of our product tankers position us to take advantage of the positive long-term demand fundamentals in the product tanker business. In addition, eight of our existing container vessels are ‘eco, wide beam’ type and have an increased cargo intake and reduced bunker consumption as compared to older vessel designs, and are able to transit the new Panama Canal locks. We believe that these characteristics make our containerships more attractive to charterers.</w:t>
      </w:r>
    </w:p>
    <w:p>
      <w:pPr>
        <w:spacing w:after="0" w:line="72" w:lineRule="exact"/>
        <w:rPr>
          <w:rFonts w:ascii="Arial" w:cs="Arial" w:eastAsia="Arial" w:hAnsi="Arial"/>
          <w:sz w:val="16"/>
          <w:szCs w:val="16"/>
          <w:color w:val="auto"/>
        </w:rPr>
      </w:pPr>
    </w:p>
    <w:p>
      <w:pPr>
        <w:ind w:left="1460" w:right="40" w:hanging="547"/>
        <w:spacing w:after="0" w:line="276"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balance sheet, cost efficient operations and acquisition funding. </w:t>
      </w:r>
      <w:r>
        <w:rPr>
          <w:rFonts w:ascii="Arial" w:cs="Arial" w:eastAsia="Arial" w:hAnsi="Arial"/>
          <w:sz w:val="17"/>
          <w:szCs w:val="17"/>
          <w:color w:val="auto"/>
        </w:rPr>
        <w:t>We believe that we have maintained a strong balance sheet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subject to our ability to obtain required financing and access financial markets, our financial strength positions us favorably to continue to make opportunistic acquisitions and grow our business with charterers as they seek financially sound counterparties for long-term contracts. We also believe that we have a long history of cost efficient ship management with consistent cost performance due to our outsourcing of our vessel management and operations to our Manager.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provide marine transportation services under medium- to long-term time charters or bareboat charters with a range of counterparties:</w:t>
      </w:r>
    </w:p>
    <w:p>
      <w:pPr>
        <w:spacing w:after="0" w:line="142" w:lineRule="exact"/>
        <w:rPr>
          <w:sz w:val="20"/>
          <w:szCs w:val="20"/>
          <w:color w:val="auto"/>
        </w:rPr>
      </w:pPr>
    </w:p>
    <w:p>
      <w:pPr>
        <w:ind w:left="1460" w:right="10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CMA CGM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French container transportation and shipping company. With a fleet of 536 vessels and a combined capacity of 2.4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TEUs, it serves more than 420 of the world’s 521 commercial ports.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540" w:hanging="547"/>
        <w:spacing w:after="0" w:line="277"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Petrobras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semi-public Brazilian multinational energy corporation that is a significant oil producer. It also owns oil refineries,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tankers, and is a major distributor of oil products.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Stena Bulk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Swedish tanker shipping company that operates a fleet of tankers worldwide.</w:t>
      </w:r>
    </w:p>
    <w:p>
      <w:pPr>
        <w:spacing w:after="0" w:line="130" w:lineRule="exact"/>
        <w:rPr>
          <w:rFonts w:ascii="Arial" w:cs="Arial" w:eastAsia="Arial" w:hAnsi="Arial"/>
          <w:sz w:val="18"/>
          <w:szCs w:val="18"/>
          <w:color w:val="auto"/>
        </w:rPr>
      </w:pPr>
    </w:p>
    <w:p>
      <w:pPr>
        <w:jc w:val="both"/>
        <w:ind w:left="1460" w:right="20" w:hanging="547"/>
        <w:spacing w:after="0" w:line="264"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Hyundai Merchant Marine Co. Ltd, </w:t>
      </w:r>
      <w:r>
        <w:rPr>
          <w:rFonts w:ascii="Arial" w:cs="Arial" w:eastAsia="Arial" w:hAnsi="Arial"/>
          <w:sz w:val="18"/>
          <w:szCs w:val="18"/>
          <w:color w:val="auto"/>
        </w:rPr>
        <w:t>an integrated logistics company, operating around 130 state-of-the-art vessels. HMM has worldwide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service networks, diverse logistics facilities, leading IT shipping related systems, a professional highly trained staff and a continual effort to provide premiere transportation services.</w:t>
      </w:r>
    </w:p>
    <w:p>
      <w:pPr>
        <w:spacing w:after="0" w:line="86" w:lineRule="exact"/>
        <w:rPr>
          <w:rFonts w:ascii="Arial" w:cs="Arial" w:eastAsia="Arial" w:hAnsi="Arial"/>
          <w:sz w:val="18"/>
          <w:szCs w:val="18"/>
          <w:color w:val="auto"/>
        </w:rPr>
      </w:pPr>
    </w:p>
    <w:p>
      <w:pPr>
        <w:ind w:left="1460" w:right="100" w:hanging="547"/>
        <w:spacing w:after="0" w:line="342"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BP Shipping Limited</w:t>
      </w:r>
      <w:r>
        <w:rPr>
          <w:rFonts w:ascii="Arial" w:cs="Arial" w:eastAsia="Arial" w:hAnsi="Arial"/>
          <w:sz w:val="16"/>
          <w:szCs w:val="16"/>
          <w:color w:val="auto"/>
        </w:rPr>
        <w:t>, the shipping affiliate of BP, one of the world’s largest producers of crude oil and natural gas. BP has exploration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production interests in almost 80 countries. BP Shipping Limited provides all logistics for the marketing of BP’s oil and gas cargoes.</w:t>
      </w:r>
    </w:p>
    <w:p>
      <w:pPr>
        <w:spacing w:after="0" w:line="29" w:lineRule="exact"/>
        <w:rPr>
          <w:rFonts w:ascii="Arial" w:cs="Arial" w:eastAsia="Arial" w:hAnsi="Arial"/>
          <w:sz w:val="16"/>
          <w:szCs w:val="16"/>
          <w:color w:val="auto"/>
        </w:rPr>
      </w:pPr>
    </w:p>
    <w:p>
      <w:pPr>
        <w:ind w:left="1460" w:right="140" w:hanging="547"/>
        <w:spacing w:after="0" w:line="259"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Seaways, Inc.</w:t>
      </w:r>
      <w:r>
        <w:rPr>
          <w:rFonts w:ascii="Arial" w:cs="Arial" w:eastAsia="Arial" w:hAnsi="Arial"/>
          <w:sz w:val="18"/>
          <w:szCs w:val="18"/>
          <w:color w:val="auto"/>
        </w:rPr>
        <w:t>, a provider of ocean transportation services for crude oil and refined petroleum products (formerly knowns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OSG International, Inc.). INSW was a wholly owned subsidiary of OSG that was spun off in November 2016. Currently, INSW owns or operates a fleet of 55 vessels aggregating 6.5 million deadweight tons and 864,800 cubic meters, including seven vessels that have been chartered-in under operating leases.</w:t>
      </w:r>
    </w:p>
    <w:p>
      <w:pPr>
        <w:spacing w:after="0" w:line="92"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CSSA S.A. (Total S.A.)</w:t>
      </w:r>
      <w:r>
        <w:rPr>
          <w:rFonts w:ascii="Arial" w:cs="Arial" w:eastAsia="Arial" w:hAnsi="Arial"/>
          <w:sz w:val="18"/>
          <w:szCs w:val="18"/>
          <w:color w:val="auto"/>
        </w:rPr>
        <w:t>, the shipping affiliate of Total S.A., the fourth largest publicly-traded integrated international oil and gas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world. Total S.A. is a multinational energy company with more than 100,000 employees, and operations in more than 130 countries.</w:t>
      </w:r>
    </w:p>
    <w:p>
      <w:pPr>
        <w:spacing w:after="0" w:line="86" w:lineRule="exact"/>
        <w:rPr>
          <w:rFonts w:ascii="Arial" w:cs="Arial" w:eastAsia="Arial" w:hAnsi="Arial"/>
          <w:sz w:val="18"/>
          <w:szCs w:val="18"/>
          <w:color w:val="auto"/>
        </w:rPr>
      </w:pPr>
    </w:p>
    <w:p>
      <w:pPr>
        <w:ind w:left="1460" w:right="120" w:hanging="547"/>
        <w:spacing w:after="0" w:line="276" w:lineRule="auto"/>
        <w:tabs>
          <w:tab w:leader="none" w:pos="146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Cosco Bulk Carrier Co. Ltd., </w:t>
      </w:r>
      <w:r>
        <w:rPr>
          <w:rFonts w:ascii="Arial" w:cs="Arial" w:eastAsia="Arial" w:hAnsi="Arial"/>
          <w:sz w:val="17"/>
          <w:szCs w:val="17"/>
          <w:color w:val="auto"/>
        </w:rPr>
        <w:t>a subsidiary of China COSCO Shipping Corporation Limited (COSCO Group), which is one of the largest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drybulk and container owners and operators globally. The COSCO Group, listed on the Hong Kong Stock Exchange, formed by the merger of COSCO and China Shipping is believed to be China’s largest group specializing in global shipping, modern logistics and ship building and repairing. COSCO Group currently owns and controls over 800 modern merchant vessels with a total tonnage of 56 million dwt and an annual carrying capacity of more than 400 million tons.</w:t>
      </w:r>
    </w:p>
    <w:p>
      <w:pPr>
        <w:spacing w:after="0" w:line="73" w:lineRule="exact"/>
        <w:rPr>
          <w:rFonts w:ascii="Arial" w:cs="Arial" w:eastAsia="Arial" w:hAnsi="Arial"/>
          <w:sz w:val="17"/>
          <w:szCs w:val="17"/>
          <w:color w:val="auto"/>
        </w:rPr>
      </w:pPr>
    </w:p>
    <w:p>
      <w:pPr>
        <w:ind w:left="1460" w:hanging="547"/>
        <w:spacing w:after="0" w:line="266"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Repsol Trading 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subsidiary of Repsol S.A., an oil and gas conglomerate that operates in 30 countries, produces more than 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barrels a day from its oil fields, has a total installed capacity of 1.2 million barrels a day in its 10 refineries and sells its products through 7,250 service stations around the world.</w:t>
      </w:r>
    </w:p>
    <w:p>
      <w:pPr>
        <w:spacing w:after="0" w:line="85" w:lineRule="exact"/>
        <w:rPr>
          <w:rFonts w:ascii="Arial" w:cs="Arial" w:eastAsia="Arial" w:hAnsi="Arial"/>
          <w:sz w:val="18"/>
          <w:szCs w:val="18"/>
          <w:color w:val="auto"/>
        </w:rPr>
      </w:pPr>
    </w:p>
    <w:p>
      <w:pPr>
        <w:ind w:left="1460" w:right="700" w:hanging="547"/>
        <w:spacing w:after="0" w:line="277"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Cargill International S.A., </w:t>
      </w:r>
      <w:r>
        <w:rPr>
          <w:rFonts w:ascii="Arial" w:cs="Arial" w:eastAsia="Arial" w:hAnsi="Arial"/>
          <w:sz w:val="18"/>
          <w:szCs w:val="18"/>
          <w:color w:val="auto"/>
        </w:rPr>
        <w:t>a multinational corporation with operations in 70 countries providing food, agriculture,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products and services.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Pacific International Lines (PTE) Ltd., </w:t>
      </w:r>
      <w:r>
        <w:rPr>
          <w:rFonts w:ascii="Arial" w:cs="Arial" w:eastAsia="Arial" w:hAnsi="Arial"/>
          <w:sz w:val="18"/>
          <w:szCs w:val="18"/>
          <w:color w:val="auto"/>
        </w:rPr>
        <w:t>a company ranked 14th amongst the top containership operators in the world, offering container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liner services and multi-purpose services at over 500 locations in 100 countries worldwide, employing about 18,000 employees worldwide.</w:t>
      </w:r>
    </w:p>
    <w:p>
      <w:pPr>
        <w:spacing w:after="0" w:line="86"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Empresa Publica Flota Petrolera Ecuatoriana EP Flopec, </w:t>
      </w:r>
      <w:r>
        <w:rPr>
          <w:rFonts w:ascii="Arial" w:cs="Arial" w:eastAsia="Arial" w:hAnsi="Arial"/>
          <w:sz w:val="18"/>
          <w:szCs w:val="18"/>
          <w:color w:val="auto"/>
        </w:rPr>
        <w:t>a company transporting oil and other natural strategic resources for the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Ecuador. It manages the operations of 100% of exports and imports of hydrocarbons maritime transport to and from the state of Ecuador and 25% of the regional market.</w:t>
      </w:r>
    </w:p>
    <w:p>
      <w:pPr>
        <w:spacing w:after="0" w:line="86" w:lineRule="exact"/>
        <w:rPr>
          <w:rFonts w:ascii="Arial" w:cs="Arial" w:eastAsia="Arial" w:hAnsi="Arial"/>
          <w:sz w:val="18"/>
          <w:szCs w:val="18"/>
          <w:color w:val="auto"/>
        </w:rPr>
      </w:pPr>
    </w:p>
    <w:p>
      <w:pPr>
        <w:ind w:left="1460" w:right="80" w:hanging="547"/>
        <w:spacing w:after="0" w:line="342"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Capital Maritime &amp; Trading Corp.</w:t>
      </w:r>
      <w:r>
        <w:rPr>
          <w:rFonts w:ascii="Arial" w:cs="Arial" w:eastAsia="Arial" w:hAnsi="Arial"/>
          <w:sz w:val="16"/>
          <w:szCs w:val="16"/>
          <w:color w:val="auto"/>
        </w:rPr>
        <w:t>, an established, diversified shipping company with activities in the sea transportation of wet (crude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oil products, chemicals), container and dry cargoes worldwide with a long history of operating and investing in the shipping markets.</w:t>
      </w:r>
    </w:p>
    <w:p>
      <w:pPr>
        <w:spacing w:after="0" w:line="124"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loss of any significant customer or a substantial decline in the amount of services requested by a significant customer could harm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21" w:lineRule="exact"/>
        <w:rPr>
          <w:sz w:val="20"/>
          <w:szCs w:val="20"/>
          <w:color w:val="auto"/>
        </w:rPr>
      </w:pPr>
    </w:p>
    <w:p>
      <w:pPr>
        <w:ind w:firstLine="1484"/>
        <w:spacing w:after="0" w:line="342" w:lineRule="auto"/>
        <w:rPr>
          <w:sz w:val="20"/>
          <w:szCs w:val="20"/>
          <w:color w:val="auto"/>
        </w:rPr>
      </w:pPr>
      <w:r>
        <w:rPr>
          <w:rFonts w:ascii="Arial" w:cs="Arial" w:eastAsia="Arial" w:hAnsi="Arial"/>
          <w:sz w:val="16"/>
          <w:szCs w:val="16"/>
          <w:color w:val="auto"/>
        </w:rPr>
        <w:t>We have entered into three separate technical and commercial management agreements with our Manager, Capital Ship Management, a subsidiary of Capital Maritime, for the management of our fleet. Each vessel in our fleet is managed under the terms of one of the following three agreements:</w:t>
      </w:r>
    </w:p>
    <w:p>
      <w:pPr>
        <w:spacing w:after="0" w:line="29" w:lineRule="exact"/>
        <w:rPr>
          <w:sz w:val="20"/>
          <w:szCs w:val="20"/>
          <w:color w:val="auto"/>
        </w:rPr>
      </w:pPr>
    </w:p>
    <w:p>
      <w:pPr>
        <w:ind w:left="1460" w:right="60" w:hanging="547"/>
        <w:spacing w:after="0" w:line="297"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Fixed fee management agreement</w:t>
      </w:r>
      <w:r>
        <w:rPr>
          <w:rFonts w:ascii="Arial" w:cs="Arial" w:eastAsia="Arial" w:hAnsi="Arial"/>
          <w:sz w:val="16"/>
          <w:szCs w:val="16"/>
          <w:color w:val="auto"/>
        </w:rPr>
        <w:t>: At the time of our IPO, we entered into an agreement with our Manager under which our Manager has agreed to provide us with certain commercial and technical management services for a fixed daily fee per managed vessel. The fixed daily fee covers the commercial and technical management services, the respective vessel’s operating costs, such as crewing, repairs and maintenance, insurance, stores, spares and lubricants, and the cost of the first special survey or next scheduled drydocking of each managed vessel. In addition to the fixed daily fees payable under the management agreement, Capital Ship Management is entitled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0"/>
        <w:spacing w:after="0" w:line="279" w:lineRule="auto"/>
        <w:rPr>
          <w:sz w:val="20"/>
          <w:szCs w:val="20"/>
          <w:color w:val="auto"/>
        </w:rPr>
      </w:pPr>
      <w:r>
        <w:rPr>
          <w:rFonts w:ascii="Arial" w:cs="Arial" w:eastAsia="Arial" w:hAnsi="Arial"/>
          <w:sz w:val="17"/>
          <w:szCs w:val="17"/>
          <w:color w:val="auto"/>
        </w:rPr>
        <w:t>supplementary compensation for extraordinary fees and costs (as described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includes those costs incurred by our Manager to remain in compliance with the oil majors’ requirements, including vetting requirements.</w:t>
      </w:r>
    </w:p>
    <w:p>
      <w:pPr>
        <w:spacing w:after="0" w:line="77" w:lineRule="exact"/>
        <w:rPr>
          <w:sz w:val="20"/>
          <w:szCs w:val="20"/>
          <w:color w:val="auto"/>
        </w:rPr>
      </w:pPr>
    </w:p>
    <w:p>
      <w:pPr>
        <w:ind w:left="1460" w:right="80" w:hanging="547"/>
        <w:spacing w:after="0" w:line="273" w:lineRule="auto"/>
        <w:tabs>
          <w:tab w:leader="none" w:pos="146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Floating fee management agreement</w:t>
      </w:r>
      <w:r>
        <w:rPr>
          <w:rFonts w:ascii="Arial" w:cs="Arial" w:eastAsia="Arial" w:hAnsi="Arial"/>
          <w:sz w:val="17"/>
          <w:szCs w:val="17"/>
          <w:color w:val="auto"/>
        </w:rPr>
        <w:t>: In June 2011, we entered into an agreement with our Manager under which we are charged actual expenses incurred by our Manager. Under the terms of this 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 managed vessel’s next scheduled drydocking are borne by us and not by our Manager. We also pay our Manager a daily technical management fee per managed vessel that is revised annually based on the United States Consumer Price Index.</w:t>
      </w:r>
    </w:p>
    <w:p>
      <w:pPr>
        <w:spacing w:after="0" w:line="83" w:lineRule="exact"/>
        <w:rPr>
          <w:rFonts w:ascii="Arial" w:cs="Arial" w:eastAsia="Arial" w:hAnsi="Arial"/>
          <w:sz w:val="17"/>
          <w:szCs w:val="17"/>
          <w:color w:val="auto"/>
        </w:rPr>
      </w:pPr>
    </w:p>
    <w:p>
      <w:pPr>
        <w:ind w:left="1460" w:hanging="547"/>
        <w:spacing w:after="0" w:line="285" w:lineRule="auto"/>
        <w:tabs>
          <w:tab w:leader="none" w:pos="14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Crude Carriers management agreement</w:t>
      </w:r>
      <w:r>
        <w:rPr>
          <w:rFonts w:ascii="Arial" w:cs="Arial" w:eastAsia="Arial" w:hAnsi="Arial"/>
          <w:sz w:val="16"/>
          <w:szCs w:val="16"/>
          <w:color w:val="auto"/>
        </w:rPr>
        <w:t>: In September 2011, we completed our merger with Crude Carriers. Currently, three of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Until December 31, 2016 we also paid our Manager the following fees: (a) a daily technical management fee per managed vessel that is revised annually based on the United States Consumer Price Index; (b) a sale and purchase fee equal to 1% of the gross purchase or sale price upon the consummation of any purchase or sale of a vessel acquired by Crude Carriers and (c) a commercial services fee equal to 1.25% of all gross charter revenues generated by each vessel for commercial services rendered. Our Manager has agreed to waive the sale and purchase fee as well as the commercial services fee from January 1, 2017 onwards. Our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United States Consumer Price Index over the immediately preceding 12 months. Since March 2016, this termination fee has been $9.9 million.</w:t>
      </w:r>
    </w:p>
    <w:p>
      <w:pPr>
        <w:spacing w:after="0" w:line="17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expect that as the fixed fee management agreement expires for the five remaining vessels to which it currently applies, these vessels will be managed under floating fee management agreements on terms similar to those currently in place. We expect that new acquisitions we may make in the future will also be managed under similar floating fee management agreements. Under the terms of all three agreements, Capital Ship Management may either provide these services directly to us or subcontract them to other entities, including other Capital Maritime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out, as of December 31, 2016, the management agreement under which each vessel in our fleet is managed.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Fixed fee</w:t>
            </w:r>
          </w:p>
        </w:tc>
        <w:tc>
          <w:tcPr>
            <w:tcW w:w="2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Floating fee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Crude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312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management</w:t>
            </w:r>
          </w:p>
        </w:tc>
        <w:tc>
          <w:tcPr>
            <w:tcW w:w="2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management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management</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31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5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w:t>
            </w: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II (M/T British Ensign)</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until Sep 27, 2016</w:t>
            </w: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since Sep 28, 2016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860" w:type="dxa"/>
            <w:vAlign w:val="bottom"/>
          </w:tcPr>
          <w:p>
            <w:pPr>
              <w:spacing w:after="0"/>
              <w:rPr>
                <w:sz w:val="18"/>
                <w:szCs w:val="18"/>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until Apr 22, 2014</w:t>
            </w:r>
          </w:p>
        </w:tc>
        <w:tc>
          <w:tcPr>
            <w:tcW w:w="200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since Apr 23, 2014</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 (M/T British Envoy)</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20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860" w:type="dxa"/>
            <w:vAlign w:val="bottom"/>
          </w:tcPr>
          <w:p>
            <w:pPr>
              <w:spacing w:after="0"/>
              <w:rPr>
                <w:sz w:val="18"/>
                <w:szCs w:val="18"/>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860" w:type="dxa"/>
            <w:vAlign w:val="bottom"/>
          </w:tcPr>
          <w:p>
            <w:pPr>
              <w:spacing w:after="0"/>
              <w:rPr>
                <w:sz w:val="18"/>
                <w:szCs w:val="18"/>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Aiolos (M/T British Emissary)</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20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860" w:type="dxa"/>
            <w:vAlign w:val="bottom"/>
          </w:tcPr>
          <w:p>
            <w:pPr>
              <w:spacing w:after="0"/>
              <w:rPr>
                <w:sz w:val="18"/>
                <w:szCs w:val="18"/>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until Apr 26, 2014</w:t>
            </w:r>
          </w:p>
        </w:tc>
        <w:tc>
          <w:tcPr>
            <w:tcW w:w="20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since Apr 27, 2014</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860" w:type="dxa"/>
            <w:vAlign w:val="bottom"/>
          </w:tcPr>
          <w:p>
            <w:pPr>
              <w:spacing w:after="0"/>
              <w:rPr>
                <w:sz w:val="18"/>
                <w:szCs w:val="18"/>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860" w:type="dxa"/>
            <w:vAlign w:val="bottom"/>
          </w:tcPr>
          <w:p>
            <w:pPr>
              <w:spacing w:after="0"/>
              <w:rPr>
                <w:sz w:val="18"/>
                <w:szCs w:val="18"/>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 (M/T Overseas Serifos)</w:t>
            </w:r>
          </w:p>
        </w:tc>
        <w:tc>
          <w:tcPr>
            <w:tcW w:w="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X</w:t>
            </w:r>
          </w:p>
        </w:tc>
        <w:tc>
          <w:tcPr>
            <w:tcW w:w="20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86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until May 18, 2014</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since May 19, 2014</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00" w:type="dxa"/>
            <w:vAlign w:val="bottom"/>
            <w:gridSpan w:val="2"/>
          </w:tcPr>
          <w:p>
            <w:pPr>
              <w:jc w:val="right"/>
              <w:ind w:right="1233"/>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Fixed fee</w:t>
            </w: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Floating fee</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Crude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4120" w:type="dxa"/>
            <w:vAlign w:val="bottom"/>
            <w:vMerge w:val="restart"/>
          </w:tcPr>
          <w:p>
            <w:pPr>
              <w:spacing w:after="0"/>
              <w:rPr>
                <w:sz w:val="12"/>
                <w:szCs w:val="12"/>
                <w:color w:val="auto"/>
              </w:rPr>
            </w:pPr>
          </w:p>
        </w:tc>
        <w:tc>
          <w:tcPr>
            <w:tcW w:w="19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management</w:t>
            </w:r>
          </w:p>
        </w:tc>
        <w:tc>
          <w:tcPr>
            <w:tcW w:w="1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management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management</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412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5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agreement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 (M/T Overseas Sifnos)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M/T Aris II (M/T Overseas Kimolos)</w:t>
            </w:r>
          </w:p>
        </w:tc>
        <w:tc>
          <w:tcPr>
            <w:tcW w:w="1920" w:type="dxa"/>
            <w:vAlign w:val="bottom"/>
            <w:gridSpan w:val="2"/>
          </w:tcPr>
          <w:p>
            <w:pPr>
              <w:jc w:val="right"/>
              <w:ind w:right="520"/>
              <w:spacing w:after="0"/>
              <w:rPr>
                <w:sz w:val="20"/>
                <w:szCs w:val="20"/>
                <w:color w:val="auto"/>
              </w:rPr>
            </w:pPr>
            <w:r>
              <w:rPr>
                <w:rFonts w:ascii="Arial" w:cs="Arial" w:eastAsia="Arial" w:hAnsi="Arial"/>
                <w:sz w:val="18"/>
                <w:szCs w:val="18"/>
                <w:color w:val="auto"/>
              </w:rPr>
              <w:t>X</w:t>
            </w: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1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until Mar 31, 2014</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since Apr 1, 2014</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192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until Sep 30, 2015</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since Oct 1, 2015</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Agamemnon</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M/V Archimidis</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Active</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M/V CMA CGM Amazon</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M/V CMA CGM Uruguay</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Magdalena</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M/T Amor</w:t>
            </w:r>
          </w:p>
        </w:tc>
        <w:tc>
          <w:tcPr>
            <w:tcW w:w="19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expanded in terms of both number of vessels and carrying capacity. Our fleet currently consists of 36 vessels of various sizes with an average age of approximately 7.4 years and average remaining term under our charters of approximately 5.6 years (each, as of December 31, 2016).</w:t>
      </w:r>
    </w:p>
    <w:p>
      <w:pPr>
        <w:spacing w:after="0" w:line="18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Please read “Item 4A: History and Development of the Partnership—2015 Developments— Delivery of Dropdown Vessels” for a more detailed description of the right of first refusal Capital Maritime granted to us with respect to the acquisition of additional product tanker vessels. In addition, we may pursue opportunities for acquisitions of, or combinations with, other shipping businesses. Pursuant to the amended and restated omnibus agreement we have entered into with Capital Maritime in connection with our merger with Crude Carriers, Capital Maritime has granted us a right of first offer for any product tanker in its fleet with carrying capacity of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9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table below provides summary information as of December 31, 2016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Lloyd’s Register of Shipping (“Lloyd’s”), Bureau Veritas (“BV”) or the American Bureau of Shipping (“ABS”) and were under time or bareboat charters from the time of their delivery.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Sister</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OPEX</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Management</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Charter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Daily</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0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Year</w:t>
            </w:r>
          </w:p>
        </w:tc>
        <w:tc>
          <w:tcPr>
            <w:tcW w:w="580" w:type="dxa"/>
            <w:vAlign w:val="bottom"/>
            <w:gridSpan w:val="2"/>
          </w:tcPr>
          <w:p>
            <w:pPr>
              <w:jc w:val="right"/>
              <w:ind w:right="140"/>
              <w:spacing w:after="0" w:line="126" w:lineRule="exact"/>
              <w:rPr>
                <w:sz w:val="20"/>
                <w:szCs w:val="20"/>
                <w:color w:val="auto"/>
              </w:rPr>
            </w:pPr>
            <w:r>
              <w:rPr>
                <w:rFonts w:ascii="Arial" w:cs="Arial" w:eastAsia="Arial" w:hAnsi="Arial"/>
                <w:sz w:val="13"/>
                <w:szCs w:val="13"/>
                <w:b w:val="1"/>
                <w:bCs w:val="1"/>
                <w:color w:val="auto"/>
              </w:rPr>
              <w:t>DWT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9"/>
              </w:rPr>
              <w:t>(per</w:t>
            </w:r>
          </w:p>
        </w:tc>
        <w:tc>
          <w:tcPr>
            <w:tcW w:w="88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Agreement</w:t>
            </w:r>
          </w:p>
        </w:tc>
        <w:tc>
          <w:tcPr>
            <w:tcW w:w="8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1"/>
              </w:rPr>
              <w:t>Duration/</w:t>
            </w:r>
          </w:p>
        </w:tc>
        <w:tc>
          <w:tcPr>
            <w:tcW w:w="72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Expiry of</w:t>
            </w: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26" w:lineRule="exact"/>
              <w:rPr>
                <w:sz w:val="20"/>
                <w:szCs w:val="20"/>
                <w:color w:val="auto"/>
              </w:rPr>
            </w:pPr>
            <w:r>
              <w:rPr>
                <w:rFonts w:ascii="Arial" w:cs="Arial" w:eastAsia="Arial" w:hAnsi="Arial"/>
                <w:sz w:val="13"/>
                <w:szCs w:val="13"/>
                <w:b w:val="1"/>
                <w:bCs w:val="1"/>
                <w:color w:val="auto"/>
                <w:w w:val="95"/>
              </w:rPr>
              <w:t>Charter</w:t>
            </w:r>
          </w:p>
        </w:tc>
        <w:tc>
          <w:tcPr>
            <w:tcW w:w="5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4"/>
              </w:rPr>
              <w:t>Profit</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40" w:type="dxa"/>
            <w:vAlign w:val="bottom"/>
            <w:gridSpan w:val="5"/>
          </w:tcPr>
          <w:p>
            <w:pPr>
              <w:spacing w:after="0"/>
              <w:rPr>
                <w:sz w:val="20"/>
                <w:szCs w:val="20"/>
                <w:color w:val="auto"/>
              </w:rPr>
            </w:pPr>
            <w:r>
              <w:rPr>
                <w:rFonts w:ascii="Arial" w:cs="Arial" w:eastAsia="Arial" w:hAnsi="Arial"/>
                <w:sz w:val="13"/>
                <w:szCs w:val="13"/>
                <w:b w:val="1"/>
                <w:bCs w:val="1"/>
                <w:color w:val="auto"/>
              </w:rPr>
              <w:t>Vessel name</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9"/>
              </w:rPr>
              <w:t xml:space="preserve">Vessels </w:t>
            </w:r>
            <w:r>
              <w:rPr>
                <w:rFonts w:ascii="Arial" w:cs="Arial" w:eastAsia="Arial" w:hAnsi="Arial"/>
                <w:sz w:val="10"/>
                <w:szCs w:val="10"/>
                <w:b w:val="1"/>
                <w:bCs w:val="1"/>
                <w:color w:val="auto"/>
                <w:w w:val="79"/>
              </w:rPr>
              <w:t>1</w:t>
            </w: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rPr>
              <w:t>built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TEU</w:t>
            </w:r>
            <w:r>
              <w:rPr>
                <w:rFonts w:ascii="Arial" w:cs="Arial" w:eastAsia="Arial" w:hAnsi="Arial"/>
                <w:sz w:val="10"/>
                <w:szCs w:val="10"/>
                <w:b w:val="1"/>
                <w:bCs w:val="1"/>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day)</w:t>
            </w:r>
            <w:r>
              <w:rPr>
                <w:rFonts w:ascii="Arial" w:cs="Arial" w:eastAsia="Arial" w:hAnsi="Arial"/>
                <w:sz w:val="10"/>
                <w:szCs w:val="10"/>
                <w:b w:val="1"/>
                <w:bCs w:val="1"/>
                <w:color w:val="auto"/>
                <w:w w:val="92"/>
              </w:rPr>
              <w:t>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Expiration</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 xml:space="preserve">Type </w:t>
            </w:r>
            <w:r>
              <w:rPr>
                <w:rFonts w:ascii="Arial" w:cs="Arial" w:eastAsia="Arial" w:hAnsi="Arial"/>
                <w:sz w:val="10"/>
                <w:szCs w:val="10"/>
                <w:b w:val="1"/>
                <w:bCs w:val="1"/>
                <w:color w:val="auto"/>
                <w:w w:val="90"/>
              </w:rPr>
              <w:t>3</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 xml:space="preserve">Charter </w:t>
            </w:r>
            <w:r>
              <w:rPr>
                <w:rFonts w:ascii="Arial" w:cs="Arial" w:eastAsia="Arial" w:hAnsi="Arial"/>
                <w:sz w:val="10"/>
                <w:szCs w:val="10"/>
                <w:b w:val="1"/>
                <w:bCs w:val="1"/>
                <w:color w:val="auto"/>
              </w:rPr>
              <w:t>4</w:t>
            </w: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Rate (Net)</w:t>
            </w:r>
          </w:p>
        </w:tc>
        <w:tc>
          <w:tcPr>
            <w:tcW w:w="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 xml:space="preserve">Share </w:t>
            </w:r>
            <w:r>
              <w:rPr>
                <w:rFonts w:ascii="Arial" w:cs="Arial" w:eastAsia="Arial" w:hAnsi="Arial"/>
                <w:sz w:val="10"/>
                <w:szCs w:val="10"/>
                <w:b w:val="1"/>
                <w:bCs w:val="1"/>
                <w:color w:val="auto"/>
                <w:w w:val="88"/>
              </w:rPr>
              <w:t>5</w:t>
            </w: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 xml:space="preserve">Charterer </w:t>
            </w:r>
            <w:r>
              <w:rPr>
                <w:rFonts w:ascii="Arial" w:cs="Arial" w:eastAsia="Arial" w:hAnsi="Arial"/>
                <w:sz w:val="10"/>
                <w:szCs w:val="10"/>
                <w:b w:val="1"/>
                <w:bCs w:val="1"/>
                <w:color w:val="auto"/>
              </w:rPr>
              <w:t>6</w:t>
            </w: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6"/>
              </w:rPr>
              <w:t>PRODUCT</w:t>
            </w:r>
          </w:p>
        </w:tc>
        <w:tc>
          <w:tcPr>
            <w:tcW w:w="880" w:type="dxa"/>
            <w:vAlign w:val="bottom"/>
            <w:tcBorders>
              <w:top w:val="single" w:sz="8" w:color="CCEEFF"/>
            </w:tcBorders>
            <w:gridSpan w:val="3"/>
            <w:shd w:val="clear" w:color="auto" w:fill="CCEEFF"/>
          </w:tcPr>
          <w:p>
            <w:pPr>
              <w:ind w:left="100"/>
              <w:spacing w:after="0" w:line="115" w:lineRule="exact"/>
              <w:rPr>
                <w:sz w:val="20"/>
                <w:szCs w:val="20"/>
                <w:color w:val="auto"/>
              </w:rPr>
            </w:pPr>
            <w:r>
              <w:rPr>
                <w:rFonts w:ascii="Arial" w:cs="Arial" w:eastAsia="Arial" w:hAnsi="Arial"/>
                <w:sz w:val="13"/>
                <w:szCs w:val="13"/>
                <w:b w:val="1"/>
                <w:bCs w:val="1"/>
                <w:color w:val="auto"/>
              </w:rPr>
              <w:t>TANKERS</w:t>
            </w: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Atlantas II</w:t>
            </w: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gridSpan w:val="2"/>
          </w:tcPr>
          <w:p>
            <w:pPr>
              <w:jc w:val="center"/>
              <w:ind w:right="80"/>
              <w:spacing w:after="0" w:line="142" w:lineRule="exact"/>
              <w:rPr>
                <w:sz w:val="20"/>
                <w:szCs w:val="20"/>
                <w:color w:val="auto"/>
              </w:rPr>
            </w:pPr>
            <w:r>
              <w:rPr>
                <w:rFonts w:ascii="Arial" w:cs="Arial" w:eastAsia="Arial" w:hAnsi="Arial"/>
                <w:sz w:val="14"/>
                <w:szCs w:val="14"/>
                <w:color w:val="auto"/>
              </w:rPr>
              <w:t>A</w:t>
            </w:r>
          </w:p>
        </w:tc>
        <w:tc>
          <w:tcPr>
            <w:tcW w:w="500" w:type="dxa"/>
            <w:vAlign w:val="bottom"/>
            <w:tcBorders>
              <w:top w:val="single" w:sz="8" w:color="CCEEFF"/>
            </w:tcBorders>
            <w:gridSpan w:val="2"/>
          </w:tcPr>
          <w:p>
            <w:pPr>
              <w:ind w:left="40"/>
              <w:spacing w:after="0" w:line="142" w:lineRule="exact"/>
              <w:rPr>
                <w:sz w:val="20"/>
                <w:szCs w:val="20"/>
                <w:color w:val="auto"/>
              </w:rPr>
            </w:pPr>
            <w:r>
              <w:rPr>
                <w:rFonts w:ascii="Arial" w:cs="Arial" w:eastAsia="Arial" w:hAnsi="Arial"/>
                <w:sz w:val="14"/>
                <w:szCs w:val="14"/>
                <w:color w:val="auto"/>
              </w:rPr>
              <w:t>2006</w:t>
            </w:r>
          </w:p>
        </w:tc>
        <w:tc>
          <w:tcPr>
            <w:tcW w:w="58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36,760</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w w:val="96"/>
              </w:rPr>
              <w:t>Floating</w:t>
            </w:r>
          </w:p>
        </w:tc>
        <w:tc>
          <w:tcPr>
            <w:tcW w:w="88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Sep 2021</w:t>
            </w:r>
          </w:p>
        </w:tc>
        <w:tc>
          <w:tcPr>
            <w:tcW w:w="860" w:type="dxa"/>
            <w:vAlign w:val="bottom"/>
            <w:tcBorders>
              <w:top w:val="single" w:sz="8" w:color="CCEEFF"/>
            </w:tcBorders>
            <w:gridSpan w:val="2"/>
          </w:tcPr>
          <w:p>
            <w:pPr>
              <w:jc w:val="right"/>
              <w:ind w:right="180"/>
              <w:spacing w:after="0" w:line="142" w:lineRule="exact"/>
              <w:rPr>
                <w:sz w:val="20"/>
                <w:szCs w:val="20"/>
                <w:color w:val="auto"/>
              </w:rPr>
            </w:pPr>
            <w:r>
              <w:rPr>
                <w:rFonts w:ascii="Arial" w:cs="Arial" w:eastAsia="Arial" w:hAnsi="Arial"/>
                <w:sz w:val="14"/>
                <w:szCs w:val="14"/>
                <w:color w:val="auto"/>
              </w:rPr>
              <w:t>1-yr TC</w:t>
            </w:r>
          </w:p>
        </w:tc>
        <w:tc>
          <w:tcPr>
            <w:tcW w:w="72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Aug 2017</w:t>
            </w:r>
          </w:p>
        </w:tc>
        <w:tc>
          <w:tcPr>
            <w:tcW w:w="200" w:type="dxa"/>
            <w:vAlign w:val="bottom"/>
            <w:tcBorders>
              <w:top w:val="single" w:sz="8" w:color="CCEEFF"/>
            </w:tcBorders>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gridSpan w:val="2"/>
          </w:tcPr>
          <w:p>
            <w:pPr>
              <w:jc w:val="right"/>
              <w:ind w:right="180"/>
              <w:spacing w:after="0" w:line="142" w:lineRule="exact"/>
              <w:rPr>
                <w:sz w:val="20"/>
                <w:szCs w:val="20"/>
                <w:color w:val="auto"/>
              </w:rPr>
            </w:pPr>
            <w:r>
              <w:rPr>
                <w:rFonts w:ascii="Arial" w:cs="Arial" w:eastAsia="Arial" w:hAnsi="Arial"/>
                <w:sz w:val="14"/>
                <w:szCs w:val="14"/>
                <w:color w:val="auto"/>
              </w:rPr>
              <w:t>12,838</w:t>
            </w:r>
          </w:p>
        </w:tc>
        <w:tc>
          <w:tcPr>
            <w:tcW w:w="4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gridSpan w:val="2"/>
          </w:tcPr>
          <w:p>
            <w:pPr>
              <w:ind w:left="40"/>
              <w:spacing w:after="0" w:line="142" w:lineRule="exact"/>
              <w:rPr>
                <w:sz w:val="20"/>
                <w:szCs w:val="20"/>
                <w:color w:val="auto"/>
              </w:rPr>
            </w:pPr>
            <w:r>
              <w:rPr>
                <w:rFonts w:ascii="Arial" w:cs="Arial" w:eastAsia="Arial" w:hAnsi="Arial"/>
                <w:sz w:val="14"/>
                <w:szCs w:val="14"/>
                <w:color w:val="auto"/>
              </w:rPr>
              <w:t>CMTC</w:t>
            </w:r>
          </w:p>
        </w:tc>
        <w:tc>
          <w:tcPr>
            <w:tcW w:w="252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 xml:space="preserve">Aktoras </w:t>
            </w:r>
            <w:r>
              <w:rPr>
                <w:rFonts w:ascii="Arial" w:cs="Arial" w:eastAsia="Arial" w:hAnsi="Arial"/>
                <w:sz w:val="12"/>
                <w:szCs w:val="12"/>
                <w:color w:val="auto"/>
              </w:rPr>
              <w:t>7</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36,759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Feb 2017</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10.6-yr BC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Jan 2017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7,250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BP</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Aiolos </w:t>
            </w:r>
            <w:r>
              <w:rPr>
                <w:rFonts w:ascii="Arial" w:cs="Arial" w:eastAsia="Arial" w:hAnsi="Arial"/>
                <w:sz w:val="12"/>
                <w:szCs w:val="12"/>
                <w:color w:val="auto"/>
              </w:rPr>
              <w:t>7</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Jan 2017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10-yr BC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Feb 2017</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BP</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 xml:space="preserve">Agisilaos </w:t>
            </w:r>
            <w:r>
              <w:rPr>
                <w:rFonts w:ascii="Arial" w:cs="Arial" w:eastAsia="Arial" w:hAnsi="Arial"/>
                <w:sz w:val="12"/>
                <w:szCs w:val="12"/>
                <w:color w:val="auto"/>
              </w:rPr>
              <w:t>(11)</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Dec 2021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Nov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18,288</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FLOPEC</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Arionas </w:t>
            </w:r>
            <w:r>
              <w:rPr>
                <w:rFonts w:ascii="Arial" w:cs="Arial" w:eastAsia="Arial" w:hAnsi="Arial"/>
                <w:sz w:val="12"/>
                <w:szCs w:val="12"/>
                <w:color w:val="auto"/>
              </w:rPr>
              <w:t>11 12</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Aug 2021</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Dec 2017</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10,863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CMTC</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Axios</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47,872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Jun 2017</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May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15,015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Avax</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Apr 2017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May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15,015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Akeraios</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Aug 2017</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Mar 2019</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17,306</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Anemos I</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Dec 2017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Dec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17,306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Apostolos</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Sep 2017</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Dec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17,306</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Alexandros II </w:t>
            </w:r>
            <w:r>
              <w:rPr>
                <w:rFonts w:ascii="Arial" w:cs="Arial" w:eastAsia="Arial" w:hAnsi="Arial"/>
                <w:sz w:val="12"/>
                <w:szCs w:val="12"/>
                <w:color w:val="auto"/>
              </w:rPr>
              <w:t>8</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51,258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Mar 2018</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10.6-yr BC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Jun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INSW</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 xml:space="preserve">Aristotelis II </w:t>
            </w:r>
            <w:r>
              <w:rPr>
                <w:rFonts w:ascii="Arial" w:cs="Arial" w:eastAsia="Arial" w:hAnsi="Arial"/>
                <w:sz w:val="12"/>
                <w:szCs w:val="12"/>
                <w:color w:val="auto"/>
              </w:rPr>
              <w:t>8</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51,226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June 2018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10.2-yr BC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Jun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INSW</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Aris II </w:t>
            </w:r>
            <w:r>
              <w:rPr>
                <w:rFonts w:ascii="Arial" w:cs="Arial" w:eastAsia="Arial" w:hAnsi="Arial"/>
                <w:sz w:val="12"/>
                <w:szCs w:val="12"/>
                <w:color w:val="auto"/>
              </w:rPr>
              <w:t>8</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51,218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Aug 2018</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10-yr BC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Jun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INSW</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Ayrton II</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C</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Apr 2019</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Jan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17,775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CMTC</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Atrotos</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2007</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Apr 2019</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Nov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17,306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Alkiviadis</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A</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Oct 2020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Jul 2017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13,134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CSSA</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Assos</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Apr 2019</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Mar 2018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15,015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PETROBRAS</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 Class 1A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Aristotelis</w:t>
            </w:r>
            <w:r>
              <w:rPr>
                <w:rFonts w:ascii="Arial" w:cs="Arial" w:eastAsia="Arial" w:hAnsi="Arial"/>
                <w:sz w:val="12"/>
                <w:szCs w:val="12"/>
                <w:color w:val="auto"/>
              </w:rPr>
              <w:t>13</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B</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2013</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Nov 2018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Dec 2017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13,578</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CMTC</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Active</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J</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2015</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50,136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Mar 2020</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May 2017</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17,258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CARGILL</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Amadeus</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5"/>
              </w:rPr>
              <w:t>J</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Jun 2020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May 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16,788</w:t>
            </w:r>
          </w:p>
        </w:tc>
        <w:tc>
          <w:tcPr>
            <w:tcW w:w="580" w:type="dxa"/>
            <w:vAlign w:val="bottom"/>
            <w:gridSpan w:val="2"/>
            <w:shd w:val="clear" w:color="auto" w:fill="CCEEFF"/>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CMTC</w:t>
            </w:r>
          </w:p>
        </w:tc>
        <w:tc>
          <w:tcPr>
            <w:tcW w:w="2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Amor </w:t>
            </w:r>
            <w:r>
              <w:rPr>
                <w:rFonts w:ascii="Arial" w:cs="Arial" w:eastAsia="Arial" w:hAnsi="Arial"/>
                <w:sz w:val="12"/>
                <w:szCs w:val="12"/>
                <w:color w:val="auto"/>
              </w:rPr>
              <w:t>10</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J</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2015</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Oct 2021</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Oct 2017</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17,063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CARGILL</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8"/>
              </w:rPr>
              <w:t>Eco IMO II/III Chem.Prod.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CRUDE TANKERS</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Amoureux</w:t>
            </w:r>
          </w:p>
        </w:tc>
        <w:tc>
          <w:tcPr>
            <w:tcW w:w="300" w:type="dxa"/>
            <w:vAlign w:val="bottom"/>
            <w:tcBorders>
              <w:top w:val="single" w:sz="8" w:color="CCEEFF"/>
            </w:tcBorders>
            <w:gridSpan w:val="2"/>
          </w:tcPr>
          <w:p>
            <w:pPr>
              <w:spacing w:after="0"/>
              <w:rPr>
                <w:sz w:val="12"/>
                <w:szCs w:val="12"/>
                <w:color w:val="auto"/>
              </w:rPr>
            </w:pPr>
          </w:p>
        </w:tc>
        <w:tc>
          <w:tcPr>
            <w:tcW w:w="540" w:type="dxa"/>
            <w:vAlign w:val="bottom"/>
            <w:tcBorders>
              <w:top w:val="single" w:sz="8" w:color="CCEEFF"/>
            </w:tcBorders>
            <w:gridSpan w:val="2"/>
          </w:tcPr>
          <w:p>
            <w:pPr>
              <w:jc w:val="center"/>
              <w:ind w:right="80"/>
              <w:spacing w:after="0" w:line="142" w:lineRule="exact"/>
              <w:rPr>
                <w:sz w:val="20"/>
                <w:szCs w:val="20"/>
                <w:color w:val="auto"/>
              </w:rPr>
            </w:pPr>
            <w:r>
              <w:rPr>
                <w:rFonts w:ascii="Arial" w:cs="Arial" w:eastAsia="Arial" w:hAnsi="Arial"/>
                <w:sz w:val="14"/>
                <w:szCs w:val="14"/>
                <w:color w:val="auto"/>
                <w:w w:val="98"/>
              </w:rPr>
              <w:t>D</w:t>
            </w:r>
          </w:p>
        </w:tc>
        <w:tc>
          <w:tcPr>
            <w:tcW w:w="500" w:type="dxa"/>
            <w:vAlign w:val="bottom"/>
            <w:tcBorders>
              <w:top w:val="single" w:sz="8" w:color="CCEEFF"/>
            </w:tcBorders>
            <w:gridSpan w:val="2"/>
          </w:tcPr>
          <w:p>
            <w:pPr>
              <w:ind w:left="40"/>
              <w:spacing w:after="0" w:line="142" w:lineRule="exact"/>
              <w:rPr>
                <w:sz w:val="20"/>
                <w:szCs w:val="20"/>
                <w:color w:val="auto"/>
              </w:rPr>
            </w:pPr>
            <w:r>
              <w:rPr>
                <w:rFonts w:ascii="Arial" w:cs="Arial" w:eastAsia="Arial" w:hAnsi="Arial"/>
                <w:sz w:val="14"/>
                <w:szCs w:val="14"/>
                <w:color w:val="auto"/>
              </w:rPr>
              <w:t>2008</w:t>
            </w:r>
          </w:p>
        </w:tc>
        <w:tc>
          <w:tcPr>
            <w:tcW w:w="58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w w:val="94"/>
              </w:rPr>
              <w:t>149,993</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Crude</w:t>
            </w:r>
          </w:p>
        </w:tc>
        <w:tc>
          <w:tcPr>
            <w:tcW w:w="88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Dec 2020</w:t>
            </w:r>
          </w:p>
        </w:tc>
        <w:tc>
          <w:tcPr>
            <w:tcW w:w="860" w:type="dxa"/>
            <w:vAlign w:val="bottom"/>
            <w:tcBorders>
              <w:top w:val="single" w:sz="8" w:color="CCEEFF"/>
            </w:tcBorders>
            <w:gridSpan w:val="2"/>
          </w:tcPr>
          <w:p>
            <w:pPr>
              <w:jc w:val="right"/>
              <w:ind w:right="180"/>
              <w:spacing w:after="0" w:line="142" w:lineRule="exact"/>
              <w:rPr>
                <w:sz w:val="20"/>
                <w:szCs w:val="20"/>
                <w:color w:val="auto"/>
              </w:rPr>
            </w:pPr>
            <w:r>
              <w:rPr>
                <w:rFonts w:ascii="Arial" w:cs="Arial" w:eastAsia="Arial" w:hAnsi="Arial"/>
                <w:sz w:val="14"/>
                <w:szCs w:val="14"/>
                <w:color w:val="auto"/>
              </w:rPr>
              <w:t>2-yr TC</w:t>
            </w:r>
          </w:p>
        </w:tc>
        <w:tc>
          <w:tcPr>
            <w:tcW w:w="720" w:type="dxa"/>
            <w:vAlign w:val="bottom"/>
            <w:tcBorders>
              <w:top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Mar 2017</w:t>
            </w:r>
          </w:p>
        </w:tc>
        <w:tc>
          <w:tcPr>
            <w:tcW w:w="200" w:type="dxa"/>
            <w:vAlign w:val="bottom"/>
            <w:tcBorders>
              <w:top w:val="single" w:sz="8" w:color="CCEEFF"/>
            </w:tcBorders>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gridSpan w:val="2"/>
          </w:tcPr>
          <w:p>
            <w:pPr>
              <w:jc w:val="right"/>
              <w:ind w:right="180"/>
              <w:spacing w:after="0" w:line="142" w:lineRule="exact"/>
              <w:rPr>
                <w:sz w:val="20"/>
                <w:szCs w:val="20"/>
                <w:color w:val="auto"/>
              </w:rPr>
            </w:pPr>
            <w:r>
              <w:rPr>
                <w:rFonts w:ascii="Arial" w:cs="Arial" w:eastAsia="Arial" w:hAnsi="Arial"/>
                <w:sz w:val="14"/>
                <w:szCs w:val="14"/>
                <w:color w:val="auto"/>
              </w:rPr>
              <w:t>28,638</w:t>
            </w:r>
          </w:p>
        </w:tc>
        <w:tc>
          <w:tcPr>
            <w:tcW w:w="4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gridSpan w:val="2"/>
          </w:tcPr>
          <w:p>
            <w:pPr>
              <w:ind w:left="40"/>
              <w:spacing w:after="0" w:line="142" w:lineRule="exact"/>
              <w:rPr>
                <w:sz w:val="20"/>
                <w:szCs w:val="20"/>
                <w:color w:val="auto"/>
              </w:rPr>
            </w:pPr>
            <w:r>
              <w:rPr>
                <w:rFonts w:ascii="Arial" w:cs="Arial" w:eastAsia="Arial" w:hAnsi="Arial"/>
                <w:sz w:val="14"/>
                <w:szCs w:val="14"/>
                <w:color w:val="auto"/>
              </w:rPr>
              <w:t>STENA</w:t>
            </w:r>
          </w:p>
        </w:tc>
        <w:tc>
          <w:tcPr>
            <w:tcW w:w="252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Aias</w:t>
            </w: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D</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2008</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150,393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Crude</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Dec 2020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Jan 2018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25,506</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REPSOL</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color w:val="auto"/>
              </w:rPr>
              <w:t>Amore Mio II</w:t>
            </w: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E</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2001</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159,982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Floating</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May 2019</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0.9-yr TC</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Jun 2017</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20,738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CMTC</w:t>
            </w: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93"/>
              </w:rPr>
              <w:t>Crude Oil Suezmax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Miltiadis M II</w:t>
            </w: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F</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162,397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Crude</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Dec 2020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0.9-yr TC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Jun 2017</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CMTC</w:t>
            </w: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Ice Class 1A Crude Oil Suezmax</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2"/>
              </w:rPr>
              <w:t>Sister</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OPEX</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Management</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Charter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Daily</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Year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9"/>
              </w:rPr>
              <w:t>(per</w:t>
            </w:r>
          </w:p>
        </w:tc>
        <w:tc>
          <w:tcPr>
            <w:tcW w:w="88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Agreement</w:t>
            </w:r>
          </w:p>
        </w:tc>
        <w:tc>
          <w:tcPr>
            <w:tcW w:w="7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1"/>
              </w:rPr>
              <w:t>Duration/</w:t>
            </w:r>
          </w:p>
        </w:tc>
        <w:tc>
          <w:tcPr>
            <w:tcW w:w="72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Expiry of</w:t>
            </w:r>
          </w:p>
        </w:tc>
        <w:tc>
          <w:tcPr>
            <w:tcW w:w="80" w:type="dxa"/>
            <w:vAlign w:val="bottom"/>
          </w:tcPr>
          <w:p>
            <w:pPr>
              <w:spacing w:after="0"/>
              <w:rPr>
                <w:sz w:val="10"/>
                <w:szCs w:val="10"/>
                <w:color w:val="auto"/>
              </w:rPr>
            </w:pPr>
          </w:p>
        </w:tc>
        <w:tc>
          <w:tcPr>
            <w:tcW w:w="72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w w:val="95"/>
              </w:rPr>
              <w:t>Charter</w:t>
            </w:r>
          </w:p>
        </w:tc>
        <w:tc>
          <w:tcPr>
            <w:tcW w:w="1420" w:type="dxa"/>
            <w:vAlign w:val="bottom"/>
            <w:gridSpan w:val="4"/>
          </w:tcPr>
          <w:p>
            <w:pPr>
              <w:ind w:left="40"/>
              <w:spacing w:after="0" w:line="126" w:lineRule="exact"/>
              <w:rPr>
                <w:sz w:val="20"/>
                <w:szCs w:val="20"/>
                <w:color w:val="auto"/>
              </w:rPr>
            </w:pPr>
            <w:r>
              <w:rPr>
                <w:rFonts w:ascii="Arial" w:cs="Arial" w:eastAsia="Arial" w:hAnsi="Arial"/>
                <w:sz w:val="13"/>
                <w:szCs w:val="13"/>
                <w:b w:val="1"/>
                <w:bCs w:val="1"/>
                <w:color w:val="auto"/>
              </w:rPr>
              <w:t>Profit</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60" w:type="dxa"/>
            <w:vAlign w:val="bottom"/>
            <w:gridSpan w:val="5"/>
          </w:tcPr>
          <w:p>
            <w:pPr>
              <w:spacing w:after="0"/>
              <w:rPr>
                <w:sz w:val="20"/>
                <w:szCs w:val="20"/>
                <w:color w:val="auto"/>
              </w:rPr>
            </w:pPr>
            <w:r>
              <w:rPr>
                <w:rFonts w:ascii="Arial" w:cs="Arial" w:eastAsia="Arial" w:hAnsi="Arial"/>
                <w:sz w:val="13"/>
                <w:szCs w:val="13"/>
                <w:b w:val="1"/>
                <w:bCs w:val="1"/>
                <w:color w:val="auto"/>
              </w:rPr>
              <w:t>Vessel name</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9"/>
              </w:rPr>
              <w:t xml:space="preserve">Vessels </w:t>
            </w:r>
            <w:r>
              <w:rPr>
                <w:rFonts w:ascii="Arial" w:cs="Arial" w:eastAsia="Arial" w:hAnsi="Arial"/>
                <w:sz w:val="10"/>
                <w:szCs w:val="10"/>
                <w:b w:val="1"/>
                <w:bCs w:val="1"/>
                <w:color w:val="auto"/>
                <w:w w:val="79"/>
              </w:rPr>
              <w:t>1</w:t>
            </w: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built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DWT -TEU</w:t>
            </w:r>
            <w:r>
              <w:rPr>
                <w:rFonts w:ascii="Arial" w:cs="Arial" w:eastAsia="Arial" w:hAnsi="Arial"/>
                <w:sz w:val="10"/>
                <w:szCs w:val="10"/>
                <w:b w:val="1"/>
                <w:bCs w:val="1"/>
                <w:color w:val="auto"/>
              </w:rPr>
              <w:t>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day)</w:t>
            </w:r>
            <w:r>
              <w:rPr>
                <w:rFonts w:ascii="Arial" w:cs="Arial" w:eastAsia="Arial" w:hAnsi="Arial"/>
                <w:sz w:val="10"/>
                <w:szCs w:val="10"/>
                <w:b w:val="1"/>
                <w:bCs w:val="1"/>
                <w:color w:val="auto"/>
                <w:w w:val="92"/>
              </w:rPr>
              <w:t>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Expiration</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 xml:space="preserve">Type </w:t>
            </w:r>
            <w:r>
              <w:rPr>
                <w:rFonts w:ascii="Arial" w:cs="Arial" w:eastAsia="Arial" w:hAnsi="Arial"/>
                <w:sz w:val="10"/>
                <w:szCs w:val="10"/>
                <w:b w:val="1"/>
                <w:bCs w:val="1"/>
                <w:color w:val="auto"/>
                <w:w w:val="90"/>
              </w:rPr>
              <w:t>3</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 xml:space="preserve">Charter </w:t>
            </w:r>
            <w:r>
              <w:rPr>
                <w:rFonts w:ascii="Arial" w:cs="Arial" w:eastAsia="Arial" w:hAnsi="Arial"/>
                <w:sz w:val="10"/>
                <w:szCs w:val="10"/>
                <w:b w:val="1"/>
                <w:bCs w:val="1"/>
                <w:color w:val="auto"/>
              </w:rPr>
              <w:t>4</w:t>
            </w: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Rate (Net)</w:t>
            </w:r>
          </w:p>
        </w:tc>
        <w:tc>
          <w:tcPr>
            <w:tcW w:w="1420" w:type="dxa"/>
            <w:vAlign w:val="bottom"/>
            <w:gridSpan w:val="4"/>
          </w:tcPr>
          <w:p>
            <w:pPr>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0"/>
                <w:szCs w:val="10"/>
                <w:b w:val="1"/>
                <w:bCs w:val="1"/>
                <w:color w:val="auto"/>
              </w:rPr>
              <w:t>5</w:t>
            </w:r>
            <w:r>
              <w:rPr>
                <w:rFonts w:ascii="Arial" w:cs="Arial" w:eastAsia="Arial" w:hAnsi="Arial"/>
                <w:sz w:val="13"/>
                <w:szCs w:val="13"/>
                <w:b w:val="1"/>
                <w:bCs w:val="1"/>
                <w:color w:val="auto"/>
              </w:rPr>
              <w:t xml:space="preserve">   Charterer </w:t>
            </w:r>
            <w:r>
              <w:rPr>
                <w:rFonts w:ascii="Arial" w:cs="Arial" w:eastAsia="Arial" w:hAnsi="Arial"/>
                <w:sz w:val="10"/>
                <w:szCs w:val="10"/>
                <w:b w:val="1"/>
                <w:bCs w:val="1"/>
                <w:color w:val="auto"/>
              </w:rPr>
              <w:t>6</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7"/>
              </w:rPr>
              <w:t>DRYBULK</w:t>
            </w:r>
          </w:p>
        </w:tc>
        <w:tc>
          <w:tcPr>
            <w:tcW w:w="660" w:type="dxa"/>
            <w:vAlign w:val="bottom"/>
            <w:tcBorders>
              <w:top w:val="single" w:sz="8" w:color="CCEEFF"/>
              <w:bottom w:val="single" w:sz="8" w:color="auto"/>
            </w:tcBorders>
            <w:shd w:val="clear" w:color="auto" w:fill="CCEEFF"/>
          </w:tcPr>
          <w:p>
            <w:pPr>
              <w:ind w:left="100"/>
              <w:spacing w:after="0" w:line="115" w:lineRule="exact"/>
              <w:rPr>
                <w:sz w:val="20"/>
                <w:szCs w:val="20"/>
                <w:color w:val="auto"/>
              </w:rPr>
            </w:pPr>
            <w:r>
              <w:rPr>
                <w:rFonts w:ascii="Arial" w:cs="Arial" w:eastAsia="Arial" w:hAnsi="Arial"/>
                <w:sz w:val="13"/>
                <w:szCs w:val="13"/>
                <w:b w:val="1"/>
                <w:bCs w:val="1"/>
                <w:color w:val="auto"/>
              </w:rPr>
              <w:t>VESSEL</w:t>
            </w:r>
          </w:p>
        </w:tc>
        <w:tc>
          <w:tcPr>
            <w:tcW w:w="15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gridSpan w:val="4"/>
          </w:tcPr>
          <w:p>
            <w:pPr>
              <w:spacing w:after="0" w:line="123" w:lineRule="exact"/>
              <w:rPr>
                <w:sz w:val="20"/>
                <w:szCs w:val="20"/>
                <w:color w:val="auto"/>
              </w:rPr>
            </w:pPr>
            <w:r>
              <w:rPr>
                <w:rFonts w:ascii="Arial" w:cs="Arial" w:eastAsia="Arial" w:hAnsi="Arial"/>
                <w:sz w:val="14"/>
                <w:szCs w:val="14"/>
                <w:color w:val="auto"/>
              </w:rPr>
              <w:t>Cape Agamemnon</w:t>
            </w:r>
            <w:r>
              <w:rPr>
                <w:rFonts w:ascii="Arial" w:cs="Arial" w:eastAsia="Arial" w:hAnsi="Arial"/>
                <w:sz w:val="12"/>
                <w:szCs w:val="12"/>
                <w:color w:val="auto"/>
              </w:rPr>
              <w:t>16</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86"/>
              </w:rPr>
              <w:t>Cape Size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G</w:t>
            </w:r>
          </w:p>
        </w:tc>
        <w:tc>
          <w:tcPr>
            <w:tcW w:w="400" w:type="dxa"/>
            <w:vAlign w:val="bottom"/>
          </w:tcPr>
          <w:p>
            <w:pPr>
              <w:jc w:val="right"/>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179,221</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Jun 2021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10-yr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Jun 2020</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40,090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COSCO</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Dry Cargo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CONTAINER CARRIER VESSELS</w:t>
            </w:r>
          </w:p>
        </w:tc>
        <w:tc>
          <w:tcPr>
            <w:tcW w:w="6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gridSpan w:val="4"/>
          </w:tcPr>
          <w:p>
            <w:pPr>
              <w:spacing w:after="0" w:line="123" w:lineRule="exact"/>
              <w:rPr>
                <w:sz w:val="20"/>
                <w:szCs w:val="20"/>
                <w:color w:val="auto"/>
              </w:rPr>
            </w:pPr>
            <w:r>
              <w:rPr>
                <w:rFonts w:ascii="Arial" w:cs="Arial" w:eastAsia="Arial" w:hAnsi="Arial"/>
                <w:sz w:val="14"/>
                <w:szCs w:val="14"/>
                <w:color w:val="auto"/>
              </w:rPr>
              <w:t xml:space="preserve">Archimidis </w:t>
            </w:r>
            <w:r>
              <w:rPr>
                <w:rFonts w:ascii="Arial" w:cs="Arial" w:eastAsia="Arial" w:hAnsi="Arial"/>
                <w:sz w:val="12"/>
                <w:szCs w:val="12"/>
                <w:color w:val="auto"/>
              </w:rPr>
              <w:t>14</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108,892</w:t>
            </w:r>
          </w:p>
        </w:tc>
        <w:tc>
          <w:tcPr>
            <w:tcW w:w="24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H</w:t>
            </w:r>
          </w:p>
        </w:tc>
        <w:tc>
          <w:tcPr>
            <w:tcW w:w="400" w:type="dxa"/>
            <w:vAlign w:val="bottom"/>
          </w:tcPr>
          <w:p>
            <w:pPr>
              <w:jc w:val="right"/>
              <w:spacing w:after="0"/>
              <w:rPr>
                <w:sz w:val="20"/>
                <w:szCs w:val="20"/>
                <w:color w:val="auto"/>
              </w:rPr>
            </w:pPr>
            <w:r>
              <w:rPr>
                <w:rFonts w:ascii="Arial" w:cs="Arial" w:eastAsia="Arial" w:hAnsi="Arial"/>
                <w:sz w:val="14"/>
                <w:szCs w:val="14"/>
                <w:color w:val="auto"/>
              </w:rPr>
              <w:t>2006</w:t>
            </w:r>
          </w:p>
        </w:tc>
        <w:tc>
          <w:tcPr>
            <w:tcW w:w="1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8,266 TEU</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Dec 2017</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Mar 2017</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8,838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PIL</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Agamemnon </w:t>
            </w:r>
            <w:r>
              <w:rPr>
                <w:rFonts w:ascii="Arial" w:cs="Arial" w:eastAsia="Arial" w:hAnsi="Arial"/>
                <w:sz w:val="12"/>
                <w:szCs w:val="12"/>
                <w:color w:val="auto"/>
              </w:rPr>
              <w:t>14</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108,892</w:t>
            </w:r>
          </w:p>
        </w:tc>
        <w:tc>
          <w:tcPr>
            <w:tcW w:w="2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H</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8,266 TEU</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Dec 2017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Apr 2017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8,838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PIL</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Prestige </w:t>
            </w:r>
            <w:r>
              <w:rPr>
                <w:rFonts w:ascii="Arial" w:cs="Arial" w:eastAsia="Arial" w:hAnsi="Arial"/>
                <w:sz w:val="12"/>
                <w:szCs w:val="12"/>
                <w:color w:val="auto"/>
              </w:rPr>
              <w:t>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400" w:type="dxa"/>
            <w:vAlign w:val="bottom"/>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5,023 TEU</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Sep 2018</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Dec 2024</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22,893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Hyundai Premium </w:t>
            </w:r>
            <w:r>
              <w:rPr>
                <w:rFonts w:ascii="Arial" w:cs="Arial" w:eastAsia="Arial" w:hAnsi="Arial"/>
                <w:sz w:val="12"/>
                <w:szCs w:val="12"/>
                <w:color w:val="auto"/>
              </w:rPr>
              <w:t>9</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w:t>
            </w:r>
          </w:p>
        </w:tc>
        <w:tc>
          <w:tcPr>
            <w:tcW w:w="2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5,023 TEU</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Apr 2018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Jan 2025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22,893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Paramount </w:t>
            </w:r>
            <w:r>
              <w:rPr>
                <w:rFonts w:ascii="Arial" w:cs="Arial" w:eastAsia="Arial" w:hAnsi="Arial"/>
                <w:sz w:val="12"/>
                <w:szCs w:val="12"/>
                <w:color w:val="auto"/>
              </w:rPr>
              <w:t>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400" w:type="dxa"/>
            <w:vAlign w:val="bottom"/>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5,023 TEU</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Apr 2018</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Feb 2025</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22,893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Hyundai Privilege </w:t>
            </w:r>
            <w:r>
              <w:rPr>
                <w:rFonts w:ascii="Arial" w:cs="Arial" w:eastAsia="Arial" w:hAnsi="Arial"/>
                <w:sz w:val="12"/>
                <w:szCs w:val="12"/>
                <w:color w:val="auto"/>
              </w:rPr>
              <w:t>9</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w:t>
            </w:r>
          </w:p>
        </w:tc>
        <w:tc>
          <w:tcPr>
            <w:tcW w:w="2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5,023 TEU</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 2018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Mar 2025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22,893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Platinum </w:t>
            </w:r>
            <w:r>
              <w:rPr>
                <w:rFonts w:ascii="Arial" w:cs="Arial" w:eastAsia="Arial" w:hAnsi="Arial"/>
                <w:sz w:val="12"/>
                <w:szCs w:val="12"/>
                <w:color w:val="auto"/>
              </w:rPr>
              <w:t>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63,010</w:t>
            </w:r>
          </w:p>
        </w:tc>
        <w:tc>
          <w:tcPr>
            <w:tcW w:w="2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1"/>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rPr>
              <w:t>I</w:t>
            </w:r>
          </w:p>
        </w:tc>
        <w:tc>
          <w:tcPr>
            <w:tcW w:w="400" w:type="dxa"/>
            <w:vAlign w:val="bottom"/>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5,023 TEU</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Sep 2018</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Apr 2025</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22,893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CMA CGM Amazon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115,534</w:t>
            </w:r>
          </w:p>
        </w:tc>
        <w:tc>
          <w:tcPr>
            <w:tcW w:w="2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4"/>
                <w:szCs w:val="14"/>
                <w:color w:val="auto"/>
              </w:rPr>
              <w:t>CMA</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K</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9,288 TEU</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Jun 2020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May 2020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38,759</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CGM</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4"/>
          </w:tcPr>
          <w:p>
            <w:pPr>
              <w:spacing w:after="0" w:line="135" w:lineRule="exact"/>
              <w:rPr>
                <w:sz w:val="20"/>
                <w:szCs w:val="20"/>
                <w:color w:val="auto"/>
              </w:rPr>
            </w:pPr>
            <w:r>
              <w:rPr>
                <w:rFonts w:ascii="Arial" w:cs="Arial" w:eastAsia="Arial" w:hAnsi="Arial"/>
                <w:sz w:val="14"/>
                <w:szCs w:val="14"/>
                <w:color w:val="auto"/>
              </w:rPr>
              <w:t>CMA CGM Uruguay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115,639</w:t>
            </w:r>
          </w:p>
        </w:tc>
        <w:tc>
          <w:tcPr>
            <w:tcW w:w="2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CMA</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rPr>
              <w:t>K</w:t>
            </w:r>
          </w:p>
        </w:tc>
        <w:tc>
          <w:tcPr>
            <w:tcW w:w="400" w:type="dxa"/>
            <w:vAlign w:val="bottom"/>
          </w:tcPr>
          <w:p>
            <w:pPr>
              <w:jc w:val="right"/>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9,288 TEU</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Sep 2020</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5-yr TC</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Aug 2020</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38,759</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CGM</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Magdalena</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115,639</w:t>
            </w:r>
          </w:p>
        </w:tc>
        <w:tc>
          <w:tcPr>
            <w:tcW w:w="2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CMA CGM</w:t>
            </w:r>
          </w:p>
        </w:tc>
        <w:tc>
          <w:tcPr>
            <w:tcW w:w="10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K</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9,288 TEU</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Floating</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Feb 2021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Jan 2021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38,759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Beam Container</w:t>
            </w:r>
          </w:p>
        </w:tc>
        <w:tc>
          <w:tcPr>
            <w:tcW w:w="0" w:type="dxa"/>
            <w:vAlign w:val="bottom"/>
          </w:tcPr>
          <w:p>
            <w:pPr>
              <w:spacing w:after="0"/>
              <w:rPr>
                <w:sz w:val="1"/>
                <w:szCs w:val="1"/>
                <w:color w:val="auto"/>
              </w:rPr>
            </w:pPr>
          </w:p>
        </w:tc>
      </w:tr>
      <w:tr>
        <w:trPr>
          <w:trHeight w:val="156"/>
        </w:trPr>
        <w:tc>
          <w:tcPr>
            <w:tcW w:w="28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FLEET DWT: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auto"/>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w w:val="95"/>
              </w:rPr>
              <w:t>2,643,600 – 69,511 TEU</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Sister vessels are denoted in the tables by the same letter as follows: (A), (B): these vessels were built by Hyundai MIPO Dockyard Co., Ltd., South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Korea; (C): these vessels were built by STX Shipbuilding Co., Ltd., South Korea; (D): these vessels were built by Universal Shipbuilding Corp.,</w:t>
      </w:r>
    </w:p>
    <w:p>
      <w:pPr>
        <w:spacing w:after="0" w:line="2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Ariake, Japan; (E), (F), (H): these vessels were built by Daewoo Shipbuilding and Marine Engineering Co., Ltd., South Korea; (G): this vessel was built</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by Sungdong Shipbuilding &amp; Marine Engineering Co., Ltd., South Korea; (I): these vessels were built by Hyundai Heavy Industries Co. Ltd, South</w:t>
      </w:r>
    </w:p>
    <w:p>
      <w:pPr>
        <w:spacing w:after="0" w:line="21" w:lineRule="exact"/>
        <w:rPr>
          <w:sz w:val="20"/>
          <w:szCs w:val="20"/>
          <w:color w:val="auto"/>
        </w:rPr>
      </w:pPr>
    </w:p>
    <w:p>
      <w:pPr>
        <w:ind w:left="460" w:right="640"/>
        <w:spacing w:after="0" w:line="250" w:lineRule="auto"/>
        <w:rPr>
          <w:sz w:val="20"/>
          <w:szCs w:val="20"/>
          <w:color w:val="auto"/>
        </w:rPr>
      </w:pPr>
      <w:r>
        <w:rPr>
          <w:rFonts w:ascii="Arial" w:cs="Arial" w:eastAsia="Arial" w:hAnsi="Arial"/>
          <w:sz w:val="18"/>
          <w:szCs w:val="18"/>
          <w:color w:val="auto"/>
        </w:rPr>
        <w:t>Korea; (J): these vessels were built by Samsung Heavy Industries (Ningbo) Co. Ltd.; (K): these vessels were built by Daewoo-Mangalia Heavy Industries S.A.</w:t>
      </w:r>
    </w:p>
    <w:p>
      <w:pPr>
        <w:spacing w:after="0" w:line="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Floating</w:t>
      </w:r>
      <w:r>
        <w:rPr>
          <w:rFonts w:ascii="Arial" w:cs="Arial" w:eastAsia="Arial" w:hAnsi="Arial"/>
          <w:sz w:val="16"/>
          <w:szCs w:val="16"/>
          <w:color w:val="auto"/>
        </w:rPr>
        <w:t>: These vessels are managed under the floating fee management agreement entered into with our Manager.</w:t>
      </w:r>
      <w:r>
        <w:rPr>
          <w:rFonts w:ascii="Arial" w:cs="Arial" w:eastAsia="Arial" w:hAnsi="Arial"/>
          <w:sz w:val="16"/>
          <w:szCs w:val="16"/>
          <w:i w:val="1"/>
          <w:iCs w:val="1"/>
          <w:color w:val="auto"/>
        </w:rPr>
        <w:t xml:space="preserve"> Crude</w:t>
      </w:r>
      <w:r>
        <w:rPr>
          <w:rFonts w:ascii="Arial" w:cs="Arial" w:eastAsia="Arial" w:hAnsi="Arial"/>
          <w:sz w:val="16"/>
          <w:szCs w:val="16"/>
          <w:color w:val="auto"/>
        </w:rPr>
        <w:t>: These vessels managed</w:t>
      </w:r>
    </w:p>
    <w:p>
      <w:pPr>
        <w:spacing w:after="0" w:line="32" w:lineRule="exact"/>
        <w:rPr>
          <w:sz w:val="20"/>
          <w:szCs w:val="20"/>
          <w:color w:val="auto"/>
        </w:rPr>
      </w:pPr>
    </w:p>
    <w:p>
      <w:pPr>
        <w:ind w:left="460" w:right="340"/>
        <w:spacing w:after="0" w:line="250" w:lineRule="auto"/>
        <w:rPr>
          <w:sz w:val="20"/>
          <w:szCs w:val="20"/>
          <w:color w:val="auto"/>
        </w:rPr>
      </w:pPr>
      <w:r>
        <w:rPr>
          <w:rFonts w:ascii="Arial" w:cs="Arial" w:eastAsia="Arial" w:hAnsi="Arial"/>
          <w:sz w:val="18"/>
          <w:szCs w:val="18"/>
          <w:color w:val="auto"/>
        </w:rPr>
        <w:t>under the Crude management agreement entered into between Crude and our Manager. The remaining vessels are managed under the fixed fee management agreement entered into with our Manager. For additional details regarding our management agreements please see “Item 4B: Business Overview—Our Management Agreements” above.</w:t>
      </w:r>
    </w:p>
    <w:p>
      <w:pPr>
        <w:spacing w:after="0" w:line="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Earliest possible redelivery date.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Product Tankers: 50/50 profit share on actual earnings settled every six months.</w:t>
      </w:r>
    </w:p>
    <w:p>
      <w:pPr>
        <w:spacing w:after="0" w:line="9" w:lineRule="exact"/>
        <w:rPr>
          <w:rFonts w:ascii="Arial" w:cs="Arial" w:eastAsia="Arial" w:hAnsi="Arial"/>
          <w:sz w:val="18"/>
          <w:szCs w:val="18"/>
          <w:color w:val="auto"/>
        </w:rPr>
      </w:pPr>
    </w:p>
    <w:p>
      <w:pPr>
        <w:ind w:left="460" w:right="80" w:hanging="446"/>
        <w:spacing w:after="0" w:line="265" w:lineRule="auto"/>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7"/>
          <w:szCs w:val="17"/>
          <w:color w:val="auto"/>
        </w:rPr>
        <w:t>BP: BP Shipping Ltd. INSW: certain subsidiaries of International Seaways Inc., CMTC: Capital Maritime &amp; Trading Corp. (our Sponsor). COSCO: Cosco Bulk Carrier Co. Ltd., an affiliate of the COSCO Group. HMM: Hyundai Merchant Marine Co. Ltd. CSSA: CSSA S.A. (Total S.A.). CMA CGM: CMA CGM. STENA: Stena Bulk A.B. PETROBRAS: Petroleo Brasileiro S.A. REPSOL: Repsol Trading S.A. CARGILL: Cargill International S.A. PIL: Pacific International Lines (PTE) Ltd Singapore FLOPEC: Empresa Publica Flota Petrolera Ecuatoriana – EP Flopec.</w:t>
      </w: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For the duration of the BC these vessels have been renamed British Envoy and British Emissary, respectively.</w:t>
      </w:r>
    </w:p>
    <w:p>
      <w:pPr>
        <w:spacing w:after="0" w:line="9" w:lineRule="exact"/>
        <w:rPr>
          <w:rFonts w:ascii="Arial" w:cs="Arial" w:eastAsia="Arial" w:hAnsi="Arial"/>
          <w:sz w:val="18"/>
          <w:szCs w:val="18"/>
          <w:color w:val="auto"/>
        </w:rPr>
      </w:pPr>
    </w:p>
    <w:p>
      <w:pPr>
        <w:ind w:left="460"/>
        <w:spacing w:after="0" w:line="250" w:lineRule="auto"/>
        <w:rPr>
          <w:rFonts w:ascii="Arial" w:cs="Arial" w:eastAsia="Arial" w:hAnsi="Arial"/>
          <w:sz w:val="18"/>
          <w:szCs w:val="18"/>
          <w:color w:val="auto"/>
        </w:rPr>
      </w:pPr>
      <w:r>
        <w:rPr>
          <w:rFonts w:ascii="Arial" w:cs="Arial" w:eastAsia="Arial" w:hAnsi="Arial"/>
          <w:sz w:val="18"/>
          <w:szCs w:val="18"/>
          <w:color w:val="auto"/>
        </w:rPr>
        <w:t>The M/T British Envoy is continuing its bareboat charter with BP at a bareboat rate of $7,250 per day with earliest redelivery in January 2017. The M/T British Emissary is continuing its bareboat charter with BP at a bareboat rate of $7,000 per day with earliest redelivery in February 2017. BP has the option to extend the duration of the charter for up to a further 12 months either as bareboat charter at a bareboat rate of $7,250 per day for the optional period if declared or as time charter at a time charter rate of $14,250 per day if declared.</w:t>
      </w:r>
    </w:p>
    <w:p>
      <w:pPr>
        <w:spacing w:after="0" w:line="1" w:lineRule="exact"/>
        <w:rPr>
          <w:rFonts w:ascii="Arial" w:cs="Arial" w:eastAsia="Arial" w:hAnsi="Arial"/>
          <w:sz w:val="18"/>
          <w:szCs w:val="18"/>
          <w:color w:val="auto"/>
        </w:rPr>
      </w:pPr>
    </w:p>
    <w:p>
      <w:pPr>
        <w:ind w:left="460" w:right="100" w:hanging="446"/>
        <w:spacing w:after="0" w:line="253" w:lineRule="auto"/>
        <w:rPr>
          <w:rFonts w:ascii="Arial" w:cs="Arial" w:eastAsia="Arial" w:hAnsi="Arial"/>
          <w:sz w:val="18"/>
          <w:szCs w:val="18"/>
          <w:color w:val="auto"/>
        </w:rPr>
      </w:pPr>
      <w:r>
        <w:rPr>
          <w:rFonts w:ascii="Arial" w:cs="Arial" w:eastAsia="Arial" w:hAnsi="Arial"/>
          <w:sz w:val="18"/>
          <w:szCs w:val="18"/>
          <w:color w:val="auto"/>
        </w:rPr>
        <w:t>8For the duration of the BC, these vessels have been renamed: Overseas Serifos, Overseas Sifnos and Overseas Kimolos. In November 2016 INSW extended the bare boat charters duration up to July 2018 +/- 30 days at a bare boat charter rate of $6,600 per day. INSW has an option to purchase each vessel at the end of the eighth, ninth or tenth year of its charter for $38.0 million, $35.5 million and $33.0 million, respectively, which option is exercisable six months before the date of completion of the relevant year of the charter. The expiration date above may therefore change depending on whether the charterer exercises its purchase option.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8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companies owning the M/V Hyundai Prestige, the M/V Hyundai Paramount, the M/V Hyundai Premium, the M/V Hyundai Privilege and the M/V Hyundai Platinum entered into a charter restructuring agreement with HMM on July 15, 2016. This agreement provides for the reduction of the charter rate payable under the respective charter parties by 20% to a gross rate of $23,480 per day (from $29,350 per day) for a three and a half year period starting on July 18, 2016 and ending on December 31, 2019. The charter restructuring agreement further provides that at the end of the Charter</w:t>
      </w:r>
    </w:p>
    <w:p>
      <w:pPr>
        <w:spacing w:after="0" w:line="2" w:lineRule="exact"/>
        <w:rPr>
          <w:sz w:val="20"/>
          <w:szCs w:val="20"/>
          <w:color w:val="auto"/>
        </w:rPr>
      </w:pPr>
    </w:p>
    <w:p>
      <w:pPr>
        <w:ind w:left="460" w:right="80"/>
        <w:spacing w:after="0" w:line="250" w:lineRule="auto"/>
        <w:rPr>
          <w:sz w:val="20"/>
          <w:szCs w:val="20"/>
          <w:color w:val="auto"/>
        </w:rPr>
      </w:pPr>
      <w:r>
        <w:rPr>
          <w:rFonts w:ascii="Arial" w:cs="Arial" w:eastAsia="Arial" w:hAnsi="Arial"/>
          <w:sz w:val="18"/>
          <w:szCs w:val="18"/>
          <w:color w:val="auto"/>
        </w:rPr>
        <w:t>Reduction Period, the charter rate under the respective charter parties will be restored to the original gross daily rate of $29,350 until the expiry of each charter.</w:t>
      </w:r>
    </w:p>
    <w:p>
      <w:pPr>
        <w:spacing w:after="0" w:line="1" w:lineRule="exact"/>
        <w:rPr>
          <w:sz w:val="20"/>
          <w:szCs w:val="20"/>
          <w:color w:val="auto"/>
        </w:rPr>
      </w:pPr>
    </w:p>
    <w:p>
      <w:pPr>
        <w:jc w:val="both"/>
        <w:ind w:left="460" w:right="16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October 24, 2016, we acquired the shares of the vessel-owning company of the M/T Amor. The vessel is employed under a time charter by Cargill that commenced in October 2015 with a duration of two years +/- 30 days at a gross daily rate of $17,500 and, upon termination of the Cargill charter, is expected to be employed by Capital Maritime for an additional two months +/- 15 days at a gross daily rate of $14,000 plus 50/50 profit share.</w:t>
      </w:r>
    </w:p>
    <w:p>
      <w:pPr>
        <w:spacing w:after="0" w:line="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July 2, 2016, the M/T ‘Agisilaos’ replaced the M/T ‘Arionas’ under the charter party to Flopec at a gross rate of $19,000 per day, as the M/T ‘Arionas’ underwent its scheduled special survey. For the duration of the replacement, Carnation Shipping Company, the company owning the M/T ‘Arionas’ under the charter party to Flopec, acts as disponent owner to M/T ‘Agisilaos’.</w:t>
      </w:r>
    </w:p>
    <w:p>
      <w:pPr>
        <w:spacing w:after="0" w:line="1" w:lineRule="exact"/>
        <w:rPr>
          <w:rFonts w:ascii="Arial" w:cs="Arial" w:eastAsia="Arial" w:hAnsi="Arial"/>
          <w:sz w:val="18"/>
          <w:szCs w:val="18"/>
          <w:color w:val="auto"/>
        </w:rPr>
      </w:pPr>
    </w:p>
    <w:p>
      <w:pPr>
        <w:ind w:left="460" w:right="30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December 2016, the M/T Arionas was chartered to CMTC for one year +/- 30 days at a net daily rate of $10,863. The charterer has the option to extend the time charter for an additional one year +/-30 days at a net daily rate of $13,578. The charter commenced in January 2017. The vessel was previously employed in the spot market as it underwent its scheduled special survey in November 2016.</w:t>
      </w:r>
    </w:p>
    <w:p>
      <w:pPr>
        <w:ind w:left="460" w:right="20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December 2016, the M/T Aristotelis was chartered to CMTC for one year +/- 30 days at a net daily rate of $13,578. The charterer has the option to extend the time charter for an additional one year +/-30 days at a net daily rate of $14,813. The charter commenced in January 2017.</w:t>
      </w:r>
    </w:p>
    <w:p>
      <w:pPr>
        <w:ind w:left="460" w:right="18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M/V Archimidis and the M/V Agamemnon are employed on time charters with PIL for one year at a net rate of $8,838 per day. The charterer has the option to extend the time charters for an additional one year +/-60 days at a net rate of $19,750 per day. The gross rate for M/V Agamemnon and M/V Archimidis was reduced to $8,450 per day for the period from October 1, 2016 to February 3, 2017 (expected) and from October 1, 2016 to December 20, 2016, respectively pending the installation of Alternative Marine Power (‘AMP’) equipment.</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DWT: Dead Weight Ton, TEU: Twenty-foot Equivalent Unit</w:t>
      </w:r>
    </w:p>
    <w:p>
      <w:pPr>
        <w:spacing w:after="0" w:line="9" w:lineRule="exact"/>
        <w:rPr>
          <w:rFonts w:ascii="Arial" w:cs="Arial" w:eastAsia="Arial" w:hAnsi="Arial"/>
          <w:sz w:val="18"/>
          <w:szCs w:val="18"/>
          <w:color w:val="auto"/>
        </w:rPr>
      </w:pPr>
    </w:p>
    <w:p>
      <w:pPr>
        <w:ind w:left="460" w:hanging="452"/>
        <w:spacing w:after="0" w:line="29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currently maintain insurance to protect us against the loss of income that would result from Cosco’s failure or refusal to pay hire due under the time charter agreement. Under our revenue protection insurance, our insurer has agreed to pay us a maximum amount of $25,000 per day for each day of loss, defined as the difference between the hire contractually payable under the charter party agreement with Cosco and the replacement hire earned or that could be earned by us during the policy period expiring on July 30, 2020. Replacement hire is defined as the greater of the actual hire earned during the policy period and the average hire rate that the M/V Cape Agamemnon, is capable of earning as determined by three independent shipbrokers.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2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“Item 5F: Contractual Obligations and Contingencies—Critical Accounting Policies—Vessel Lives and Impairment” below, we discuss our policy for recording impairment of the carrying values of our vessels. During the past few years, market values of vessels have been particularly volatile, with substantial declines in many vessel classes. As a result, the charter-free market value of certain of our vessels may have declined below those vessels’ carrying value, even though we would not record an impairment of their carrying value under our accounting impairment policy due to our belief that future undiscounted cash flows expected to be earned by such vessels over their operating lives would exceed such vessels’ carrying amounts.</w:t>
      </w:r>
    </w:p>
    <w:p>
      <w:pPr>
        <w:spacing w:after="0" w:line="15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table set forth below indicates (i) the carrying value of each of our vessels as of December 31, 2016 and 2015; (ii) which of our vessels we believe has a charter free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78"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third-party independent shipbrokers approved by our banks. You should note that vessel values are highly volatile; as such, our estimates may not be indicative of the current or future basic market value of our vessels or prices that we could achieve if we were to sell them.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Carrying value as of</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14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4"/>
              </w:rPr>
              <w:t>Vessels</w:t>
            </w:r>
          </w:p>
        </w:tc>
        <w:tc>
          <w:tcPr>
            <w:tcW w:w="3120" w:type="dxa"/>
            <w:vAlign w:val="bottom"/>
            <w:vMerge w:val="restart"/>
          </w:tcPr>
          <w:p>
            <w:pPr>
              <w:spacing w:after="0"/>
              <w:rPr>
                <w:sz w:val="12"/>
                <w:szCs w:val="12"/>
                <w:color w:val="auto"/>
              </w:rPr>
            </w:pPr>
          </w:p>
        </w:tc>
        <w:tc>
          <w:tcPr>
            <w:tcW w:w="19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Date acquired by us</w:t>
            </w:r>
          </w:p>
        </w:tc>
        <w:tc>
          <w:tcPr>
            <w:tcW w:w="3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 millions of United</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312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1"/>
              </w:rPr>
              <w:t>States dollars)</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3"/>
              </w:rPr>
              <w:t>States dollars)</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M/T</w:t>
            </w: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Atlantas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04/04/2007 &amp; 08/16/2010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Aiolos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04/04/2007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05/08/2007 &amp; 03/01/2010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07/13/2007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09/20/2007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09/28/2007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01/29/2008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03/27/2008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06/17/2008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08/20/2008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04/13/2009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06/30/2010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06/09/2011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09/30/2011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09/30/2011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09/30/2011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12/22/2012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12/22/2012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09/11/2013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03/20/2013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03/27/2013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09/11/2013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09/11/2013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11/28/2013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Active</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03/31/2015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M/V CMA CGM Amazon</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06/10/2015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06/30/2015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M/V CMA CGM Uruguay</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09/18/2015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Magdalena</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02/26/2016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M/T Amor</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10/24/2016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1,367.7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2"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Indicates vessels, for which we believe, as of December 31, 2016 and 2015, the basic charter-free market value is lower than the vessel’s carrying value as of December 31, 2016 and 2015. We believe that the aggregate carrying value of these vessels, assessed separately, exceeds their aggregate basic charter-free market value by approximately $388.8 million and $130.1 million as of December 31, 2016 and 2015, respectively. This increase of $258.7 million in 2016 as compared to 2015 is due to the decrease of asset values of our vessels, as a consequence of a slowdown in the underlying charter markets that negatively affected market values of vessels. As discussed in “Critical Accounting Policies—Vessel Lives and Impairment”, we believe that the carrying values of our vessels as of December 31, 2016 and 2015 were recoverable as the undiscounted projected net operating cash flows of these vessels exceeded their carrying value by a significant amount.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As of December 31, 2016, all the vessels in our fleet were under medium- to long-term time or bareboat charters with an average remaining term under our charters of approximately 5.6 years.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future cash flows from operations. Please read “Item 4B: Business Overview—Our Fleet”, including the chart and accompanying notes, for more information on our time and bareboat charters, including counterparties, expected expiration dates of the charters and daily charter rates.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31 vessels under time charter agreements, of which two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1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We currently have a profit sharing arrangement in place for M/T Amadeus which is under a time charter with Capital Maritime and is based on the calculation of the vessel’s actual earnings and is settled every six months. We have a similar profit sharing arrangement for the M/T Amor, once it commences its two month time charter with Capital Maritime. In the event actual time charter equivalent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purposes of the calculation. The charterer is obligated to provide us with a copy of each fixture note and all reasonable documentation with respect to items of cost and earnings.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amounts received under profit-sharing arrangements are subject to the usual commissions payable to shipbrokers on gross charter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read “Item 4B: Business Overview—Our Fleet”, including the table and accompanying notes, for additional information.</w:t>
      </w:r>
    </w:p>
    <w:p>
      <w:pPr>
        <w:spacing w:after="0" w:line="21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7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December 31, 2016, we had five vessels under bareboat charter, two with BP Shipping Limited and three with subsidiaries of INSW. The charters with subsidiaries of INSW were initially entered into with subsidiaries of OSG. Following the spinoff of the international business arm of OSG, INSW succeeded to OSG under the charter guarantee. Those charters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 In exchange of our agreement to substitute INSW for OSG under the charters, INSW agreed to increase the bareboat charter rate for the three vessels from $6,250 per day to $6,600 per day from November 30, 2016 until the redelivery of the vessels under the bareboat charters.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spot charter generally refers to a voyage charter or a trip charter or a short-term time charter.</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93"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years ended December 31, 2016, 2015 and 2014 were $10.9 million, $11.7 million and $13.3 million respectively.</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“Item 4B: Business Overview—Our Management Agreements”.</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Capital Ship Management operates under a safety management system in compliance with the IMO’s ISM code and certified by Lloyd’s Register. Capital Ship Management’s management systems also comply with the Quality Standard ISO 9001, the Environmental Management Standard ISO 14001, the Occupational Health &amp; Safety Management System 18001 and the Energy Management Standard 50001, all of which are certified by Lloyd’s. Capital Ship Management has furthermore implemented an “Integrated Management System Approach” verified by the Lloyd’s. Capital Ship Management also adopted “Business Continuity Management” principles in cooperation with Lloyd’s.</w:t>
      </w:r>
    </w:p>
    <w:p>
      <w:pPr>
        <w:spacing w:after="0" w:line="173"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Capital Ship Management, recognizing sustainable transport as one of the biggest challenges of the 21st century, has adopted and implemented the key strategies for a regime of responsible, safe and clean shipping. As a result, our vessels’ operations are conducted in a manner intended to protect the safety and health of Capital Ship Management’s employees, the general public and the environment. Capital Ship Management’s senior management team actively manages the risks inherent in our business and is committed to eliminating incidents that threaten safety, such as groundings, fires, collisions and petroleum spills, as well as reducing emissions and waste generation.</w:t>
      </w:r>
    </w:p>
    <w:p>
      <w:pPr>
        <w:spacing w:after="0" w:line="18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2014, Capital Ship Management was successfully assessed by Lloyd’s against the “IMO Strategic Concept of a Sustainable Shipping Industry”. It is the first shipping company worldwide to receive such certification, in line with Capital Ship Management strategy to be inspired by and apply the key principles and goals of the IMO Strategy for Sustainable Maritime Transport Systems. In particular, Capital Ship Management has established a task force to implement specific actions, plans, processes, and to develop systems addressing sustainability. Priority has been given to the promotion of a safety culture and environmental stewardship, as well as to the education, training and support of seafarers, technical co-operation, energy efficiency and ship-port interface, new technology and innovation, energy supply for ships, finance, liability and insurance mechanisms, maritime traffic support and advisory systems, ocean governance.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 GREEN4SEA Excellence Award was awarded to Capital Ship Management for demonstrating environmental excellence and performance above average. Our manager was distinguished for its strategy with a focus on environmental performance. During 2015 safety and environmental performance reached the highest level as all Key Performance Indicators were well superior to the industry standard. Capital Ship Management has also launched a joint project with LR and DSME to examine LNG as a fuel and its use on an ultra-large containership design. Capital Ship Management was also the first company worldwide in 2014 to receive independent verification and certification by Lloyd’s for its business strategy in accordance with the “IMO Strategic Concept of a Sustainable Shipping Industry”.</w:t>
      </w:r>
    </w:p>
    <w:p>
      <w:pPr>
        <w:spacing w:after="0" w:line="193"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In July 2016 , the ‘Green Environmental Achievement Award” was presented, for a consecutive year, to Capital Ship Management by the Port of Long Beach in Southern California, U.S.A. This award is being granted to operators that called the Port of Long Beach in 2015 and demonstrated that 90% or more of all their vessel trips complied with the Green Flag – Voluntary Vessel Speed Reduction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2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requirements—whether imposed by the classification societies, international statutes (IMO, SOLAS (defined below), MARPOL, etc.), national and local administrations or industry—must be complied with in order to enable a shipping company to operate and a vessel to trade.</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so-called “oil majors companies”, such as BP, Chevron Corporation, Philips66 Inc., ExxonMobil Corporation, Royal Dutch Shell plc, Statoil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19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and performed by accredited OCIMF inspectors, resulting in a report being logged on SIRE, while the latter is a recent addition to the risk assessment tools used by the oil majors.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93"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Chevron Corporation, Philips66 Inc., ExxonMobil Corporation, Royal Dutch Shell plc, Statoil ASA, Tesoro Corporation and Total 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has entered into an agreement for the training of officers under ice conditions at a specialized training center in St. Petersburg, Russia.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4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Annual surveys, which are conducted for the hull and the machinery at intervals of 12 months from the date of commencement of the class period indicated on the certificate.</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Intermediate surveys, which are extended annual surveys and are typically conducted two and one-half years after commissioning and after each class 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166"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7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These processes are referred to as Continuous Hull Survey (“CHS”) and Continuous Machinery Survey. However, the CHS notation is not valid for vessels that are subject to Enhanced Survey Program surveys, as required by SOLAS.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Most vessels are also drydocked every two and a half years for inspection of the underwater parts and any deficiencies related to inspections need to be rectified either during the inspection or at a later stage if found to be appropriate according to its class. The classification surveyor in this case will issue a “recommendation” which must be rectified by the ship-owner within prescribed time limits. Class and SOLAS rules allow one of the bottom surveys (the intermediate one) in a five-year period to be carried out afloat instead of dry docking; however this is only applicable for certain ship types and for modern vessels.</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and BV.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78"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52" w:lineRule="exact"/>
        <w:rPr>
          <w:sz w:val="20"/>
          <w:szCs w:val="20"/>
          <w:color w:val="auto"/>
        </w:rPr>
      </w:pPr>
    </w:p>
    <w:p>
      <w:pPr>
        <w:ind w:left="1460" w:right="260" w:hanging="547"/>
        <w:spacing w:after="0" w:line="264"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86"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Increased value insurance augments hull and machinery insurance cover by providing a low-cost means of increasing the insured value of the vessels in the event of a total loss casualty.</w:t>
      </w:r>
    </w:p>
    <w:p>
      <w:pPr>
        <w:spacing w:after="0" w:line="75" w:lineRule="exact"/>
        <w:rPr>
          <w:rFonts w:ascii="Arial" w:cs="Arial" w:eastAsia="Arial" w:hAnsi="Arial"/>
          <w:sz w:val="18"/>
          <w:szCs w:val="18"/>
          <w:color w:val="auto"/>
        </w:rPr>
      </w:pPr>
    </w:p>
    <w:p>
      <w:pPr>
        <w:ind w:left="1460" w:right="140" w:hanging="547"/>
        <w:spacing w:after="0" w:line="259"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Protection and indemnity insurance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War Risks insurance covers such items as piracy and terrorism.</w:t>
      </w:r>
    </w:p>
    <w:p>
      <w:pPr>
        <w:spacing w:after="0" w:line="130"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Freight, Demurrage &amp; Defense cover is a form of legal costs insurance which responds as appropriate to the costs of prosecuting or defending commercial (usually uninsured operating) claims.</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addition, in relation to our vessel M/V Cape Agamemnon, we currently maintain insurance to protect us against the loss of income that would result from the charterer’s failure or refusal to pay hires under the time charter agreement. Under our revenue protection insurance, our insurer has agreed to pay us a maximum amount per day for each day of loss, defined as the difference between the hire contractually payable under the charter and the replacement hire earned or that could be earned by us during the policy period where, replacement hire is defined as the greater of the actual hire earned and the average hire rate that the vessel is capable of earning.</w:t>
      </w:r>
    </w:p>
    <w:p>
      <w:pPr>
        <w:spacing w:after="0" w:line="188"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2016:</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46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Sum Insured for All Vessels in Our</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3"/>
              </w:rPr>
              <w:t>Existing Fleet*</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Hull</w:t>
            </w:r>
          </w:p>
        </w:tc>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Machinery</w:t>
            </w:r>
          </w:p>
        </w:tc>
        <w:tc>
          <w:tcPr>
            <w:tcW w:w="4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$1.958 billion</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Increased Value (including Excess Liabilities)</w:t>
            </w: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w w:val="93"/>
              </w:rPr>
              <w:t>$510 million additional “total loss” coverage</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&amp; Machinery (War Risks)</w:t>
            </w:r>
          </w:p>
        </w:tc>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$2.468 billion</w:t>
            </w:r>
          </w:p>
        </w:tc>
        <w:tc>
          <w:tcPr>
            <w:tcW w:w="0" w:type="dxa"/>
            <w:vAlign w:val="bottom"/>
          </w:tcPr>
          <w:p>
            <w:pPr>
              <w:spacing w:after="0"/>
              <w:rPr>
                <w:sz w:val="1"/>
                <w:szCs w:val="1"/>
                <w:color w:val="auto"/>
              </w:rPr>
            </w:pP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Protection and Indemnity (P&amp;I) Pollution liability</w:t>
            </w:r>
          </w:p>
        </w:tc>
        <w:tc>
          <w:tcPr>
            <w:tcW w:w="4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claims</w:t>
            </w: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rPr>
              <w:t>Up to $1.0 billion per incident per vessel</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120" w:hanging="212"/>
        <w:spacing w:after="0" w:line="277"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of our bareboat charterers are responsible for the insurance on the vessels. The values attributed to those vessels are in line with the values agreed in the relevant charters.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Shipping Industry</w:t>
      </w:r>
    </w:p>
    <w:p>
      <w:pPr>
        <w:spacing w:after="0" w:line="12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seaborne transportation industry is a vital link in international trade, with ocean-going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changes in oil production, processing, and consumption; oil price levels; inventory policies of the major oil and oil trading companies; and strategic inventory policies of countries such as the United States, China and India. The drybulk trade is influenced by the underlying 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 Please read “Item 3.D: Risk Factors—</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relating to the tanker industry</w:t>
      </w:r>
      <w:r>
        <w:rPr>
          <w:rFonts w:ascii="Arial" w:cs="Arial" w:eastAsia="Arial" w:hAnsi="Arial"/>
          <w:sz w:val="17"/>
          <w:szCs w:val="17"/>
          <w:color w:val="auto"/>
        </w:rPr>
        <w:t>”.</w:t>
      </w:r>
    </w:p>
    <w:p>
      <w:pPr>
        <w:spacing w:after="0" w:line="18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Shipping demand, measured in tonne-miles, is a product of (a) the amount of cargo transported in ocean-going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 Tonnage of oil shipped is primarily a function of global oil consumption, which is driven by economic activity, as well as the long-term impact of oil prices on the location and related volume of oil production. Tonnage of oil shipped is also influenced by transportation alternatives (such as pipelines) and the output of refineries.</w:t>
      </w:r>
    </w:p>
    <w:p>
      <w:pPr>
        <w:spacing w:after="0" w:line="18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Demand for tankers and tonnage of oil shipped is primarily a function of global oil consumption, which is driven by economic activity, as well as the long-term impact of oil prices on the location and related volume of oil production. Global oil demand returned to limited growth in 2010 and has since been expanding at a modest pace, driven by a steady rise in Asia. According to the International Energy Agency, global oil demand for 2016 has been revised as of December 2016 to 96.3 mb/day compared to 94.9 mb/day during 2015.</w:t>
      </w:r>
    </w:p>
    <w:p>
      <w:pPr>
        <w:spacing w:after="0" w:line="18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Tonnage of oil shipped is also influenced by transportation alternatives (such as pipelines) and the output of refineries. Between 2012 and 2014, it is estimated that 18 refineries, predominantly in OECD countries, with combined throughput of approximately 2.4 mb/day, ceased operations as a result of weak margins. Europe has been hit the hardest as the region’s aging refineries have struggled to adjust to the lower demand and weaker profit margins that accompanied the economic slowdown. European refineries have also been hit by increased competition from newer refineries in the Middle East and Asia, which benefit from lower operating costs. It is estimated that refinery capacity in the Middle East and Asia combined increased by 2.3 mb/day during the years 2015 and 2016. In 2017, a notable number of additional refineries are expected to start operations in Asia. These new so-called super-refineries are expected to offset the lost refining capacity in the OECD countries, which could potentially have a positive impact on tonne-mile demand for product tankers as cargoes will be transported across longer distances.</w:t>
      </w:r>
    </w:p>
    <w:p>
      <w:pPr>
        <w:spacing w:after="0" w:line="179"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Growth in global container trade has been driven by growth in world merchandise trade, and the growing share in the containerized part thereof, along with the expansion in ‘containerization’ of new commodities and the trend towards globalization. Both world merchandise trade, and global container trade itself, have generally grown at a multiple of global GDP, with the expansion of the kinds of goods being transported in containers amongst the fastest growing parts of world trade overall. In general, although it has been relatively volatile from year to year, the multiple of global container trade growth over world economic growth appears to be gradually reducing, as some of the trends driving it begin to mature. Demand for containerships is expected to grow at rate of 4.0% for 2017 mainly due to increased demand in the Far East to Europe and Transpacific trades, as well as in most non- mainline trades and especially in the intra-Asia trade.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Competition for charters in all the trades our vessels trade in, tankers, drybulk and container,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experienced companies who may have greater resources or experience than we do when we try to re-charter our vessels, especially as a number of our vessels will come off charter during 2017. However, Capital Maritime is among a small number of ship management companies in the tanker sector that has undergone and successfully completed office assessments by seven major international oil companies in the last few years, including audits with BP, Chevron Corporation, Philips66 Inc., ExxonMobil Corporation, Royal Dutch Shell plc, Statoil ASA and Total S.A. We believe our ability to comply better with the rigorous standards of major oil companies relative to less qualified or experienced operators allows us to effectively compete for new charters.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Our operations and our status as an operator and manager of ships are extensively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Clean Water Act, as well as regulations adopted by the IMO and the European Union, air emission requirements, IMO/USCG / EPA pollution regulations and various Safety of Life at Sea (“SOLAS”) amendments, as well as other regulations described below. In addition, various jurisdictions either have or are adopting ballast water management conventions to prevent the introduction of non-indigenous invasive species. Compliance with these laws, regulations and other requirements could entail additional expense, including vessel modifications and implementation of additional operating procedures.</w:t>
      </w:r>
    </w:p>
    <w:p>
      <w:pPr>
        <w:spacing w:after="0" w:line="19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charterers, and particularly terminal operators and major oil companies which conduct frequent vessel inspections.</w:t>
      </w:r>
    </w:p>
    <w:p>
      <w:pPr>
        <w:spacing w:after="0" w:line="173"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United States Requirements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United States regulates the tanker industry with extensive environmental protection requirements and a liability regime addressing violations and the cleanup of oil spills, primarily through OPA 90, CERCLA and certain coastal state laws.</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phased out the use of single-hull tankers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USCG regulations limit OPA</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On November 19, 2015, USCG issued a final rule to raise these limits to the greater of $2,200/gross ton or</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$18.79 million. In addition, OPA 90 does not preempt state law and permits individual states to impose their own stricter liability regimes with regard to oil pollution incidents occurring within their boundaries. Certain coastal states have enacted additional pollution prevention, liability and response laws, many providing for unlimited liability. Bills are introduced periodically in the U.S. Congress to increase the limits of OPA liability for all vessels, including tanker vessels.</w:t>
      </w:r>
    </w:p>
    <w:p>
      <w:pPr>
        <w:spacing w:after="0" w:line="19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USCG, Certificates of Financial Responsibility, or COFRs, in the amount sufficient to meet the maximum aggregate liability under OPA 90 and CERCLA. All of our vessels that need COFRs have them.</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that we are in material compliance with OPA 90, CERCLA and all applicable state regulations in U.S. ports where our vessels call.</w:t>
      </w:r>
    </w:p>
    <w:p>
      <w:pPr>
        <w:spacing w:after="0" w:line="24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17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Administrative obligations, such as monitoring, recordkeeping and reporting requirements also apply. Implementation of the water treatment standards adopted by the USCG/EPA is required earlier than the implementations of equivalent standards agreed by the IMO. For trading in the U.S. waters, vessels are to be installed with ballast water treatment systems approved by the USCG at the first bottom survey after January 1, 2016. A number of BWTS technologies have already received Alternate Management System (“AMS”) extension approval, but to date none of the systems available in the market have received a USCG type BWTS approval certificate. We have applied to the USCG for AMS extensions for all of our vessels with a bottom survey within 2016, and will apply by year end for extensions for all vessels with due docking dates within 2017. So far, our applications for vessels with due docking dates within 2016 have been successful and extensions for these vessels have been granted until January 2018 by the USCG and EPA. Although further extensions may be granted if suitable USCG certified BWTS are not made available in due course, compliance with this requirement at a later date may impose substantial costs for retrofitting our vessels with BWTS or otherwise restrict our vessels from entering U.S. waters.</w:t>
      </w:r>
    </w:p>
    <w:p>
      <w:pPr>
        <w:spacing w:after="0" w:line="16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IMO designates areas extending 200 miles from the U.S. territorial sea baseline adjacent to the Atlantic/Gulf and Pacific coasts and the eight main Hawaiian Islands as Sulphur Emission Control Areas under amendments to the Annex VI of MARPOL (discussed below). In addition, regulatory initiatives to require cold- ironing (shore-based power while docked) are under consideration in a number of jurisdictions to reduce air emissions from docked ships. Compliance with these regulations entails significant capital expenditures or otherwise increases the costs of our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International Requirements</w:t>
      </w:r>
    </w:p>
    <w:p>
      <w:pPr>
        <w:spacing w:after="0" w:line="117" w:lineRule="exact"/>
        <w:rPr>
          <w:sz w:val="20"/>
          <w:szCs w:val="20"/>
          <w:color w:val="auto"/>
        </w:rPr>
      </w:pPr>
    </w:p>
    <w:p>
      <w:pPr>
        <w:ind w:right="520" w:firstLine="913"/>
        <w:spacing w:after="0" w:line="279" w:lineRule="auto"/>
        <w:rPr>
          <w:sz w:val="20"/>
          <w:szCs w:val="20"/>
          <w:color w:val="auto"/>
        </w:rPr>
      </w:pPr>
      <w:r>
        <w:rPr>
          <w:rFonts w:ascii="Arial" w:cs="Arial" w:eastAsia="Arial" w:hAnsi="Arial"/>
          <w:sz w:val="17"/>
          <w:szCs w:val="17"/>
          <w:color w:val="auto"/>
        </w:rPr>
        <w:t>In September 1997, the IMO adopted Annex VI to the International Convention for the Prevention of Pollution from Ships to address air pollution from ships. Annex VI sets limits on sulfur oxide and nitrogen oxide emissions from ship exhausts and prohibits deliberate emissions of ozone depleting substances, such as chlorofluorocarbons. Annex VI also includes a global cap on the sulfur content of fuel oil and allows for special sulphur emission control areas to be established with more stringent controls on sulfur emissions (“SECA areas”).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Amendments to Annex VI to the MARPOL address particulate matter, nitrogen oxide and sulfur oxide emissions. The revised Annex VI reduces air pollution from vessels by, among other things (i) implementing a progressive reduction of sulfur oxide emissions from ships, and (ii) establishing new tiers of stringent nitrogen oxide emissions standards for new marine engines, depending on their date of installation. The IMO confirmed in October 2016 that a global 0.5% sulphur cap on marine fuels will come into force on January 1, 2020, as agreed in amendments adopted in 2008 for Annex VI to the MARPOL. Annex VI sets progressively stricter regulations to control sulphur oxides (SOx) and nitrous oxides (NOx) emissions from ships, which present both environmental and health risks. The 0.5% sulphur cap marks a significant reduction from the current global sulphur cap of 3.5%, which came into effect on January 1, 2012. When the 2020 sulphur cap was decided upon in 2008, it was also agreed that a review should be undertaken by 2018 to assess whether there was sufficient compliant fuel available to meet the 2020 effective date, failing which, the effective date could be deferred to 2025. That review was completed in July 2016 by a consortium of consultants led by CE Delft, and submitted to the IMO’s Marine Environment Protection Committee (MEPC) during their 70th session. The review concluded that sufficient compliant fuel would be available to meet the new requirement. However, there have been competing studies, that hold the opposing view that refining capacity will not be sufficient in 2020, with an estimated 60-70% additional sulphur plant capacity required by 2020. There have also been questions as to how the sulphur cap will be enforced, as it is up to individual parties to MARPOL to enforce fines and sanctions.</w:t>
      </w:r>
    </w:p>
    <w:p>
      <w:pPr>
        <w:spacing w:after="0" w:line="188" w:lineRule="exact"/>
        <w:rPr>
          <w:sz w:val="20"/>
          <w:szCs w:val="20"/>
          <w:color w:val="auto"/>
        </w:rPr>
      </w:pPr>
    </w:p>
    <w:p>
      <w:pPr>
        <w:ind w:right="200" w:firstLine="913"/>
        <w:spacing w:after="0" w:line="290" w:lineRule="auto"/>
        <w:rPr>
          <w:sz w:val="20"/>
          <w:szCs w:val="20"/>
          <w:color w:val="auto"/>
        </w:rPr>
      </w:pPr>
      <w:r>
        <w:rPr>
          <w:rFonts w:ascii="Arial" w:cs="Arial" w:eastAsia="Arial" w:hAnsi="Arial"/>
          <w:sz w:val="16"/>
          <w:szCs w:val="16"/>
          <w:color w:val="auto"/>
        </w:rPr>
        <w:t>Shipowners can meet the new requirements by continuing to use fuel types which exceed the 0.5% sulphur limit and retrofitting an approved Exhaust Gas Cleaning System (also known as scrubbers) to remove sulphur from exhaust, which might require a substantial capital expenditure and prolonged offhire of the vessel during installation; or use petroleum fuels such as marine gasoil (MGO), which meet the 0.5% sulphur limit. According to Platts, the premium of MGO over 380 CST 3.5% bunker fuel in Rotterdam has averaged $270/mt over the last five years.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66"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Additionally, as of January 1, 2015, more stringent sulfur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and that our undelivered product tankers will be fitted with these emission control systems prior to their delivery. Nevertheless, as most existing vessels are not designed to operate on ultra-low sulfur distillate fuel continuously; we are introducing mitigating measures and or modifications enabling vessels to operate continuously within SECA areas. These mitigation measures and modifications may increase our operating expenses.</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SOLAS new requirements necessitate installation of ECDIS equipment (electronic charts) for some type of vessels at the 1st radio survey carried out after July 1, 2015. For container vessels, this requirement comes in force at the first radio survey after 1st July 2016. While some of our vessels are already fitted with ECDIS equipment requiring only minimal upgrades, a number of our vessels are not fitted with such equipment and additional expenditure might be incurred to comply with this regulation.</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88"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IMO.</w:t>
      </w:r>
    </w:p>
    <w:p>
      <w:pPr>
        <w:spacing w:after="0" w:line="16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93"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IMO regulations also require owners and operators of vessels to adopt Shipboard Marine Pollution Emergency Plans (“SMPEPs”). Periodic training and drills for response personnel and for vessels and their crews are required.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SMPEPs required for our vessels are in place.</w:t>
      </w:r>
    </w:p>
    <w:p>
      <w:pPr>
        <w:spacing w:after="0" w:line="225"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color w:val="auto"/>
        </w:rPr>
        <w:t>In addition, our operations are subject to compliance with the International Bulk Chemical Code (“IBCC”), as required by MARPOL and SOLAS for chemical tankers built after July 1, 1986, which provides ship design, construction and equipment requirements and other standards for the bulk transport of certain liquid chemicals. Under October 2004 amendments to the IBCC (implemented to meet recent revisions to SOLAS and Annex II</w:t>
      </w:r>
    </w:p>
    <w:p>
      <w:pPr>
        <w:spacing w:after="0" w:line="254" w:lineRule="auto"/>
        <w:rPr>
          <w:sz w:val="20"/>
          <w:szCs w:val="20"/>
          <w:color w:val="auto"/>
        </w:rPr>
      </w:pPr>
      <w:r>
        <w:rPr>
          <w:rFonts w:ascii="Arial" w:cs="Arial" w:eastAsia="Arial" w:hAnsi="Arial"/>
          <w:sz w:val="18"/>
          <w:szCs w:val="18"/>
          <w:color w:val="auto"/>
        </w:rPr>
        <w:t>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carriage requirements, etc.</w:t>
      </w:r>
    </w:p>
    <w:p>
      <w:pPr>
        <w:spacing w:after="0" w:line="19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MARPOL Annex II, applicable from January 1, 2016, requires the upgrade of oil discharge monitoring equipment (“ODME”) installed on all of our MR tankers certified for the carriage of biofuels. To permit carriage of biofuels on our MR tankers, we have placed orders for on-time upgrades of ODME. As such, we expect to incur additional expenditures for compliance.</w:t>
      </w:r>
    </w:p>
    <w:p>
      <w:pPr>
        <w:spacing w:after="0" w:line="18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MARPOL Annex I, applicable from January 1, 2016, requires stability instruments onboard our tankers to demonstrate compliance with damage stability calculations. All of our tankers already comply with this requirement, so no additional expenditures are expected for compliance with this amended regulation.</w:t>
      </w:r>
    </w:p>
    <w:p>
      <w:pPr>
        <w:spacing w:after="0" w:line="18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The International Convention on the Control of Harmful Anti-fouling Systems on Ships (the “Anti-fouling Convention”) prohibits the use of organotin compound coatings to prevent the attachment of mollusks and other sea life to the hulls of vessels. The Anti-fouling Convention applies to vessels constructed prior to January 1, 2003 that have not been in drydock since September 17,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Climate Change and Greenhouse Gas Regulation</w:t>
      </w:r>
    </w:p>
    <w:p>
      <w:pPr>
        <w:spacing w:after="0" w:line="11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Increasing concerns about climate change have resulted in a number of international, national and regional measures to limit greenhouse gas emissions and additional stricter measures can be expected in the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European Union also has indicated that it intends to propose an expansion of the existing European Union emissions trading scheme to include emissions of greenhouse gases from vessels. In addition, the EPA has begun regulating greenhouse gas emissions under the Clean Air Act and climate change initiatives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w:t>
      </w:r>
      <w:r>
        <w:rPr>
          <w:rFonts w:ascii="Arial" w:cs="Arial" w:eastAsia="Arial" w:hAnsi="Arial"/>
          <w:sz w:val="16"/>
          <w:szCs w:val="16"/>
          <w:b w:val="1"/>
          <w:bCs w:val="1"/>
          <w:i w:val="1"/>
          <w:iCs w:val="1"/>
          <w:color w:val="auto"/>
        </w:rPr>
        <w:t>.</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Disclosure of activities pursuant to Section 13(r) of the U.S. Securities Exchange Act of 1934</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Section 219 of the Iran Threat Reduction and Syria Human Rights Act of 2012 added Section 13(r) to the U.S. Securities Exchange Act of 1934, as amended (the “Exchange Act”). Section 13(r) requires an issuer to disclose whether it or any of its affiliates knowingly engaged in certain activities, transactions or dealings. Disclosure is required even where the activities, transactions or dealings are conducted in compliance with applicable law. Provided in this section is information concerning the activities of CPLP and its affiliates that occurred in 2016 and which CPLP believes may be required to be disclosed pursuant to Section 13(r) of the Exchange Act.</w:t>
      </w:r>
    </w:p>
    <w:p>
      <w:pPr>
        <w:spacing w:after="0" w:line="188"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In 2016, vessels owned by CPLP and chartered under time charter contracts by PCTC, a subsidiary of CMTC, our sponsor and the sole member of our General Partner, made the following port calls to Iran: five port calls to load crude oil, gas condensate or naphtha, three port calls to discharge gasoline and one port call to discharge vegetable oils. These port calls represented approximately 0.5% of the total port calls made by all the vessels owned by CPLP in 2016, and each of them occurred while the respective vessel was sublet under voyage charter by PCTC to a third-party sub-charterer under the instructions of such sub-charterer. In one instance, the sub-charterer of a vessel was the National Iranian Oil Company, a government-owned corporation under the direction of the Ministry of Petroleum of Iran. As the vessel owner, we earned revenues at the agreed daily charter rates from PCTC. PCTC in turn earned revenues at the agreed freight rate from the sub-charterers that employed the vessels.</w:t>
      </w:r>
    </w:p>
    <w:p>
      <w:pPr>
        <w:spacing w:after="0" w:line="178"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Further, in 2016, vessels owned by CMTC and chartered under voyage charter contracts by third-party charterers made the following port calls to Iran: ten port calls to load crude oil and ten port calls to load steel or sulphur products. These port calls represented 3.6% of the total port calls made by all the vessels owned by CMTC in 2016, and each of them occurred while the respective vessel was chartered out to a third-party charterer under the instructions of such charterer. As the vessel owner, CMTC earned revenues at the agreed freight rate from the charterers that employed the vessels.</w:t>
      </w:r>
    </w:p>
    <w:p>
      <w:pPr>
        <w:spacing w:after="0" w:line="154"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 which in 2016 did not include any payments for refueling or bunkers for the vessels making such port calls.</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do not believe that any of these transactions or activities are sanctionable. January 16, 2016 was “implementation day” under the Joint Comprehensive Plan of Action (JCPOA) among the P5+1 (China, France, Germany, Russia, the United Kingdom, and the United States), the European Union (EU), and Iran to ensure that Iran’s nuclear program will be exclusively peaceful, and the United States and the EU lifted nuclear-related sanctions on Iran. All activities, transactions and dealings reported in this section occurred after the implementation date of the JCPOA. CPLP and CMTC intend to continue to charter their respective vessels to charterers and sub-charterers, including, as the case may be, Iran-related parties, who may make, or may sub-let the vessels to sub-charterers who may make, port calls to Iran, so long as the activities continue to be permissible and not sanctionable under applicable U.S. and EU and other applicable laws.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172085</wp:posOffset>
            </wp:positionV>
            <wp:extent cx="5951855" cy="4827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51855" cy="482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2016.</w:t>
      </w:r>
    </w:p>
    <w:p>
      <w:pPr>
        <w:spacing w:after="0" w:line="315" w:lineRule="exact"/>
        <w:rPr>
          <w:sz w:val="20"/>
          <w:szCs w:val="20"/>
          <w:color w:val="auto"/>
        </w:rPr>
      </w:pPr>
    </w:p>
    <w:p>
      <w:pPr>
        <w:ind w:left="1920" w:hanging="440"/>
        <w:spacing w:after="0"/>
        <w:tabs>
          <w:tab w:leader="none" w:pos="19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Other than our vessels, we do not have any material property. For further details regarding our vessels, including any environmental issues that may affect our utilization of these assets, please read “Item 4B: Business Overview—Our Fleet” and “—Regulation”. Our obligations under our credit facilities are secured by all our vessels. For further details regarding our credit facilities, please read “Item 5B: Liquidity and Capital Resources—Borrowings —Our Credit Facilities”.</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right="460" w:firstLine="913"/>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audited consolidated Financial Statements for the years ended December 31, 2016, 2015, and 2014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316" w:lineRule="exact"/>
        <w:rPr>
          <w:sz w:val="20"/>
          <w:szCs w:val="20"/>
          <w:color w:val="auto"/>
        </w:rPr>
      </w:pPr>
    </w:p>
    <w:p>
      <w:pPr>
        <w:ind w:right="4140" w:firstLine="8"/>
        <w:spacing w:after="0" w:line="378" w:lineRule="auto"/>
        <w:tabs>
          <w:tab w:leader="none" w:pos="44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Discussion and Analysis of Financial Condition and Results of Operations Overview</w:t>
      </w:r>
    </w:p>
    <w:p>
      <w:pPr>
        <w:ind w:right="40" w:firstLine="913"/>
        <w:spacing w:after="0" w:line="273" w:lineRule="auto"/>
        <w:rPr>
          <w:sz w:val="20"/>
          <w:szCs w:val="20"/>
          <w:color w:val="auto"/>
        </w:rPr>
      </w:pPr>
      <w:r>
        <w:rPr>
          <w:rFonts w:ascii="Arial" w:cs="Arial" w:eastAsia="Arial" w:hAnsi="Arial"/>
          <w:sz w:val="17"/>
          <w:szCs w:val="17"/>
          <w:color w:val="auto"/>
        </w:rPr>
        <w:t>We are an international owner of tanker, container and drybulk vessels. We were organized in January 2007 by Capital Maritime, an international shipping company with a long history of operating and investing in the shipping market. Our fleet currently consists of 36 high specification vessels with an average age of approximately 7.4 years as of December 31, 2016. Our fleet is comprised of four Suezmax crude oil tankers (0.6 million dwt), 21 medium range product tankers (0.9 million dwt), ten post-panamax container carrier vessels (0.9 million dwt) and one Capesize bulk carrier (0.2 million dwt). Our vessels are capable of carrying a wide range of cargoes, including crude oil, refined oil products, such as gasoline, diesel, fuel oil and jet fuel, edible oils and certain chemicals, such as ethanol, as well as dry cargo and containerized goods.</w:t>
      </w:r>
    </w:p>
    <w:p>
      <w:pPr>
        <w:spacing w:after="0" w:line="178"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Our primary business objective is to pay a quarterly distribution per unit and increase our distributions over time, subject to shipping and charter market developments and our ability to obtain required financing and access financial markets.</w:t>
      </w:r>
    </w:p>
    <w:p>
      <w:pPr>
        <w:spacing w:after="0" w:line="17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We seek to rely on medium- to long-term, fixed-rate period charters and Capital Ship Management’s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intend to further evaluate potential opportunities to acquire both newly built and second-hand vessels from Capital Maritime or third parties (including, potentially, through the acquisition of, or combination with, other shipping businesses) in a prudent manner that is accretive to our unitholders and long-term distribution growth, subject to approval of our board of directors, overall market conditions and our ability to obtain required financing and access financial markets.</w:t>
      </w:r>
    </w:p>
    <w:p>
      <w:pPr>
        <w:spacing w:after="0" w:line="18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Consistent with this strategy, we currently have a right of first refusal to acquire five additional product tanker vessels from Capital Maritime, as further described in “Item 4A: History and Development of the Partnership—2015 Developments—Delivery of Dropdown Vessels”.</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generally rely on external financing sources, including bank borrowings and, depending on market conditions, the issuance of debt and equity securities, to fund the acquisition of new vessels. See “—B. Liquidity and Capital Resources” below.</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of December 31, 2016, the Marinakis family, including Evangelos M. Marinakis, our former chairman, may be deemed to beneficially own on a fully converted basis a 16.7% interest in us (18.5% on a non-fully converted basis), through, among others, Capital Maritime and Crude Carriers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We generate revenues by charging our customers for the use of our vessels. Historically, we have provided services to our customers under time or bareboat charter agreements. As of December 31, 2016, all of our vessels were either trading in the period market or were expected to commence period employment.</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Our vessels are currently under contracts with BP Shipping Limited, INSW, HMM, CSSA S.A. (Total S.A.), Cosco, Cargill, Repsol, Flopec, PIL, Petrobras, CMA CGM, Stena Bulk and Capital Maritime. In 2016, we re-chartered a total of ten vessels and expanded our customer base with the addition of PIL and Flopec.</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For the year ended December 31, 2016, HMM, Petrobras, CMA CGM and Capital Maritime accounted for 19%, 18%, 17% and 15% of our revenues, respectively. For the year ended December 31, 2015, Capital Maritime and HMM accounted for 29% and 21% of our revenues, respectively. For the year ended December 31, 2014, Capital Maritime, HMM and Maersk Line accounted for 38%, 24% and 12% of our revenues,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loss of, default by or restructuring of any significant customer or a substantial decline in the amount of services requested by a significant customer could harm our business, financial condition and results of operations. As our fleet expands, we seek to enter into charters with new charterers and aim to maintain a portfolio that is diverse from a customer, geographic and maturity perspective. For information on the risks arising from a concentration of counterparties, see “Item 3. Key Information—D. Risk Factors—Risks Related to Our Business and Operations—</w:t>
      </w:r>
      <w:r>
        <w:rPr>
          <w:rFonts w:ascii="Arial" w:cs="Arial" w:eastAsia="Arial" w:hAnsi="Arial"/>
          <w:sz w:val="16"/>
          <w:szCs w:val="16"/>
          <w:i w:val="1"/>
          <w:iCs w:val="1"/>
          <w:color w:val="auto"/>
        </w:rPr>
        <w:t>We currently derive all of our revenues from</w:t>
      </w:r>
      <w:r>
        <w:rPr>
          <w:rFonts w:ascii="Arial" w:cs="Arial" w:eastAsia="Arial" w:hAnsi="Arial"/>
          <w:sz w:val="16"/>
          <w:szCs w:val="16"/>
          <w:color w:val="auto"/>
        </w:rPr>
        <w:t xml:space="preserve"> </w:t>
      </w:r>
      <w:r>
        <w:rPr>
          <w:rFonts w:ascii="Arial" w:cs="Arial" w:eastAsia="Arial" w:hAnsi="Arial"/>
          <w:sz w:val="16"/>
          <w:szCs w:val="16"/>
          <w:i w:val="1"/>
          <w:iCs w:val="1"/>
          <w:color w:val="auto"/>
        </w:rPr>
        <w:t>a limited number of charterers and the loss of any charterer or charter or vessel could result in a significant loss of revenues and cash flow</w:t>
      </w:r>
      <w:r>
        <w:rPr>
          <w:rFonts w:ascii="Arial" w:cs="Arial" w:eastAsia="Arial" w:hAnsi="Arial"/>
          <w:sz w:val="16"/>
          <w:szCs w:val="16"/>
          <w:color w:val="auto"/>
        </w:rPr>
        <w:t>.”</w:t>
      </w:r>
    </w:p>
    <w:p>
      <w:pPr>
        <w:spacing w:after="0" w:line="158"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See also “Item 4B: Business Overview—Our Fleet”, “—Our Charters” and “Our Charters—Profit Sharing Arrangements” for additional information on our charters.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HMM Restructuring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HMM, the charterer of five of our container vessels and one of our largest counterparties in terms of revenue, completed a financial restructuring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July 2016. Our subsidiaries owning vessels under charter with HMM entered into a charter restructuring agreement with HMM on July 15, 2016.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provides for the reduction of the charter rate payable under the respective charter parties by 20% to $23,480 per day (from a gross daily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$29,350) for a three and a half year period starting in July 2016 and ending in December 2019. The total charter rate reduction for the charter reduction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approximately $37.0 million. The charter restructuring agreement further provides that at the end of the Charter Reduction Period, the charter rate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charter parties will be restored to the original gross daily rate of $29,350 until the expiry of each charter in 2024 and 2025. As compensation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charter rate reduction, we received approximately 4.4 million HMM common shares, which we sold on the Stock Market Division of the Korean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 aggregate consideration of $29.7 million in August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October 2016, we acquired the shares of the company owning the M/T Amor, an eco-type MR product tanker, with time charters attached expiring in October 2017 (at the earliest). We accounted for this transaction as an acquisition of a business based on the existence of an integrated set of activities (inputs and processes that generate outputs). Therefore, we recorded the identifiable assets acquired and liabilities assumed, consisting of the vessel, the time charter attached to the vessel and a term loan assumed on acquisition, in our financial statements at their fair values of $31.6 million, $1.1 million and $15.8 million, respectively.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February 2016, we acquired the shares of the company owning the M/V CMA CGM Magdalena, the last of the five vessels we agreed to acquire from Capital Maritime pursuant to the Master Vessel Acquisition Agreement (to which we refer herein as the Dropdown Vessels), with time charter attached expiring in January 2021 (at the earliest). We accounted for this transaction as an acquisition of an asset. As we estimated that the daily charter rate of the time charter attached to the vessel was above market rates as of the transaction completion date, we allocated the total consideration for this acquisition to the vessel cost $88.5 million and to the above market acquired charter $3.2 million.</w:t>
      </w:r>
    </w:p>
    <w:p>
      <w:pPr>
        <w:spacing w:after="0" w:line="188"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July 2014, we entered into a Master Vessel Acquisition Agreement with Capital Maritime, pursuant to which we agreed to acquire, subject to the satisfaction of various conditions precedent, the Dropdown Vessels for an aggregate purchase price of $311.5 million. As consideration for these vessel acquisitions at prices below current market value, we agreed to amend the partnership agreement to revise the target distributions to holders of our incentive distribution rights. In September 2014, we paid the amount of $30.2 million to Capital Maritime as an advance payment on the acquisition of the Dropdown Vessels. During 2015, we acquired four of the five Dropdown Vessels which we accounted for as acquisitions of assets. For more information, please read Note 5 (Fixed Assets) and Note 12 (Partners’ Capital) in our Financial Statements included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Developments and Outlook</w:t>
      </w:r>
    </w:p>
    <w:p>
      <w:pPr>
        <w:spacing w:after="0" w:line="117"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In 2016, the tanker charter market, where the majority of our fleet operates and where we expect the vast majority of our renewals will occur in the next couple of years, was overall weaker due to, among other factors, high oil inventories, lower oil demand growth compared to 2015 and increased supply of vessels. As a result, we secured employment for a number of our vessels at reduced rates on average in 2016.</w:t>
      </w:r>
    </w:p>
    <w:p>
      <w:pPr>
        <w:spacing w:after="0" w:line="16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2016, in the container market, certain key routes have seen a sharp slowdown in demand at a time of increased supply of container vessels, which has further depressed container charter rates and asset values. While all but two of our container vessels come up for re-chartering after 2020, we depend on the ability of vessel charterers, which have come under significant financial stress, to honor their commitments. For further information, see “Item 3.D Risks Factors—Risks Related to the Container Carrier Industry—</w:t>
      </w:r>
      <w:r>
        <w:rPr>
          <w:rFonts w:ascii="Arial" w:cs="Arial" w:eastAsia="Arial" w:hAnsi="Arial"/>
          <w:sz w:val="18"/>
          <w:szCs w:val="18"/>
          <w:i w:val="1"/>
          <w:iCs w:val="1"/>
          <w:color w:val="auto"/>
        </w:rPr>
        <w:t>If our container carrier vessel charterers do not fulfill their obligations to us, or if they</w:t>
      </w:r>
      <w:r>
        <w:rPr>
          <w:rFonts w:ascii="Arial" w:cs="Arial" w:eastAsia="Arial" w:hAnsi="Arial"/>
          <w:sz w:val="18"/>
          <w:szCs w:val="18"/>
          <w:color w:val="auto"/>
        </w:rPr>
        <w:t xml:space="preserve"> </w:t>
      </w:r>
      <w:r>
        <w:rPr>
          <w:rFonts w:ascii="Arial" w:cs="Arial" w:eastAsia="Arial" w:hAnsi="Arial"/>
          <w:sz w:val="18"/>
          <w:szCs w:val="18"/>
          <w:i w:val="1"/>
          <w:iCs w:val="1"/>
          <w:color w:val="auto"/>
        </w:rPr>
        <w:t>are unable to honor their obligations, our business, financial condition, results of operations, cash flow and ability to make cash distribution and service or refinance our debt can be adversely affected.</w:t>
      </w:r>
      <w:r>
        <w:rPr>
          <w:rFonts w:ascii="Arial" w:cs="Arial" w:eastAsia="Arial" w:hAnsi="Arial"/>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After reaching historical highs in mid-2008, charter hire rates for capesize drybulk carriers, such as the M/V Cape Agamemnon, have been declining and are currently close to historically low levels. The M/V Cape Agamemnon is currently deployed on a period time charter which is expected to expire on June 2020 (at the earliest). In the future, we may be forced to re-charter the M/V Cape Agamemnon pursuant to short-term time charters, and may be exposed to changes in the spot market and short-term charter rates for capesize drybulk carriers, all of which may affect our earnings and the value of the M/V Cape Agamemnon. For further information, see “Item 3.D Risks Factors—Risks Related to the Dry Bulk Industry—</w:t>
      </w:r>
      <w:r>
        <w:rPr>
          <w:rFonts w:ascii="Arial" w:cs="Arial" w:eastAsia="Arial" w:hAnsi="Arial"/>
          <w:sz w:val="17"/>
          <w:szCs w:val="17"/>
          <w:i w:val="1"/>
          <w:iCs w:val="1"/>
          <w:color w:val="auto"/>
        </w:rPr>
        <w:t>We are exposed to various risks in</w:t>
      </w:r>
      <w:r>
        <w:rPr>
          <w:rFonts w:ascii="Arial" w:cs="Arial" w:eastAsia="Arial" w:hAnsi="Arial"/>
          <w:sz w:val="17"/>
          <w:szCs w:val="17"/>
          <w:color w:val="auto"/>
        </w:rPr>
        <w:t xml:space="preserve"> </w:t>
      </w:r>
      <w:r>
        <w:rPr>
          <w:rFonts w:ascii="Arial" w:cs="Arial" w:eastAsia="Arial" w:hAnsi="Arial"/>
          <w:sz w:val="17"/>
          <w:szCs w:val="17"/>
          <w:i w:val="1"/>
          <w:iCs w:val="1"/>
          <w:color w:val="auto"/>
        </w:rPr>
        <w:t>the international drybulk shipping industry, which is cyclical and volatile.”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right="640" w:firstLine="913"/>
        <w:spacing w:after="0" w:line="308" w:lineRule="auto"/>
        <w:rPr>
          <w:sz w:val="20"/>
          <w:szCs w:val="20"/>
          <w:color w:val="auto"/>
        </w:rPr>
      </w:pPr>
      <w:r>
        <w:rPr>
          <w:rFonts w:ascii="Arial" w:cs="Arial" w:eastAsia="Arial" w:hAnsi="Arial"/>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4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 transportation of goods, including oil, oil products and dry and containerized goods, and overcapacity and deliveries of newly built vessels may affect the shipping industry in general and our business, financial condition, results of operations and cash flow.</w:t>
      </w:r>
    </w:p>
    <w:p>
      <w:pPr>
        <w:spacing w:after="0" w:line="171"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We are exposed to the tanker market to a significant extent as (a) the majority of our vessels are either crude or product tankers and (b) most of the charters that have expired over the previous 12 months or we expect will expire in the coming 12 months are product or crude tanker charters.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Some of the key factors that we expect may affect our business, future financial condition, results of operations and cash flow include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supply and demand for crude oil, oil products raw materials, dry cargo and containerized goods;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charter hire levels (under time and bareboat charters) and our ability to re-charter our vessels at competitive rates as their current charters expire;</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developments in vessel values, which might affect our ability to comply with certain covenants under our credit facilities and/or refinance our debt;</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refinance, at commercially acceptable terms, our indebtedness or, in the event we are not able to refinance our indebtedness for any reason, our obligation to make principal payments under our credit facilities;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ability to comply with the covenants in our credit facilities, including covenants relating to the maintenance of vessel value ratios;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w:t>
      </w:r>
    </w:p>
    <w:p>
      <w:pPr>
        <w:spacing w:after="0" w:line="130"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access to debt and equity, and the cost of such capital, required to acquire additional vessels and/or to implement our business strategy;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supply and orderbook of vessels, including tankers, container vessels and dry bulk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charters expire and our fleet expands;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comply with new maritime regulations and the more restrictive regulations for the transport of certain products and cargoes and the increased costs associated therewith;</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the full transition to a floating fee based on actual expenses for certain of our vessels;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 ;</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w:t>
      </w:r>
    </w:p>
    <w:p>
      <w:pPr>
        <w:spacing w:after="0" w:line="75"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in the spot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read “Item 3.D: Risk Factors” for a discussion of certain risks inherent in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131" w:lineRule="exact"/>
        <w:rPr>
          <w:sz w:val="20"/>
          <w:szCs w:val="20"/>
          <w:color w:val="auto"/>
        </w:rPr>
      </w:pPr>
    </w:p>
    <w:p>
      <w:pPr>
        <w:ind w:left="1460" w:right="140" w:hanging="547"/>
        <w:spacing w:after="0" w:line="273" w:lineRule="auto"/>
        <w:tabs>
          <w:tab w:leader="none" w:pos="14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Size of our Fleet. </w:t>
      </w:r>
      <w:r>
        <w:rPr>
          <w:rFonts w:ascii="Arial" w:cs="Arial" w:eastAsia="Arial" w:hAnsi="Arial"/>
          <w:sz w:val="17"/>
          <w:szCs w:val="17"/>
          <w:color w:val="auto"/>
        </w:rPr>
        <w:t>During 2015, we acquired four of the five Dropdown Vessels while we took delivery of the last Dropdown Vessel in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2016 and acquired an additional eco-type MR product tanker from Capital Maritime in October 2016. As our fleet grows or as we dispose of our vessels, our results of operations reflect the contribution to revenue of, and the expenses associated with, a varying number of vessels over time, which may affect the comparability of our results year-on-year. Please see “—Overview—Accounting for Acquisitions” for information on the accounting treatment of vessel acquisitions for the period under review and Note 1 (Basis of Presentation and General Information) to the Financial Statements included herein.</w:t>
      </w:r>
    </w:p>
    <w:p>
      <w:pPr>
        <w:spacing w:after="0" w:line="83" w:lineRule="exact"/>
        <w:rPr>
          <w:rFonts w:ascii="Arial" w:cs="Arial" w:eastAsia="Arial" w:hAnsi="Arial"/>
          <w:sz w:val="17"/>
          <w:szCs w:val="17"/>
          <w:color w:val="auto"/>
        </w:rPr>
      </w:pPr>
    </w:p>
    <w:p>
      <w:pPr>
        <w:ind w:left="1460" w:right="20" w:hanging="547"/>
        <w:spacing w:after="0" w:line="272" w:lineRule="auto"/>
        <w:tabs>
          <w:tab w:leader="none" w:pos="14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Management Structure and Operating Expenses</w:t>
      </w:r>
      <w:r>
        <w:rPr>
          <w:rFonts w:ascii="Arial" w:cs="Arial" w:eastAsia="Arial" w:hAnsi="Arial"/>
          <w:sz w:val="17"/>
          <w:szCs w:val="17"/>
          <w:color w:val="auto"/>
        </w:rPr>
        <w:t>. We have entered into three separate technical and commercial management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Capital Ship Management for the management of our fleet: the fixed fee management agreement, the floating fee management agreement and, with respect to the vessels acquired as part of the merger with Crude Carriers, the Crude Carriers management agreement. Each agreement has a different operating expenses structure. We expect that the five vessels in our fleet that are still managed under the fixed fee management agreement will over time transition to floating fee arrangements and that newly acquired vessels will also be managed under floating fee management arrangements. For information on our management agreements and the fees we pay to our Manager, please read “Item 4: Business Overview—Our Management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Our results of operations for the years ended December 31, 2016 and December 31, 2015 differ primarily due to the expansion of our fleet and the resulting increase in the average number of vessels.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On February 26 and October 24, 2016, we acquired the shares of the companies owning the M/V CMA CGM Magdalena and the M/T Amor, respectively. On March 31, June 10, June 30 and September 18, 2015, we acquired the shares of the companies owning the M/T Active, the M/V CMA CGM Amazon, the M/T Amadeus and the M/V CMA CGM Uruguay,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Total revenues, consisting of time, voyage and bareboat charter revenues, amounted to $241.6 million for the year ended December 31, 2016 compared to $220.3 million for the year ended December 31, 2015.</w:t>
      </w:r>
    </w:p>
    <w:p>
      <w:pPr>
        <w:spacing w:after="0" w:line="170"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Time, voyage and bareboat charter revenues are mainly comprised of the charter hires received from unaffiliated third-party customers and Capital Maritime, and are generally affected by the number of operating days, the average number of vessels in our fleet and the charter rates.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increase of $21.3 million was primarily attributable to the increase in vessel operating days as our average fleet size expanded by 2.9 vessels.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charter revenue was partially offset by the reduced rates we secured on average for a number of our vessels in 2016. Please read “Item 4B: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Overview—Our Fleet” and “—Our Charters” for information about the charters on our vessels, including daily charter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For the year ended December 31, 2016, revenues from unaffiliated charterers were $205.6 million compared to $156.6 million for the year ended December 31, 2015, while related party revenues were $36.0 million compared to $63.7 million for the year ended December 31, 2015. The decline in related party revenues was due to the reduction in the number of vessels chartered to Capital Maritime.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Voyage expenses amounted to $10.3 million for the year ended December 31, 2016, compared to $6.9 million for the year ended December 31, 2015. The $3.4 million increase in voyage expenses was primarily attributable to the expansion of our fleet, voyage expenses incurred by the M/T Arionas, which traded in the spot market from July to December 2016, bunkers consumed during idle periods and ballast voyages performed by certain of our vessels during the year relating primarily to their scheduled drydocking, as well as certain crew expenses of Brazilian crew we are required to employ pursuant to the time charter agreements we entered into with Petrobras and which are included in our voyage expenses.</w:t>
      </w:r>
    </w:p>
    <w:p>
      <w:pPr>
        <w:spacing w:after="0" w:line="173"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Voyage expenses primarily consist of bunkers, port expenses and commissions. Under time and bareboat charters, voyage expenses, except for commissions (which are paid by us), are paid for by the charterer (and not by us). Under voyage charters, all voyage expenses are paid for by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For the year ended December 31, 2016 our total vessel operating expenses amounted to $77.5 million compared to $70.3 million during the year ended December 31, 2015. The $7.2 million increase in total vessel operating expenses was primarily attributable to the increase in the average size of our fleet by 2.9 vessels during the year 2016 compared to the year 2015.</w:t>
      </w:r>
    </w:p>
    <w:p>
      <w:pPr>
        <w:spacing w:after="0" w:line="181" w:lineRule="exact"/>
        <w:rPr>
          <w:sz w:val="20"/>
          <w:szCs w:val="20"/>
          <w:color w:val="auto"/>
        </w:rPr>
      </w:pPr>
    </w:p>
    <w:p>
      <w:pPr>
        <w:ind w:right="440" w:firstLine="913"/>
        <w:spacing w:after="0" w:line="312" w:lineRule="auto"/>
        <w:rPr>
          <w:sz w:val="20"/>
          <w:szCs w:val="20"/>
          <w:color w:val="auto"/>
        </w:rPr>
      </w:pPr>
      <w:r>
        <w:rPr>
          <w:rFonts w:ascii="Arial" w:cs="Arial" w:eastAsia="Arial" w:hAnsi="Arial"/>
          <w:sz w:val="16"/>
          <w:szCs w:val="16"/>
          <w:color w:val="auto"/>
        </w:rPr>
        <w:t xml:space="preserve">Total vessel operating expenses for the year ended December 31, 2016 include expenses of $10.9 million, incurred under the management agreements we have with our Manager, compared to $11.7 million during the year ended December 31, 2015. See </w:t>
      </w:r>
      <w:r>
        <w:rPr>
          <w:rFonts w:ascii="Arial" w:cs="Arial" w:eastAsia="Arial" w:hAnsi="Arial"/>
          <w:sz w:val="16"/>
          <w:szCs w:val="16"/>
          <w:i w:val="1"/>
          <w:iCs w:val="1"/>
          <w:color w:val="auto"/>
        </w:rPr>
        <w:t>Note 10 (Voyage Expenses and Vessel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 the financial statements for information on the composition of our vessel operating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General and administrative expenses amounted to $6.3 million for the year ended December 31, 2016, compared to $6.6 million for the year ended December 31, 2015.</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General and administrative expenses include board of directors’ fees and expenses, audit and certain legal fees, and other fees related to the expenses of the publicly traded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Depreciation and amortization amounted to $71.9 million for the year ended December 31, 2016, compared to $62.7 million for the year ended December 31, 2015. The increase was due to the expansion of our fleet.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number of vessels in our fleet increases.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Total other expense, net for the year ended December 31, 2016 amounted to $23.2 million, compared to $18.4 million for the year ended December 31, 2015. The increase of $4.8 million mainly reflects the higher interest expense and finance costs of $24.3 million incurred during the year ended December 31, 2016, compared to $20.1 million during the year ended December 31, 2015, driven by an increase in the weighted average interest rate and principal amounts outstanding under our credit facilities.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weighted average interest rate on the loans outstanding under our credit facilities was 4.01% as of December 31, 2016 (as of December 31, 2015: 3.65%). Our total borrowings were $605.0 million as of December 31, 2016 (as of December 31, 2015: $571.6 million). Please read Note 6 (Long Term Debt) to the Financial Statements included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income for the year ended December 31, 2016 amounted to $52.5 million compared to $55.4 million for the year ended December 31, 2015.</w:t>
      </w:r>
    </w:p>
    <w:p>
      <w:pPr>
        <w:spacing w:after="0" w:line="24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For a list of factors which we believe are important to consider when evaluating our results, please refer to the discussion under “—Factors to Consider When Evaluating Our Results” and “—Factors Affecting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Results of operations for the years ended December 31, 2015 and December 31, 2014 differ primarily due to:</w:t>
      </w:r>
    </w:p>
    <w:p>
      <w:pPr>
        <w:spacing w:after="0" w:line="131" w:lineRule="exact"/>
        <w:rPr>
          <w:sz w:val="20"/>
          <w:szCs w:val="20"/>
          <w:color w:val="auto"/>
        </w:rPr>
      </w:pPr>
    </w:p>
    <w:p>
      <w:pPr>
        <w:ind w:left="1460" w:right="500" w:hanging="547"/>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increased number of vessels in our fleet translating into increased charter revenue for the year ended December 31, 2015, as we acquired four additional newly built vessels from Capital Maritime in 2015;</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increased charter rates on certain of our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increased number of vessels managed under our floating fee management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increased profit share earned by a number of our vessels; and</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higher special survey costs we incurred, as ten of our vessels underwent special surveys in 2015, whereas no surveys were completed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Time, voyage and bareboat charter revenues amounted to $220.3 million for the year ended December 31, 2015, compared to $192.8 million for the year ended December 31, 2014.</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The increase of $27.5 million was primarily attributable to the increase in vessel operating days as our average fleet size expanded by 2.1 vessels, increased charter rates as certain of our vessels were re-chartered at higher rates and the profit share earned by a number of our vessels.</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On the back of positive trends in the tanker charter market, we secured employment for a number of our vessels at increased rates and for longer durations in 2015. In particular, we redeployed 16 vessels for two-year or longer terms.</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For the year ended December 31, 2015, revenues from unaffiliated charterers were $156.6 million compared to $119.9 million for the year ended December 31, 2014, while related party revenues were $63.7 million compared to $72.9 million for the year ended December 31, 2014. The decline in related party revenues was due to the reduction in the number of vessels chartered to Capital Maritime.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Voyage expenses amounted to $6.9 million for the year ended December 31, 2015, compared to $6.2 million for the year ended December 31, 2014. The increase of $0.7 million was mainly attributable to bunkers consumption related to special surveys for certain of our vessels during 2015 as well as repositioning voyages or ballast legs performed by certain of our vessels prior to commencing their next period of employment.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For the year ended December 31, 2015 our total vessel operating expenses amounted to $70.3 million compared to $62.0 million during the year ended December 31, 2014. The $8.3 million increase in total vessel operating expenses was primarily attributable to the increase in the average size of our fleet, during the year ended December 31, 2015 compared to the year ended December 31, 2014, by 2.1 vessels, the increased number of vessels managed under our floating fee management agreement and additional operating expenses attributable to special survey costs, as ten of our vessels underwent their special survey during the year ended December 31, 2015 while we had no vessels conducting their special survey under the floating management agreement during the year ended December 31, 2014.</w:t>
      </w:r>
    </w:p>
    <w:p>
      <w:pPr>
        <w:spacing w:after="0" w:line="193" w:lineRule="exact"/>
        <w:rPr>
          <w:sz w:val="20"/>
          <w:szCs w:val="20"/>
          <w:color w:val="auto"/>
        </w:rPr>
      </w:pPr>
    </w:p>
    <w:p>
      <w:pPr>
        <w:ind w:right="440" w:firstLine="913"/>
        <w:spacing w:after="0" w:line="312" w:lineRule="auto"/>
        <w:rPr>
          <w:sz w:val="20"/>
          <w:szCs w:val="20"/>
          <w:color w:val="auto"/>
        </w:rPr>
      </w:pPr>
      <w:r>
        <w:rPr>
          <w:rFonts w:ascii="Arial" w:cs="Arial" w:eastAsia="Arial" w:hAnsi="Arial"/>
          <w:sz w:val="16"/>
          <w:szCs w:val="16"/>
          <w:color w:val="auto"/>
        </w:rPr>
        <w:t xml:space="preserve">Total vessel operating expenses for the year ended December 31, 2015 include expenses of $11.7 million, incurred under the management agreements we have with our Manager, compared to $13.3 million during the year ended December 31, 2014. See </w:t>
      </w:r>
      <w:r>
        <w:rPr>
          <w:rFonts w:ascii="Arial" w:cs="Arial" w:eastAsia="Arial" w:hAnsi="Arial"/>
          <w:sz w:val="16"/>
          <w:szCs w:val="16"/>
          <w:i w:val="1"/>
          <w:iCs w:val="1"/>
          <w:color w:val="auto"/>
        </w:rPr>
        <w:t>Note 10 (Voyage Expenses and Vessel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 the financial statements for information on the composition of our vessel operating expenses.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General and administrative expenses amounted to $6.6 million for the year ended December 31, 2015, compared to $6.3 million for the year ended December 31, 2014.</w:t>
      </w:r>
    </w:p>
    <w:p>
      <w:pPr>
        <w:spacing w:after="0" w:line="170"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General and administrative expenses include board of directors’ fees and expenses, audit fees, and other fees related to the expenses of the publicly traded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Depreciation and amortization of fixed assets amounted to $62.7 million for the year ended December 31, 2015, as compared to $57.5 million for the year ended December 31, 2014. This increase was in line with the increased average number of vessels in our fleet during 2015.</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is expected to increase if the number of vessels in our fleet increases.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Total other expense, net for the year ended December 31, 2015 amounted to $18.4 million, compared to $16.7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increase of $1.7 million mainly reflects the higher interest expense and finance costs of $20.1 million incurred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compared to $19.2 million during the year ended December 31, 2014, driven by an increase in the weighted average interest rate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credit facilities as a result of the higher Libor rate and the decrease in other income to $1.7 million compared to $2.5 million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due to a lower average cash balance, on which interest income is earned and compensation received from one of our charterers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of two of our vessels in 2014.</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income for the year ended December 31, 2015 amounted to $55.4 million compared to $44.0 million for the year ended December 31, 2014.</w:t>
      </w:r>
    </w:p>
    <w:p>
      <w:pPr>
        <w:spacing w:after="0" w:line="24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For a list of factors which we believe are important to consider when evaluating our results, please refer to the discussion under “—Factors to Consider When Evaluating Our Results” and “—Factors Affecting our Results of Operations”.</w:t>
      </w:r>
    </w:p>
    <w:p>
      <w:pPr>
        <w:spacing w:after="0" w:line="315" w:lineRule="exact"/>
        <w:rPr>
          <w:sz w:val="20"/>
          <w:szCs w:val="20"/>
          <w:color w:val="auto"/>
        </w:rPr>
      </w:pPr>
    </w:p>
    <w:p>
      <w:pPr>
        <w:ind w:left="1920" w:hanging="440"/>
        <w:spacing w:after="0"/>
        <w:tabs>
          <w:tab w:leader="none" w:pos="19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As of December 31, 2016, total cash and cash equivalents were $106.7 million, and restricted cash (under our credit facilities) amounted to $18.0 million. As of December 31, 2016, there were no undrawn amounts under the terms of our credit facilities.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Generally, our primary sources of funds have been cash from operations, bank borrowings and securities offerings.</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elsewhere in this Annual Report. See “Item 3. Key Information—D. Risk Factors”.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Because we distribute all of our available cash (a contractually defined term, generally referring to cash on hand at the end of each quarter after provision for reserves), we generally rely upon external financing sources, including bank borrowings and securities offerings, to fund replacement, expansion and investment capital expenditures, and to refinance or repay outstanding indebtedness under our credit facilities. Since 2011, our board of directors has elected not to provision cash reserves for estimated replacement capital expenditures.</w:t>
      </w:r>
    </w:p>
    <w:p>
      <w:pPr>
        <w:spacing w:after="0" w:line="187" w:lineRule="exact"/>
        <w:rPr>
          <w:sz w:val="20"/>
          <w:szCs w:val="20"/>
          <w:color w:val="auto"/>
        </w:rPr>
      </w:pPr>
    </w:p>
    <w:p>
      <w:pPr>
        <w:ind w:right="440" w:firstLine="913"/>
        <w:spacing w:after="0" w:line="312" w:lineRule="auto"/>
        <w:rPr>
          <w:sz w:val="20"/>
          <w:szCs w:val="20"/>
          <w:color w:val="auto"/>
        </w:rPr>
      </w:pPr>
      <w:r>
        <w:rPr>
          <w:rFonts w:ascii="Arial" w:cs="Arial" w:eastAsia="Arial" w:hAnsi="Arial"/>
          <w:sz w:val="16"/>
          <w:szCs w:val="16"/>
          <w:color w:val="auto"/>
        </w:rPr>
        <w:t>Therefore, our ability to maintain and grow our asset base, including through further dropdown opportunities from Capital Maritime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In April 2016, in the face of severely depressed trading prices for master limited partnerships, including us, a significant deterioration in our cost of capital and potential loss of revenue, our board of directors determined to protect our liquidity position by creating a capital reserve and setting distributions at a level that it believed to be sustainable and consistent with the proper conduct of our business. The capital reserve, to which we make quarterly allocations of approximately $14.6 million, is intended to address our principal amortization requirements under our credit facilities for the period from March 2016 to December 2018, of $177.1 million, excluding scheduled principal payments in relation to the 2015 credit facility. As of December 31, 2016, we had allocated an aggregate of US$58.6 million to the capital reserve.</w:t>
      </w:r>
    </w:p>
    <w:p>
      <w:pPr>
        <w:spacing w:after="0" w:line="178" w:lineRule="exact"/>
        <w:rPr>
          <w:sz w:val="20"/>
          <w:szCs w:val="20"/>
          <w:color w:val="auto"/>
        </w:rPr>
      </w:pPr>
    </w:p>
    <w:p>
      <w:pPr>
        <w:ind w:right="320" w:firstLine="913"/>
        <w:spacing w:after="0" w:line="297" w:lineRule="auto"/>
        <w:rPr>
          <w:sz w:val="20"/>
          <w:szCs w:val="20"/>
          <w:color w:val="auto"/>
        </w:rPr>
      </w:pPr>
      <w:r>
        <w:rPr>
          <w:rFonts w:ascii="Arial" w:cs="Arial" w:eastAsia="Arial" w:hAnsi="Arial"/>
          <w:sz w:val="16"/>
          <w:szCs w:val="16"/>
          <w:color w:val="auto"/>
        </w:rPr>
        <w:t>Principal amortization requirements in 2019 and 2020 when most of our credit facilities mature, total $275.4 million and $156.9 million, respectively. We anticipate refinancing any portion of our indebtedness that we do not fund through our capital reserve and internally generated cash flow. There can however be no assurance that we will be able to refinance our indebtedness on acceptable terms or at all. “Item 3. Key Information—D. Risk Factors—Risks Relating to Financing Activities—</w:t>
      </w:r>
      <w:r>
        <w:rPr>
          <w:rFonts w:ascii="Arial" w:cs="Arial" w:eastAsia="Arial" w:hAnsi="Arial"/>
          <w:sz w:val="16"/>
          <w:szCs w:val="16"/>
          <w:i w:val="1"/>
          <w:iCs w:val="1"/>
          <w:color w:val="auto"/>
        </w:rPr>
        <w:t>We have incurred significant indebtedness, which could adversely affect our ability to finance our</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refinance our existing indebtedness, pursue desirable business opportunities, successfully run our business or make cash distributions.</w:t>
      </w:r>
      <w:r>
        <w:rPr>
          <w:rFonts w:ascii="Arial" w:cs="Arial" w:eastAsia="Arial" w:hAnsi="Arial"/>
          <w:sz w:val="16"/>
          <w:szCs w:val="16"/>
          <w:color w:val="auto"/>
        </w:rPr>
        <w:t>”</w:t>
      </w:r>
    </w:p>
    <w:p>
      <w:pPr>
        <w:spacing w:after="0" w:line="158"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In September 2016, we entered into an equity distribution agreement with UBS. See above “Item 4A: History and Development of the Partnership—2016 Developments—At-the-market Offering</w:t>
      </w:r>
      <w:r>
        <w:rPr>
          <w:rFonts w:ascii="Arial" w:cs="Arial" w:eastAsia="Arial" w:hAnsi="Arial"/>
          <w:sz w:val="18"/>
          <w:szCs w:val="18"/>
          <w:i w:val="1"/>
          <w:iCs w:val="1"/>
          <w:color w:val="auto"/>
        </w:rPr>
        <w:t>”</w:t>
      </w:r>
      <w:r>
        <w:rPr>
          <w:rFonts w:ascii="Arial" w:cs="Arial" w:eastAsia="Arial" w:hAnsi="Arial"/>
          <w:sz w:val="18"/>
          <w:szCs w:val="18"/>
          <w:color w:val="auto"/>
        </w:rPr>
        <w:t>. For the period between the launch of the ATM offering and December 31, 2016, we issued 1,401,481 new common units translating into net proceeds of $4.5 million (before offering expenses).</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October 2016, we paid a small portion of the acquisition price of the M/T Amor through the issuance of 283,696 common units to Capital Maritime and assumed a term loan of $15.8 million. See also “Item 4A: History and Development of the Partnership—2016 Developments— Acquisition of the M/T Amor</w:t>
      </w:r>
      <w:r>
        <w:rPr>
          <w:rFonts w:ascii="Arial" w:cs="Arial" w:eastAsia="Arial" w:hAnsi="Arial"/>
          <w:sz w:val="18"/>
          <w:szCs w:val="18"/>
          <w:i w:val="1"/>
          <w:iCs w:val="1"/>
          <w:color w:val="auto"/>
        </w:rPr>
        <w:t>”.</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Subject to our ability to obtain required financing and access financial markets, we expect to continue to evaluate opportunities to acquire vessels and businesses. We currently have no capital commitments to purchase or build additional vessels and none of our vessels is scheduled to undergo its special survey during 2017.</w:t>
      </w:r>
    </w:p>
    <w:p>
      <w:pPr>
        <w:spacing w:after="0" w:line="18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Total partners’ capital as of December 31, 2016 amounted to $927.8 million compared to $937.8 million as of December 31, 2015, constituting a decrease of $10.0 million. The decrease primarily reflects $68.2 million of distributions declared and paid during the year ended December 31, 2016, partially offset by net income of $52.5 million, net proceeds of $4.6 million from the issuance of common units and equity compensation expense of $1.1 million.</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Considering the positive impact of the expansion of our asset base following the acquisition of the M/T Amor, our board of directors decided to approve an increase in our common unit quarterly distribution for the fourth quarter 2016 onwards to $0.08 per common unit. For information on the risks affecting the level of our distributions, see “Item 3. Key Information—D. Risk Factors—Risk Related to Our Business and Operations—</w:t>
      </w:r>
      <w:r>
        <w:rPr>
          <w:rFonts w:ascii="Arial" w:cs="Arial" w:eastAsia="Arial" w:hAnsi="Arial"/>
          <w:sz w:val="18"/>
          <w:szCs w:val="18"/>
          <w:i w:val="1"/>
          <w:iCs w:val="1"/>
          <w:color w:val="auto"/>
        </w:rPr>
        <w:t>We cannot assure you</w:t>
      </w:r>
      <w:r>
        <w:rPr>
          <w:rFonts w:ascii="Arial" w:cs="Arial" w:eastAsia="Arial" w:hAnsi="Arial"/>
          <w:sz w:val="18"/>
          <w:szCs w:val="18"/>
          <w:color w:val="auto"/>
        </w:rPr>
        <w:t xml:space="preserve"> </w:t>
      </w:r>
      <w:r>
        <w:rPr>
          <w:rFonts w:ascii="Arial" w:cs="Arial" w:eastAsia="Arial" w:hAnsi="Arial"/>
          <w:sz w:val="18"/>
          <w:szCs w:val="18"/>
          <w:i w:val="1"/>
          <w:iCs w:val="1"/>
          <w:color w:val="auto"/>
        </w:rPr>
        <w:t>that we will pay any distributions</w:t>
      </w:r>
      <w:r>
        <w:rPr>
          <w:rFonts w:ascii="Arial" w:cs="Arial" w:eastAsia="Arial" w:hAnsi="Arial"/>
          <w:sz w:val="18"/>
          <w:szCs w:val="18"/>
          <w:color w:val="auto"/>
        </w:rPr>
        <w:t>.”</w:t>
      </w:r>
    </w:p>
    <w:p>
      <w:pPr>
        <w:spacing w:after="0" w:line="187"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Notwithstanding the global economic downturn that occurred in the last several years and subject to shipping, charter and financial market developments, we believe that our working capital will be sufficient to meet our existing liquidity needs for at least the next 12 months.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below,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$155.1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gridSpan w:val="3"/>
          </w:tcPr>
          <w:p>
            <w:pPr>
              <w:ind w:left="1640"/>
              <w:spacing w:after="0"/>
              <w:rPr>
                <w:sz w:val="20"/>
                <w:szCs w:val="20"/>
                <w:color w:val="auto"/>
              </w:rPr>
            </w:pPr>
            <w:r>
              <w:rPr>
                <w:rFonts w:ascii="Arial" w:cs="Arial" w:eastAsia="Arial" w:hAnsi="Arial"/>
                <w:sz w:val="18"/>
                <w:szCs w:val="18"/>
                <w:color w:val="auto"/>
              </w:rPr>
              <w:t>$ (91.8)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54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 (46.8)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Net cash provided by operating activities increased to $155.1 million for the year ended December 31, 2016, compared to $134.2 million for the year ended December 31, 2015. The increase of $20.9 million was attributable to the increase by $7.3 million in cash from operations before changes to our operating assets and liabilities, mainly due to the expansion of our fleet, and the positive effect of the change in our operating assets and liabilities between the two periods amounting to $15.1 million, primarily due to the proceeds from the sale of the HMM common shares (see “Overview—Disposal of HMM shares”) partially offset by the increase in the amounts reimbursed by us to our Manager for expenses paid by our Manager on our behalf. The increase in cash provided by operating activities was also partially offset by a $1.6 million increase in drydocking costs paid during the year ended December 31, 2016 compared to the year ended December 31,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Net cash provided by operating activities increased to $134.2 million for the year ended December 31, 2015, compared to $125.3 million for the year ended December 31, 2014. The increase of $8.9 million was attributable to the increase by $15.6 million in cash from operations before changes to our operating assets and liabilities, mainly due to the expansion of our fleet, partly offset by the negative effect of the change in our operating assets and liabilities between the two periods amounting to $5.2 million. The increase in cash provided by operating activities was also partially offset by a $1.5 million increase in drydocking costs paid during the year ended December 31, 2015 compared to the year ended December 31, 2014.</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For an explanation of why our historical net cash provided by operating activities is not indicative of net cash provided by operating activities to be expected in future periods, please refer to the discussion under “—Factors to Consider When Evaluating Our Results” and “—Factors Affecting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used in investing activities is used primarily for vessel acquisitions.</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Net cash used in investing activities for the year ended December 31, 2016 amounted to $91.8 million compared to $209.9 million during the year ended December 31, 2015. The decrease of $118.1 million in net cash flows used in investing activities was primarily attributable to the lower number of vessels acquired in the year ended December 31, 2016 compared to the year ended December 31, 2015. We paid $207.7 million for the acquisition of the shares of four vessel-owning companies during the year ended December 31, 2015, compared to $89.6 million for the acquisition of the shares of two vessel-owning companies during the year ended December 31, 2016. Following the acquisition of a lower number of vessels during the year ended December 31, 2016, restricted cash increased by $1.0 million compared to an increase of $2.0 million during the year ended December 31, 2015. Cash consideration paid for vessels improvements for the year ended December 31, 2016 increased by $1.0 million compared to the year ended December 31, 2015.</w:t>
      </w:r>
    </w:p>
    <w:p>
      <w:pPr>
        <w:spacing w:after="0" w:line="167"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Net cash used in investing activities for the year ended December 31, 2015 amounted to $209.9 million compared to $30.3 million during the year ended December 31, 2014. The increase of $179.6 million in net cash flows used in investing activities for the year ended December 31, 2015 was primarily attributable to the cash consideration of $207.7 million we paid for the acquisition of the shares of four vessel-owning companies during the year 2015, compared to an advance payment of $30.2 million we made to Capital Maritime in connection with the Dropdown Vessels for the year ended December 31, 2014. Following the acquisition of four vessel-owning companies during the year ended December 31, 2015, restricted cash increased by $2.0 million compared to nil during the year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in)/Provided by Financing Activities</w:t>
      </w:r>
    </w:p>
    <w:p>
      <w:pPr>
        <w:spacing w:after="0" w:line="121"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Net cash used in financing activities for the year ended December 31, 2016, amounted to $46.8 million compared to net cash provided by financing activities for the year ended December 31, 2015 of $1.7 million. The decrease of $48.5 million was mainly attributable to the issuance of a lower number of common units which were sold at prevailing market prices and resulted in net proceeds (after offering expenses) of $3.8 million in the year ended December 31, 2016, compared to net proceeds from the issuance of common units of $132.6 million in the year ended December 31, 2015. In addition, proceeds from the incurrence of long-term debt to fund vessel acquisitions decreased by $80.0 million in the year ended December 31, 2016 compared to the year ended December, 31, 2015. Lower proceeds from the incurrence of debt were offset by a decrease of $103.9 million in debt principal amortization to $17.4 million in the year ended December 31, 2016 from $121.3 million in the year ended December 31, 2015, where we used part of the net proceeds from the issuance of common units to prepay debt. In addition, during the year ended December 31, 2016, distributions to our unit holders decreased by $54.6 million compared to the year ended December 31, 2015. See “Overview—Quarterly Cash Distributions on our Common Units.”</w:t>
      </w:r>
    </w:p>
    <w:p>
      <w:pPr>
        <w:spacing w:after="0" w:line="16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Net cash provided by financing activities for the year ended December 31, 2015, amounted to $1.7 million compared to $5.3 million for the year ended December 31, 2014. We issued a lower number of common units in the year ended December 31, 2015, resulting in net proceeds of $132.6 million after offering expenses compared to net proceeds of $173.5 million after offering expenses in the year ended December 31, 2014, out of which $60.0 million were used to repurchase 5,950,610 common units from Capital Maritime. During the year ended December 31, 2015, proceeds from the incurrence of debt were $115.0 million while we did not draw any amount under our credit facilities during the year ended December 31, 2014. Proceeds from the incurrence of long-term debt in the year ended December 31, 2015, were offset by principal payments in the amount of $121.3 million. Our distributions to our unit holders increased by $20.0 million in the year ended December 31, 2015, compared to the year ended December 31, 2014.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Our long-term third-party borrowings are reflected in our balance sheet as “Long-term debt, net” and as current liabilities in “Current portion of long-term debt, net.”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2016, our total borrowings were $605.0 million, consisting of: (i) $186.0 million outstanding under our 2007 credit facility;</w:t>
      </w:r>
    </w:p>
    <w:p>
      <w:pPr>
        <w:spacing w:after="0" w:line="46" w:lineRule="exact"/>
        <w:rPr>
          <w:sz w:val="20"/>
          <w:szCs w:val="20"/>
          <w:color w:val="auto"/>
        </w:rPr>
      </w:pPr>
    </w:p>
    <w:p>
      <w:pPr>
        <w:ind w:right="280" w:firstLine="8"/>
        <w:spacing w:after="0" w:line="323" w:lineRule="auto"/>
        <w:tabs>
          <w:tab w:leader="none" w:pos="2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$181.6 million outstanding under our 2008 credit facility; (iii) $14.0 million outstanding under our 2011 credit facility; (iv) $207.6 million outstanding under our 2013 credit facility and (v) $15.8 million outstanding under the 2015 credit facility that was originally arranged by Capital Maritime.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of December 31, 2015, total borrowings were $571.6 million consisting of: (i) $186.0 million outstanding under the 2007 credit facility;</w:t>
      </w:r>
    </w:p>
    <w:p>
      <w:pPr>
        <w:spacing w:after="0" w:line="35" w:lineRule="exact"/>
        <w:rPr>
          <w:sz w:val="20"/>
          <w:szCs w:val="20"/>
          <w:color w:val="auto"/>
        </w:rPr>
      </w:pPr>
    </w:p>
    <w:p>
      <w:pPr>
        <w:ind w:right="120" w:firstLine="8"/>
        <w:spacing w:after="0" w:line="255" w:lineRule="auto"/>
        <w:tabs>
          <w:tab w:leader="none" w:pos="2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$181.6 million outstanding under the 2008 credit facility; (iii) $14.0 million outstanding under the 2011 credit facility and (iv) $190.0 million under the 2013 credit facility. As of December 31, 2016, long-term debt was $564.5 million compared to $558.6 million as of December 31, 2015. The current portion of long-term debt as of December 31, 2016 was $40.5 million compared to $13.0 million as of December 31, 2015.</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2007 credit facility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March 2007, we entered into a loan agreement with a syndicate of financial institutions including HSH Nordbank AG for a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facility of up to $370.0 million for the financing of the acquisition cost, or part thereof, of up to 15 MR product tankers. Following the sale of the M/T Attikos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M/T Aristofanis during the first half of 2012, we repaid $20.5 million under this credit facility. During 2012, in connection with the issuance and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Class B Units, we prepaid $95.2 million and entered into an amendment which provides for the conversion of the 2007 credit facility into a term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deferral of scheduled amortization payments until March 2016 and the repayment of the facility in six equal consecutive quarterly installments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commencing in March 2016 plus a balloon payment due in June, 2017. In April 2015, this facility was further amended as a result of the prepayment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$64.9 million from our issuance and sale of 14,555,000 common units. This amendment provides for the deferral of scheduled amortization payments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2017 and the repayment of the facility in nine equal consecutive quarterly installments commencing in November 2017 plus a balloon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in December 2019. The interest margin of this facility currently is 3.0%.</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2008 credit facility</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March 2008, we entered into a loan agreement with a syndicate of financial institutions including HSH Nordbank AG for a non-amortizing credit facility of up to $350.0 million for the partial financing of vessel acquisitions by us. In September 2011, following the acquisition of Crude Carriers, we completed the refinancing of Crude Carrier’s outstanding debt of $134.6 million using this facility. In connection with the refinancing, the M/T Alexander the Great, the M/T Achilleas, the M/T Miltiadis M II, and the M/T Aias were added as collateral to the facility. In connection with the issuance and sale of our Class B Units, we prepaid $48.4 million and entered into an amendment which provided for the deferral of scheduled amortization payments until March 2016 and the repayment of the facility in nine equal consecutive quarterly installments commencing in March 2016 plus a balloon payment due in March 2018. In addition, an undrawn tranche of $52.5 million under the 2008 facility was cancelled. Following the disposal of the M/T Alexander the Great and the M/T Achilleas to Capital Maritime we prepaid an additional $5.2 million. The M/V Archimidis and the M/V Agamemnon replaced the M/T Alexander the Great and the M/T Achilleas as collateral under the facility. In March 2013 we drew the amount of $54.0 million from our 2008 facility in order to partly finance the acquisition of the M/V Hyundai Premium and the M/V Hyundai Paramount. This tranche of the 2008 facility was payable in 20 equal consecutive quarterly installments, beginning in June 2013, plus a balloon payment due in March 2018. In April 2015, this facility was further amended in connection with the prepayment of $46.0 million from our issuance and sale of 14,555,000 common units. This amendment provides for the deferral of scheduled amortization payments until November 2017 and the repayment of the facility in nine equal consecutive quarterly installments commencing in November 2017 plus a balloon payment due in December 2019. The interest margin of this facility is 3.0%.</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2011 credit facility</w:t>
      </w:r>
    </w:p>
    <w:p>
      <w:pPr>
        <w:spacing w:after="0" w:line="117" w:lineRule="exact"/>
        <w:rPr>
          <w:sz w:val="20"/>
          <w:szCs w:val="20"/>
          <w:color w:val="auto"/>
        </w:rPr>
      </w:pPr>
    </w:p>
    <w:p>
      <w:pPr>
        <w:ind w:right="220" w:firstLine="913"/>
        <w:spacing w:after="0" w:line="274" w:lineRule="auto"/>
        <w:rPr>
          <w:sz w:val="20"/>
          <w:szCs w:val="20"/>
          <w:color w:val="auto"/>
        </w:rPr>
      </w:pPr>
      <w:r>
        <w:rPr>
          <w:rFonts w:ascii="Arial" w:cs="Arial" w:eastAsia="Arial" w:hAnsi="Arial"/>
          <w:sz w:val="17"/>
          <w:szCs w:val="17"/>
          <w:color w:val="auto"/>
        </w:rPr>
        <w:t>In June 2011, we entered into a credit facility of up to $25.0 million with Credit Agricole Emporiki Bank to partially finance the acquisition of the company owning the M/V Cape Agamemnon from Capital Maritime. In connection with the issuance and sale of our Class B Units, we prepaid</w:t>
      </w:r>
    </w:p>
    <w:p>
      <w:pPr>
        <w:jc w:val="both"/>
        <w:ind w:right="140"/>
        <w:spacing w:after="0" w:line="255" w:lineRule="auto"/>
        <w:rPr>
          <w:sz w:val="20"/>
          <w:szCs w:val="20"/>
          <w:color w:val="auto"/>
        </w:rPr>
      </w:pPr>
      <w:r>
        <w:rPr>
          <w:rFonts w:ascii="Arial" w:cs="Arial" w:eastAsia="Arial" w:hAnsi="Arial"/>
          <w:sz w:val="18"/>
          <w:szCs w:val="18"/>
          <w:color w:val="auto"/>
        </w:rPr>
        <w:t>$6.0 million and entered into an amendment which provided for the deferral of scheduled amortization payments until March 2016 and the repayment of the facility in nine equal consecutive quarterly installments commencing in March 2016 plus a balloon payment due in March 2018. In April 2015, this facility was further amended as a result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prepayment of $5.0 million from our issuance and sale of 14,555,000 common units. This amendment provides for the deferral of scheduled amortization payments until December 2017 and the repayment of the facility in two equal consecutive quarterly installments commencing in December 2017 plus a balloon payment due in March 2018. The interest margin of this facility is 3.25%.</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2013 credit facility</w:t>
      </w:r>
    </w:p>
    <w:p>
      <w:pPr>
        <w:spacing w:after="0" w:line="117" w:lineRule="exact"/>
        <w:rPr>
          <w:sz w:val="20"/>
          <w:szCs w:val="20"/>
          <w:color w:val="auto"/>
        </w:rPr>
      </w:pPr>
    </w:p>
    <w:p>
      <w:pPr>
        <w:ind w:right="420" w:firstLine="913"/>
        <w:spacing w:after="0" w:line="291" w:lineRule="auto"/>
        <w:rPr>
          <w:sz w:val="20"/>
          <w:szCs w:val="20"/>
          <w:color w:val="auto"/>
        </w:rPr>
      </w:pPr>
      <w:r>
        <w:rPr>
          <w:rFonts w:ascii="Arial" w:cs="Arial" w:eastAsia="Arial" w:hAnsi="Arial"/>
          <w:sz w:val="16"/>
          <w:szCs w:val="16"/>
          <w:color w:val="auto"/>
        </w:rPr>
        <w:t>On September 6, 2013, we entered into a senior secured credit facility of up to $200.0 million led by ING Bank N.V. The facility was non-amortizing until March 2016, with a final maturity date in December 2020. This facility bears an interest margin of 3.50% and a commitment fee of</w:t>
      </w:r>
    </w:p>
    <w:p>
      <w:pPr>
        <w:ind w:right="160"/>
        <w:spacing w:after="0" w:line="252" w:lineRule="auto"/>
        <w:rPr>
          <w:sz w:val="20"/>
          <w:szCs w:val="20"/>
          <w:color w:val="auto"/>
        </w:rPr>
      </w:pPr>
      <w:r>
        <w:rPr>
          <w:rFonts w:ascii="Arial" w:cs="Arial" w:eastAsia="Arial" w:hAnsi="Arial"/>
          <w:sz w:val="18"/>
          <w:szCs w:val="18"/>
          <w:color w:val="auto"/>
        </w:rPr>
        <w:t>1.00%. The facility was available for the funding of up to 50% of the charter free value of modern product tankers and post-panamax container vessels. In September 2013, we drew $75.0 million from the Tranche A of this facility for the partial financing of three post-panamax container vessels. On December 27, 2013, the 2013 credit facility was amended to increase its size to up to $225.0 million. None of the other material terms of the credit facility were amended. During 2015, we drew $115.0 million from the Tranche B of this facility to partly finance the acquisition of four out of the five Dropdown Vessels and the remaining $35.0 million was drawn on February 23, 2016 to partly finance the acquisition of the fifth Dropdown Vessel. The balance of this facility as of December 31, 2016 will be repaid in 16 equal consecutive quarterly instalments starting in March 2017 plus a balloon payment due on its final maturity date in December 2020.</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2015 credit facility</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On October 24, 2016, following the acquisition of the M/T Amor we assumed a $15.8 million loan drawn under the 2015 credit facility arranged by Capital Maritime. This loan bears an interest margin of 2.50% and is repayable in 17 equal quarterly instalments starting in October 2018 plus a balloon payment due on its final maturity date in November 2022.</w:t>
      </w:r>
    </w:p>
    <w:p>
      <w:pPr>
        <w:spacing w:after="0" w:line="181"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All our credit facilities contain customary ship finance covenants, including restrictions as to changes in management and ownership of the mortgaged vessels, the incurrence of additional indebtedness, the mortgaging of vessels, the ratio of EBITDA to net interest expenses which shall be no less than 2:1, a minimum cash requirement of $0.5 million per vessel, as well as the ratio of net total indebtedness to the aggregate market value of the total fleet, which shall not exceed 0.725:1. Our credit facilities also contain a collateral maintenance requirement according to which the aggregate average fair market value of the collateral vessels under each facility must be no less than 120% (under the 2015 credit facility) or 125% (under our other credit facilities) of the aggregate outstanding amount under these facilities. Furthermore, the vessel owning companies may pay dividends or make distributions provided that no event of default has occurred and the payment of such dividend or distribution does not result in a breach of any of the financial covenants. Our credit facilities require the earnings, insurances and requisition compensation of the respective vessel or vessels to be assigned as collateral. Each also requires additional security, including pledge and charge on current account, corporate guarantee from each of the vessel owning companies and mortgage interest insurance.</w:t>
      </w:r>
    </w:p>
    <w:p>
      <w:pPr>
        <w:spacing w:after="0" w:line="17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obligations under our credit facilities are secured by first-priority mortgages covering our vessels and are guaranteed by each vessel owning company. Our credit facilities contain a “Market Disruption Clause,” which the lenders may unilaterally trigger, requiring us to compensate the lenders for any increases to their funding costs caused by disruptions to the market. For the years ended December 31, 2016, 2015, and 2014, we did not incur additional interest expense due to the “Market Disruption Clause”.</w:t>
      </w:r>
    </w:p>
    <w:p>
      <w:pPr>
        <w:spacing w:after="0" w:line="18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As of December 31, 2016, we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if any,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Any contemplated vessel acquisitions will have to be at levels that do not impair the required ratios set out above. The global economic downturn that occurred in the last several years has had an adverse effect on vessel values, and economic conditions remain fragile with significant uncertainty surrounding levels of recovery and long-term economic growth effects. If the estimated asset values of the vessels in our fleet decrease, we may be obligated to prepay part of our outstanding debt in order to remain in compliance with the relevant covenants in our credit facilities. A decline in the market value of our vessels could also affect our ability to refinance our credit facilities and/or limit our ability to obtain additional financing. A decrease of 10% in the aggregate fair market values of our vessels would not cause any violation of the total indebtedness to aggregate market value covenant contained in our credit facilities.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results of operations depend primarily on the charter hire rates that we are able to realize for our vessels, which depend on, among other things, the demand and supply dynamics characterizing the tanker, container and drybulk markets at any given time. For other trends affecting our business please see other discussions in “Item 5—Operating and Financial Review and Prospects—Management’s Discussion and Analysis of Financial Condition and Results of Operations”.</w:t>
      </w:r>
    </w:p>
    <w:p>
      <w:pPr>
        <w:spacing w:after="0" w:line="331" w:lineRule="exact"/>
        <w:rPr>
          <w:sz w:val="20"/>
          <w:szCs w:val="20"/>
          <w:color w:val="auto"/>
        </w:rPr>
      </w:pPr>
    </w:p>
    <w:p>
      <w:pPr>
        <w:ind w:left="1920" w:hanging="440"/>
        <w:spacing w:after="0"/>
        <w:tabs>
          <w:tab w:leader="none" w:pos="19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370" w:lineRule="exact"/>
        <w:rPr>
          <w:sz w:val="20"/>
          <w:szCs w:val="20"/>
          <w:color w:val="auto"/>
        </w:rPr>
      </w:pPr>
    </w:p>
    <w:p>
      <w:pPr>
        <w:ind w:left="1920" w:hanging="440"/>
        <w:spacing w:after="0"/>
        <w:tabs>
          <w:tab w:leader="none" w:pos="19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2016 (in 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Payment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Less than</w:t>
            </w: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$605,012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$40,534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$394,785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$158,210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(1)</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85,613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26,470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48,206</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w:t>
            </w:r>
            <w:r>
              <w:rPr>
                <w:rFonts w:ascii="Arial" w:cs="Arial" w:eastAsia="Arial" w:hAnsi="Arial"/>
                <w:sz w:val="15"/>
                <w:szCs w:val="15"/>
                <w:color w:val="auto"/>
              </w:rPr>
              <w:t>(2)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29,028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10,294</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13,056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719,653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77,298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456,047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174,304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5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our 2007, 2008, 2011, 2013 and 2015 credit facilities, interest has been estimated based on the LIBOR Bloomberg forward rates and the margins as of December 31, 2016 of 3%, 3%, 3.25%, 3.5% and 2.5%, respectively.</w:t>
      </w:r>
    </w:p>
    <w:p>
      <w:pPr>
        <w:spacing w:after="0" w:line="1" w:lineRule="exact"/>
        <w:rPr>
          <w:rFonts w:ascii="Arial" w:cs="Arial" w:eastAsia="Arial" w:hAnsi="Arial"/>
          <w:sz w:val="18"/>
          <w:szCs w:val="18"/>
          <w:color w:val="auto"/>
        </w:rPr>
      </w:pPr>
    </w:p>
    <w:p>
      <w:pPr>
        <w:ind w:left="460" w:right="240" w:hanging="452"/>
        <w:spacing w:after="0" w:line="300"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fees payable to Capital Ship Management represent fees for the provision of commercial and technical services such as crewing, repairs and maintenance, insurance, stores, spares and lubricants under our management agreements. Management fees under the floating fee and Crude Carriers management agreements have been increased annually based on the United States Consumer Price Index for November 2016. The amount of</w:t>
      </w:r>
    </w:p>
    <w:p>
      <w:pPr>
        <w:spacing w:after="0" w:line="1" w:lineRule="exact"/>
        <w:rPr>
          <w:rFonts w:ascii="Arial" w:cs="Arial" w:eastAsia="Arial" w:hAnsi="Arial"/>
          <w:sz w:val="15"/>
          <w:szCs w:val="15"/>
          <w:color w:val="auto"/>
        </w:rPr>
      </w:pPr>
    </w:p>
    <w:p>
      <w:pPr>
        <w:ind w:left="460" w:right="720"/>
        <w:spacing w:after="0" w:line="261" w:lineRule="auto"/>
        <w:rPr>
          <w:rFonts w:ascii="Arial" w:cs="Arial" w:eastAsia="Arial" w:hAnsi="Arial"/>
          <w:sz w:val="15"/>
          <w:szCs w:val="15"/>
          <w:color w:val="auto"/>
        </w:rPr>
      </w:pPr>
      <w:r>
        <w:rPr>
          <w:rFonts w:ascii="Arial" w:cs="Arial" w:eastAsia="Arial" w:hAnsi="Arial"/>
          <w:sz w:val="18"/>
          <w:szCs w:val="18"/>
          <w:color w:val="auto"/>
        </w:rPr>
        <w:t>$5.7 million for payments due between three and five years has been calculated on the basis of the agreed expiration dates of our management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7"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 included herein for more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2016 and 2015, as an impairment analysis, in which we made estimates and assumptions relating to determining the projected undiscounted net operating cash flows by considering the following:</w:t>
      </w:r>
    </w:p>
    <w:p>
      <w:pPr>
        <w:spacing w:after="0" w:line="83" w:lineRule="exact"/>
        <w:rPr>
          <w:sz w:val="20"/>
          <w:szCs w:val="20"/>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10-year average historical one-year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commercial and technical management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utilization rate of 99.0% based on the fleet’s historical performance;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131" w:lineRule="exact"/>
        <w:rPr>
          <w:sz w:val="20"/>
          <w:szCs w:val="20"/>
          <w:color w:val="auto"/>
        </w:rPr>
      </w:pPr>
    </w:p>
    <w:p>
      <w:pPr>
        <w:ind w:left="1460" w:right="16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460" w:right="180" w:hanging="547"/>
        <w:spacing w:after="0" w:line="264"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 We believe that the 10 year average historical Time Charter Equivalent is appropriate (or less than 10 years if appropriate data is not available) for the following reasons: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it reflects more accurately the earnings capacity of the type, specification, deadweight capacity and average age of our vessels;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it reflects the type of business concluded by us (period as opposed to spot);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it includes at least one market cycle;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respective data series are adequately populated;</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spacing w:after="0" w:line="75" w:lineRule="exact"/>
        <w:rPr>
          <w:rFonts w:ascii="Arial" w:cs="Arial" w:eastAsia="Arial" w:hAnsi="Arial"/>
          <w:sz w:val="18"/>
          <w:szCs w:val="18"/>
          <w:color w:val="auto"/>
        </w:rPr>
      </w:pPr>
    </w:p>
    <w:p>
      <w:pPr>
        <w:ind w:left="1460" w:right="60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our fleet and our expectations of future operating requirements;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2016 and 2015, we would begin recording impairment on the first vessel that will incur impairment by vessel type for time charter declines from their 10-year historical averages as follows:</w:t>
      </w:r>
    </w:p>
    <w:p>
      <w:pPr>
        <w:spacing w:after="0" w:line="203"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Percentage Decline from which</w:t>
      </w:r>
    </w:p>
    <w:p>
      <w:pPr>
        <w:ind w:left="6580"/>
        <w:spacing w:after="0" w:line="231" w:lineRule="auto"/>
        <w:rPr>
          <w:sz w:val="20"/>
          <w:szCs w:val="20"/>
          <w:color w:val="auto"/>
        </w:rPr>
      </w:pPr>
      <w:r>
        <w:rPr>
          <w:rFonts w:ascii="Arial" w:cs="Arial" w:eastAsia="Arial" w:hAnsi="Arial"/>
          <w:sz w:val="14"/>
          <w:szCs w:val="14"/>
          <w:color w:val="auto"/>
        </w:rPr>
        <w:t>Impairment would be Recorded</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color w:val="auto"/>
                <w:w w:val="90"/>
              </w:rPr>
              <w:t>Year ended December 31, 2016</w:t>
            </w:r>
          </w:p>
        </w:tc>
        <w:tc>
          <w:tcPr>
            <w:tcW w:w="230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color w:val="auto"/>
                <w:w w:val="91"/>
              </w:rPr>
              <w:t>Year ended December 31, 2015</w:t>
            </w:r>
          </w:p>
        </w:tc>
        <w:tc>
          <w:tcPr>
            <w:tcW w:w="20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330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24.6%</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59.6%</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40.2%</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45.1%</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40.1%</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r>
    </w:tbl>
    <w:p>
      <w:pPr>
        <w:spacing w:after="0" w:line="202"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As of December 31, 2016 and February 3, 2017, our current rates for time charters on average were above / (below) their 10-year historical averages as follows:</w:t>
      </w:r>
    </w:p>
    <w:p>
      <w:pPr>
        <w:spacing w:after="0" w:line="193" w:lineRule="exact"/>
        <w:rPr>
          <w:sz w:val="20"/>
          <w:szCs w:val="20"/>
          <w:color w:val="auto"/>
        </w:rPr>
      </w:pPr>
    </w:p>
    <w:p>
      <w:pPr>
        <w:jc w:val="center"/>
        <w:ind w:left="4520"/>
        <w:spacing w:after="0"/>
        <w:rPr>
          <w:sz w:val="20"/>
          <w:szCs w:val="20"/>
          <w:color w:val="auto"/>
        </w:rPr>
      </w:pPr>
      <w:r>
        <w:rPr>
          <w:rFonts w:ascii="Arial" w:cs="Arial" w:eastAsia="Arial" w:hAnsi="Arial"/>
          <w:sz w:val="14"/>
          <w:szCs w:val="14"/>
          <w:color w:val="auto"/>
        </w:rPr>
        <w:t>Time Charter Rates as Compared with 10-year</w:t>
      </w:r>
    </w:p>
    <w:p>
      <w:pPr>
        <w:jc w:val="center"/>
        <w:ind w:left="4520"/>
        <w:spacing w:after="0" w:line="231" w:lineRule="auto"/>
        <w:rPr>
          <w:sz w:val="20"/>
          <w:szCs w:val="20"/>
          <w:color w:val="auto"/>
        </w:rPr>
      </w:pPr>
      <w:r>
        <w:rPr>
          <w:rFonts w:ascii="Arial" w:cs="Arial" w:eastAsia="Arial" w:hAnsi="Arial"/>
          <w:sz w:val="14"/>
          <w:szCs w:val="14"/>
          <w:color w:val="auto"/>
        </w:rPr>
        <w:t>Historical Average (as percentage above/(below))</w:t>
      </w:r>
    </w:p>
    <w:tbl>
      <w:tblPr>
        <w:tblLayout w:type="fixed"/>
        <w:tblInd w:w="13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520" w:type="dxa"/>
            <w:vAlign w:val="bottom"/>
            <w:tcBorders>
              <w:top w:val="single" w:sz="8" w:color="auto"/>
            </w:tcBorders>
            <w:gridSpan w:val="2"/>
          </w:tcPr>
          <w:p>
            <w:pPr>
              <w:jc w:val="center"/>
              <w:ind w:right="1320"/>
              <w:spacing w:after="0" w:line="123" w:lineRule="exact"/>
              <w:rPr>
                <w:sz w:val="20"/>
                <w:szCs w:val="20"/>
                <w:color w:val="auto"/>
              </w:rPr>
            </w:pPr>
            <w:r>
              <w:rPr>
                <w:rFonts w:ascii="Arial" w:cs="Arial" w:eastAsia="Arial" w:hAnsi="Arial"/>
                <w:sz w:val="14"/>
                <w:szCs w:val="14"/>
                <w:color w:val="auto"/>
                <w:w w:val="93"/>
              </w:rPr>
              <w:t>As of December 31,</w:t>
            </w: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As of February 3,</w:t>
            </w:r>
          </w:p>
        </w:tc>
        <w:tc>
          <w:tcPr>
            <w:tcW w:w="2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CCEEFF"/>
            </w:tcBorders>
          </w:tcPr>
          <w:p>
            <w:pPr>
              <w:spacing w:after="0"/>
              <w:rPr>
                <w:sz w:val="14"/>
                <w:szCs w:val="14"/>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7"/>
              </w:rPr>
              <w:t>Vessel</w:t>
            </w:r>
          </w:p>
        </w:tc>
        <w:tc>
          <w:tcPr>
            <w:tcW w:w="4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520" w:type="dxa"/>
            <w:vAlign w:val="bottom"/>
            <w:gridSpan w:val="2"/>
          </w:tcPr>
          <w:p>
            <w:pPr>
              <w:jc w:val="right"/>
              <w:ind w:right="108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5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(12.4%)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520" w:type="dxa"/>
            <w:vAlign w:val="bottom"/>
            <w:gridSpan w:val="2"/>
          </w:tcPr>
          <w:p>
            <w:pPr>
              <w:jc w:val="right"/>
              <w:ind w:right="1140"/>
              <w:spacing w:after="0"/>
              <w:rPr>
                <w:sz w:val="20"/>
                <w:szCs w:val="20"/>
                <w:color w:val="auto"/>
              </w:rPr>
            </w:pPr>
            <w:r>
              <w:rPr>
                <w:rFonts w:ascii="Arial" w:cs="Arial" w:eastAsia="Arial" w:hAnsi="Arial"/>
                <w:sz w:val="18"/>
                <w:szCs w:val="18"/>
                <w:color w:val="auto"/>
              </w:rPr>
              <w:t>14.1%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5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520" w:type="dxa"/>
            <w:vAlign w:val="bottom"/>
            <w:gridSpan w:val="2"/>
          </w:tcPr>
          <w:p>
            <w:pPr>
              <w:jc w:val="right"/>
              <w:ind w:right="1080"/>
              <w:spacing w:after="0"/>
              <w:rPr>
                <w:sz w:val="20"/>
                <w:szCs w:val="20"/>
                <w:color w:val="auto"/>
              </w:rPr>
            </w:pPr>
            <w:r>
              <w:rPr>
                <w:rFonts w:ascii="Arial" w:cs="Arial" w:eastAsia="Arial" w:hAnsi="Arial"/>
                <w:sz w:val="18"/>
                <w:szCs w:val="18"/>
                <w:color w:val="auto"/>
              </w:rPr>
              <w:t>(69.2%)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5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2015.</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Please also read “Item 4B: Business Overview—Comparison of Possible Excess of Carrying Value Over Estimated Charter-Free Market Value of Certain Vessels” for additional information.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2(s) (Significant Accounting Policies—Recent Accounting Pronouncements) to our Financial Statements included herein.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board of directors consists of eight persons, including three persons who are designated by our General Partner in its sole discretion and five directors who are elected by the common unitholders.</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At our annual general meeting of unitholders held on July 13, 2016, Evangelos G. Bairactaris and Keith Forman were re-elected to act as Class III Directors until the Partnership’s 2019 annual meeting of limited partners.</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holders of the Class B Units have no right to vote for, elect or appoint any director, or to nominate any individual to stand for election or appointment as a director. However, if we fail to pay the minimum Class B Unit distribution for six or more quarters, the holders of the Class B Units will have the right to appoint a director to our board and, if such arrearages exist after March 1, 2018, to replace the directors appointed by our General Partner, in each case by the affirmative vote of the holders of a majority of the Class B Units, subject to exceptions and conditions contained in our partnership agreement.</w:t>
      </w:r>
    </w:p>
    <w:p>
      <w:pPr>
        <w:spacing w:after="0" w:line="188"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Gerasimos (Jerry) Kalogiratos, and its Chief Operating Officer, Mr. Gerasimos Ventouris allocate their time between managing our business and affairs and the business and affairs of Capital Maritime. The amount of time they allocate between our business and the businesses of Capital Maritime varies from time to time depending on various circumstances and needs of the businesses, such as the relative levels of strategic activities of the businesses.</w:t>
      </w:r>
    </w:p>
    <w:p>
      <w:pPr>
        <w:spacing w:after="0" w:line="17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Us—Our partnership agreement limits our General Partner’s and our directors’ fiduciary duties to our unitholders and restricts the remedies available to unitholders for actions taken by our General Partner or our directors” for a more detailed description of such limitations.</w:t>
      </w:r>
    </w:p>
    <w:p>
      <w:pPr>
        <w:spacing w:after="0" w:line="311" w:lineRule="exact"/>
        <w:rPr>
          <w:sz w:val="20"/>
          <w:szCs w:val="20"/>
          <w:color w:val="auto"/>
        </w:rPr>
      </w:pPr>
    </w:p>
    <w:p>
      <w:pPr>
        <w:ind w:left="1920" w:hanging="440"/>
        <w:spacing w:after="0"/>
        <w:tabs>
          <w:tab w:leader="none" w:pos="19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Set forth below are the names, ages and positions of our directors and director nominees and our General Partner’s executive officers as of January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6500" w:type="dxa"/>
            <w:vAlign w:val="bottom"/>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Ioannis E. Lazaridis</w:t>
            </w:r>
            <w:r>
              <w:rPr>
                <w:rFonts w:ascii="Arial" w:cs="Arial" w:eastAsia="Arial" w:hAnsi="Arial"/>
                <w:sz w:val="15"/>
                <w:szCs w:val="15"/>
                <w:color w:val="auto"/>
              </w:rPr>
              <w:t>(1)</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Gerasimos (Jerry) Kalogiratos</w:t>
            </w:r>
            <w:r>
              <w:rPr>
                <w:rFonts w:ascii="Arial" w:cs="Arial" w:eastAsia="Arial" w:hAnsi="Arial"/>
                <w:sz w:val="15"/>
                <w:szCs w:val="15"/>
                <w:color w:val="auto"/>
              </w:rPr>
              <w:t>(1)</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6500" w:type="dxa"/>
            <w:vAlign w:val="bottom"/>
          </w:tcPr>
          <w:p>
            <w:pPr>
              <w:ind w:left="140"/>
              <w:spacing w:after="0"/>
              <w:rPr>
                <w:sz w:val="20"/>
                <w:szCs w:val="20"/>
                <w:color w:val="auto"/>
              </w:rPr>
            </w:pPr>
            <w:r>
              <w:rPr>
                <w:rFonts w:ascii="Arial" w:cs="Arial" w:eastAsia="Arial" w:hAnsi="Arial"/>
                <w:sz w:val="18"/>
                <w:szCs w:val="18"/>
                <w:color w:val="auto"/>
                <w:w w:val="92"/>
              </w:rPr>
              <w:t>Director and Chief Executive Officer and Chief Financial Officer of our General Partner</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Gerasimos Ventouris</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6500" w:type="dxa"/>
            <w:vAlign w:val="bottom"/>
          </w:tcPr>
          <w:p>
            <w:pPr>
              <w:ind w:left="140"/>
              <w:spacing w:after="0"/>
              <w:rPr>
                <w:sz w:val="20"/>
                <w:szCs w:val="20"/>
                <w:color w:val="auto"/>
              </w:rPr>
            </w:pPr>
            <w:r>
              <w:rPr>
                <w:rFonts w:ascii="Arial" w:cs="Arial" w:eastAsia="Arial" w:hAnsi="Arial"/>
                <w:sz w:val="18"/>
                <w:szCs w:val="18"/>
                <w:color w:val="auto"/>
              </w:rPr>
              <w:t>Chief Operating Officer of our General Partner</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Nikolaos Syntichakis</w:t>
            </w:r>
            <w:r>
              <w:rPr>
                <w:rFonts w:ascii="Arial" w:cs="Arial" w:eastAsia="Arial" w:hAnsi="Arial"/>
                <w:sz w:val="15"/>
                <w:szCs w:val="15"/>
                <w:color w:val="auto"/>
              </w:rPr>
              <w:t>(1)</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Pierre de Demandolx-Dedons</w:t>
            </w:r>
            <w:r>
              <w:rPr>
                <w:rFonts w:ascii="Arial" w:cs="Arial" w:eastAsia="Arial" w:hAnsi="Arial"/>
                <w:sz w:val="15"/>
                <w:szCs w:val="15"/>
                <w:color w:val="auto"/>
              </w:rPr>
              <w:t>(2)</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Evangelos G. Bairactaris</w:t>
            </w:r>
            <w:r>
              <w:rPr>
                <w:rFonts w:ascii="Arial" w:cs="Arial" w:eastAsia="Arial" w:hAnsi="Arial"/>
                <w:sz w:val="15"/>
                <w:szCs w:val="15"/>
                <w:color w:val="auto"/>
              </w:rPr>
              <w:t>(4)</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 and Secretary</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6500" w:type="dxa"/>
            <w:vAlign w:val="bottom"/>
          </w:tcPr>
          <w:p>
            <w:pPr>
              <w:ind w:left="14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Class I director (term expires in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Class II director (term expires in 2018).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Class III director (term expires in 2019).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1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Director and Chairman of the Board.</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Mr. Lazaridis joined our board of directors on March 13, 2007 and served as the Chief Executive and Chief Financial Officer of our General Partner since its formation in January 2007 until September 8, 2014. Mr. Lazaridis was appointed as non-executive Chairman of the Board effective December 19, 2014. Mr. Lazaridis served as President of NYSE-listed Crude Carriers Corp., an affiliate of Capital Maritime, from March 2010 until its merger with us in September 2011, and also served as Capital Maritime’s Chief Financial Officer and as a director from its incorporation in March 2005. From 2004 to March 2005, Mr. Lazaridis was employed by our predecessor companies. From 1990 to 2004, Mr. Lazaridis was employed by Credit Agricole Indosuez Cheuvreux in London, Kleinwort Benson Securities and Norwich Union Investment Management in various positions related to equity sales and portfolio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(Jerry) Kalogiratos, Director and Chief Executive and Chief Financial Officer.</w:t>
      </w:r>
    </w:p>
    <w:p>
      <w:pPr>
        <w:spacing w:after="0" w:line="121" w:lineRule="exact"/>
        <w:rPr>
          <w:sz w:val="20"/>
          <w:szCs w:val="20"/>
          <w:color w:val="auto"/>
        </w:rPr>
      </w:pPr>
    </w:p>
    <w:p>
      <w:pPr>
        <w:jc w:val="both"/>
        <w:ind w:right="80" w:firstLine="913"/>
        <w:spacing w:after="0" w:line="272" w:lineRule="auto"/>
        <w:rPr>
          <w:sz w:val="20"/>
          <w:szCs w:val="20"/>
          <w:color w:val="auto"/>
        </w:rPr>
      </w:pPr>
      <w:r>
        <w:rPr>
          <w:rFonts w:ascii="Arial" w:cs="Arial" w:eastAsia="Arial" w:hAnsi="Arial"/>
          <w:sz w:val="17"/>
          <w:szCs w:val="17"/>
          <w:color w:val="auto"/>
        </w:rPr>
        <w:t>Mr. Kalogiratos’ appointment as the Chief Executive and Chief Financial Officer of our General Partner was announced on June 12, 2015.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11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de Demandolx-Dedons, Director.</w:t>
      </w:r>
    </w:p>
    <w:p>
      <w:pPr>
        <w:spacing w:after="0" w:line="12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Mr. de Demandolx-Dedons joined our board of directors on November 15, 2011 and served on our conflicts committee and our audit committee. Mr. de Demandolx-Dedons has been involved in the shipping industry in various capacities for over forty years and since 1997 has been primarily a shipping consultant. From 1984 to 1997, Mr. de Demandolx-Dedons was employed by Groupe WORMS &amp; Cie, a French financial, insurance and transportation company, where he held several positions in the organization, including Deputy General Manager of Cie Navale Worms (which became Compagnie Nationale De Navigation in 1986) and General Manager in charge of Finance—Tankers and Offshore, a position he held from 1991 to 1996. From 1986 to 2004, Mr. de Demandolx-Dedons was a member of the board of directors of UK P&amp;I Clubs. Prior to this involvement, from 1975 to 1984, Mr. de Demandolx-Dedons was active in the French Shipowners’ Association in Paris, serving as its Deputy General Manager from 1975 to 1977 and as its General Manager from 1977 to 1984. During this time he was active on the boards of ICS and ISF. From 1965 to 1975 he was a civil servant in the French Ports Authorities. He currently sits on a number of boards of directors both in Europe and the United States, including Seacor Holdings Inc., a company listed on the NYSE. Prior to joining our board of directors, Mr. de Demandolx-Dedons served as a director of Crude Carriers and Capital Maritime.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Bairactaris joined our board of directors on March 13, 2007 and has served as our Secretary since our formation in January 2007.</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Bairactaris is a Greek attorney at law and a member of the Piraeus Bar Association. Mr. Bairactaris has been a partner in Bairactaris &amp; Partners since 2000 and has acted as managing partner since 2003. He has regularly provided his professional services to our predecessor companies and many Greek and international shipping companies and banks. The law firm of Bairactaris &amp; Partners has provided, and may continue to provide, legal services to us and to Capital Maritime and its affiliates.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121"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Mr. Forman joined our board of directors on April 3, 2007 and serves on our conflicts committee and our audit committee. Mr. Forman was appointed President and Chief Executive Officer of Rentech, Inc. (NASDAQ: RTK) in December 2014. He was also appointed Chief Executive Officer of Rentech Nitrogen Partners (NYSE: RNF) at the same time. Previously Mr. Forman had served, since November of 2011, as an independent director of RNF. Rentech was the owner of the general partner of RNF, a publicly traded partnership engaged in the manufacture of fertilizers until it was merged into CVR Partners in April, 2016. CVR Partners (NYSE:UAN) is a manufacturer of fertilizers as well and Mr. Forman has served as a director of its general partner since the merger. Rentech remains the owner of subsidiaries engaged in the wood fiber industry in the United States, Canada, South America and the U.K. Mr. Forman was, until March 2010, a Partner and served as Chief Financial Officer of Crestwood Midstream Partners. Crestwood Midstream was a private equity backed investment partnership focused on making investments in the midstream energy market. Prior to his tenure at Crestwood, he was Senior Vice President, Finance for El Paso Corporation, a Vice President, of El Paso Field Services, and from 1992 to 2003 Chief Financial Officer of GulfTerra Energy Partners L.P., a publicly traded master limited partnership. Mr. Forman has served as a Senior Advisor to Industry Funds Management, an Australian based fund manager that invests in infrastructure projects worldwide, since May 2012. Mr. Forman resigned his position as a Director of Applied Consultants in September of 2016, a position he had held since November 2013 as the company was acquired by the private investment firm First Reserve.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Mr. Christacopoulos joined our board of directors on September 30, 2011, following our merger with NYSE-listed Crude Carriers, where he had served as a director since 2010 and he currently serves on our conflicts committee and our audit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Mr. Syntychakis joined our board of directors on June 30, 2015. Mr. Syntychakis, Managing Director of Capital Ship Management, joined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 Ship Management in January 2001 where he has served as Vetting Manager, Crew Manager and Operations Manager. From 2000 to 2001,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Syntychakis served as Fleet Operator of Delfi S.A. in Piraeus, Greece and from 1988 to 1999 he worked as the Chief Officer and DPA of Sougerka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Maritime also in Piraeus, Greece. Mr. Syntychakis has been involved in the shipping industry in various capacities for over 25 years and has also been closely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involved with vetting matters, serving on Intertanko’s Vetting Committee for several years.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Gerasimos Ventouris, Chief Operating Officer.</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Mr. Ventouris has been appointed as our Chief Operating Officer as of June 30, 2015. Mr. Ventouris has been the Chief Commercial Officer of our Manager since 2003 and brings more than 40 years of experience in the shipping industry. Mr. Ventouris started his career with Union Commercial Steamship, which was one of the most prominent ship management companies in Piraeus, Greece at the time, and ascended to the position of Operations and Chartering Manager and obtained considerable experience in all aspects of the management of various types of vessels. He then joined his family shipping business, which he led until 2000, overseeing the operations of a large fleet of bulk carriers, container general cargo and product tankers vessels, as well as the construction and sale and purchase of new vessels. Mr. Ventouris holds a bachelor’s degree in Economics from the University of Athens.</w:t>
      </w:r>
    </w:p>
    <w:p>
      <w:pPr>
        <w:spacing w:after="0" w:line="309" w:lineRule="exact"/>
        <w:rPr>
          <w:sz w:val="20"/>
          <w:szCs w:val="20"/>
          <w:color w:val="auto"/>
        </w:rPr>
      </w:pPr>
    </w:p>
    <w:p>
      <w:pPr>
        <w:ind w:left="1920" w:hanging="440"/>
        <w:spacing w:after="0"/>
        <w:tabs>
          <w:tab w:leader="none" w:pos="19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220" w:firstLine="913"/>
        <w:spacing w:after="0" w:line="272" w:lineRule="auto"/>
        <w:rPr>
          <w:sz w:val="20"/>
          <w:szCs w:val="20"/>
          <w:color w:val="auto"/>
        </w:rPr>
      </w:pPr>
      <w:r>
        <w:rPr>
          <w:rFonts w:ascii="Arial" w:cs="Arial" w:eastAsia="Arial" w:hAnsi="Arial"/>
          <w:sz w:val="17"/>
          <w:szCs w:val="17"/>
          <w:color w:val="auto"/>
        </w:rPr>
        <w:t>We and our General Partner were formed in January 2007. Prior to April 3, 2007, neither we nor our General Partner paid any compensation to our directors or our General Partner’s officers, nor accrued any obligations with respect to management incentive or retirement benefits for our directors or our General Partner’s officers. The compensation of our General Partner’s Chief Executive Officer and Chief Financial Officer, Mr. Kalogiratos, and our General Partner’s Chief Operating Officer, Mr. Ventouris,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300" w:firstLine="913"/>
        <w:spacing w:after="0" w:line="255" w:lineRule="auto"/>
        <w:rPr>
          <w:sz w:val="20"/>
          <w:szCs w:val="20"/>
          <w:color w:val="auto"/>
        </w:rPr>
      </w:pPr>
      <w:r>
        <w:rPr>
          <w:rFonts w:ascii="Arial" w:cs="Arial" w:eastAsia="Arial" w:hAnsi="Arial"/>
          <w:sz w:val="18"/>
          <w:szCs w:val="18"/>
          <w:color w:val="auto"/>
        </w:rPr>
        <w:t>Our directors receive compensation for their services as directors, as well as for serving in the role of committee chair, and have also received restricted units. Please read “Item 6E: Share Ownership—Omnibus Incentive Compensation Plan” for additional information. For the year ended December 31, 2016, our directors, including our chairman, received an aggregate amount of $0.6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Under separate service agreements entered into between our General Partner and each of its officers, if a change in control affecting us occurs, each of our General Partner’s officers may resign within six months of such change in control. There are no service agreements between any of the directors and us.</w:t>
      </w:r>
    </w:p>
    <w:p>
      <w:pPr>
        <w:spacing w:after="0" w:line="326"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During the year ended December 31, 2016, our board of directors held nine meetings.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our board of directors is composed of three or more independent directors, each of whom must meet</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independence standards of the Nasdaq Global Select Market, the SEC and any other applicable laws and regulations governing independence from time to time. The audit committee is currently comprised of directors Abel Rasterhoff (chair), Pierre de Demandolx-Dedons,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2016, on January 20, April 21, July 21 and October 20, 2016.</w:t>
      </w:r>
    </w:p>
    <w:p>
      <w:pPr>
        <w:spacing w:after="0" w:line="16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w:t>
      </w:r>
      <w:r>
        <w:rPr>
          <w:rFonts w:ascii="Arial" w:cs="Arial" w:eastAsia="Arial" w:hAnsi="Arial"/>
          <w:sz w:val="17"/>
          <w:szCs w:val="17"/>
          <w:i w:val="1"/>
          <w:iCs w:val="1"/>
          <w:color w:val="auto"/>
        </w:rPr>
        <w:t xml:space="preserve"> </w:t>
      </w:r>
      <w:r>
        <w:rPr>
          <w:rFonts w:ascii="Arial" w:cs="Arial" w:eastAsia="Arial" w:hAnsi="Arial"/>
          <w:sz w:val="17"/>
          <w:szCs w:val="17"/>
          <w:color w:val="auto"/>
        </w:rPr>
        <w:t>Keith Forman (chair), Abel Rasterhoff, Pierre de Demandolx-Dedons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eleven times during the year ended December 31, 2016, on January 1, June 24, July 27, August 29, August 30, September 5, September 7, October 6, October 13, October 19 and December 16.</w:t>
      </w:r>
    </w:p>
    <w:p>
      <w:pPr>
        <w:spacing w:after="0" w:line="326" w:lineRule="exact"/>
        <w:rPr>
          <w:sz w:val="20"/>
          <w:szCs w:val="20"/>
          <w:color w:val="auto"/>
        </w:rPr>
      </w:pPr>
    </w:p>
    <w:p>
      <w:pPr>
        <w:ind w:left="1920" w:hanging="440"/>
        <w:spacing w:after="0"/>
        <w:tabs>
          <w:tab w:leader="none" w:pos="19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employees of affiliates of Capital Maritime.</w:t>
      </w:r>
    </w:p>
    <w:p>
      <w:pPr>
        <w:spacing w:after="0" w:line="326" w:lineRule="exact"/>
        <w:rPr>
          <w:sz w:val="20"/>
          <w:szCs w:val="20"/>
          <w:color w:val="auto"/>
        </w:rPr>
      </w:pPr>
    </w:p>
    <w:p>
      <w:pPr>
        <w:ind w:left="1920" w:hanging="440"/>
        <w:spacing w:after="0"/>
        <w:tabs>
          <w:tab w:leader="none" w:pos="19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2016:</w:t>
      </w:r>
    </w:p>
    <w:p>
      <w:pPr>
        <w:spacing w:after="0" w:line="131" w:lineRule="exact"/>
        <w:rPr>
          <w:sz w:val="20"/>
          <w:szCs w:val="20"/>
          <w:color w:val="auto"/>
        </w:rPr>
      </w:pPr>
    </w:p>
    <w:p>
      <w:pPr>
        <w:ind w:left="1460" w:right="380" w:hanging="547"/>
        <w:spacing w:after="0" w:line="277" w:lineRule="auto"/>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850,000 restricted common units had been issued under our Plan (described below) out of which 150,832 vested as of December 31, 2016;</w:t>
      </w:r>
    </w:p>
    <w:p>
      <w:pPr>
        <w:spacing w:after="0" w:line="75" w:lineRule="exact"/>
        <w:rPr>
          <w:rFonts w:ascii="Arial" w:cs="Arial" w:eastAsia="Arial" w:hAnsi="Arial"/>
          <w:sz w:val="18"/>
          <w:szCs w:val="18"/>
          <w:color w:val="auto"/>
        </w:rPr>
      </w:pPr>
    </w:p>
    <w:p>
      <w:pPr>
        <w:ind w:left="1460" w:right="20" w:hanging="547"/>
        <w:spacing w:after="0" w:line="293" w:lineRule="auto"/>
        <w:tabs>
          <w:tab w:leader="none" w:pos="1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and December 2015 to all members then-serving on our board of directors under the terms of our Plan (described below), which such members may be deemed to beneficially own, or to have beneficially owned. A portion of shares issued to our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70" w:lineRule="exact"/>
        <w:rPr>
          <w:rFonts w:ascii="Arial" w:cs="Arial" w:eastAsia="Arial" w:hAnsi="Arial"/>
          <w:sz w:val="16"/>
          <w:szCs w:val="16"/>
          <w:color w:val="auto"/>
        </w:rPr>
      </w:pPr>
    </w:p>
    <w:p>
      <w:pPr>
        <w:ind w:left="1460" w:hanging="547"/>
        <w:spacing w:after="0" w:line="264" w:lineRule="auto"/>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beneficial ownership of Capital Maritime and Crude Carriers Investments, may be deemed to beneficially own, or to have beneficially owned, all of our common units held by Capital Maritime and Crude Carriers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On April 29, 2008, our board of directors adopted an Omnibus Incentive Compensation Plan, also referred to as the Plan in this Annual Report, according to which we may issue a limited number of awards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July 22, 2010, our board of directors amended the Plan to increase the aggregate number of restricted units issuable under the Plan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800,000.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vested in equal annual installments over a three-year period.</w:t>
      </w:r>
    </w:p>
    <w:p>
      <w:pPr>
        <w:spacing w:after="0" w:line="15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On August 31, 2013, the units previously issued pursuant to the Plan fully vested and as of December 31, 2013, there were no incentive awards outstanding under the Plan.</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Following approval of our unitholders at our 2014 annual meeting, on August 21, 2014, our board of directors amended the Plan to increase the aggregate number of restricted units issuable under the Plan to 1,650,000 from 800,000.</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On December 23, 2015, the Partnership awarded 850,000 unvested units to all members of our board of directors, to officers of our General Partner, our Manager, Capital Maritime, and to employees of certain key affiliates and other eligible persons, with the majority vesting three years from the date of issuance.</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All awards issued under our Plan are conditional upon the grantee’s continued service until the applicable vesting date and all awards accrue distributions payable upon vesting. Please read Note 13 (Omnibus Incentive Compensation Plan) to our Financial Statements included herein for more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December 31, 2016, our partners’ capital consisted of 122,094,633 common units, of which 101,518,655 were owned by non-affiliated public unitholders, 12,983,333 Class B Units, no subordinated units and 2,439,989 general partner units. The Marinakis family, including Evangelos M. Marinakis, our former chairman, may be deemed to beneficially own on a fully converted basis a 16.7% interest in us (18.5% on a non-fully converted basis), through, among others, Capital Maritime, which may be deemed to beneficially own a 14.3% interest in us, including 17,291,768 common units and a 1.8% interest in us (2% on a non-fully converted basis) through its ownership of our General Partner, and Crude Carriers Investments, which may be deemed to beneficially own a 2.4% interest in us.</w:t>
      </w:r>
    </w:p>
    <w:p>
      <w:pPr>
        <w:spacing w:after="0" w:line="33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jc w:val="both"/>
        <w:ind w:right="200" w:firstLine="913"/>
        <w:spacing w:after="0" w:line="302" w:lineRule="auto"/>
        <w:rPr>
          <w:sz w:val="20"/>
          <w:szCs w:val="20"/>
          <w:color w:val="auto"/>
        </w:rPr>
      </w:pPr>
      <w:r>
        <w:rPr>
          <w:rFonts w:ascii="Arial" w:cs="Arial" w:eastAsia="Arial" w:hAnsi="Arial"/>
          <w:sz w:val="16"/>
          <w:szCs w:val="16"/>
          <w:color w:val="auto"/>
        </w:rPr>
        <w:t>The following table sets forth as of the date hereof,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120" w:type="dxa"/>
            <w:vAlign w:val="bottom"/>
            <w:vMerge w:val="restart"/>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1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Units Owned</w:t>
            </w:r>
          </w:p>
        </w:tc>
        <w:tc>
          <w:tcPr>
            <w:tcW w:w="8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5"/>
              </w:rPr>
              <w:t>Capital Maritime</w:t>
            </w:r>
            <w:r>
              <w:rPr>
                <w:rFonts w:ascii="Arial" w:cs="Arial" w:eastAsia="Arial" w:hAnsi="Arial"/>
                <w:sz w:val="15"/>
                <w:szCs w:val="15"/>
                <w:color w:val="auto"/>
                <w:w w:val="95"/>
              </w:rPr>
              <w:t>(1)(2)</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17,291,768</w:t>
            </w:r>
          </w:p>
        </w:tc>
        <w:tc>
          <w:tcPr>
            <w:tcW w:w="8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Crude Carriers Investments</w:t>
            </w:r>
            <w:r>
              <w:rPr>
                <w:rFonts w:ascii="Arial" w:cs="Arial" w:eastAsia="Arial" w:hAnsi="Arial"/>
                <w:sz w:val="15"/>
                <w:szCs w:val="15"/>
                <w:color w:val="auto"/>
              </w:rPr>
              <w:t>(2)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3,284,210</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 executive officers and directors as a group (8 persons)</w:t>
            </w:r>
            <w:r>
              <w:rPr>
                <w:rFonts w:ascii="Arial" w:cs="Arial" w:eastAsia="Arial" w:hAnsi="Arial"/>
                <w:sz w:val="15"/>
                <w:szCs w:val="15"/>
                <w:color w:val="auto"/>
                <w:w w:val="98"/>
              </w:rPr>
              <w:t>(3)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Excludes the 2% general partner interest (1.8% on a fully converted basis) held by our General Partner, a wholly owned subsidiary of Capital Maritime.</w:t>
      </w:r>
    </w:p>
    <w:p>
      <w:pPr>
        <w:spacing w:after="0" w:line="46" w:lineRule="exact"/>
        <w:rPr>
          <w:rFonts w:ascii="Arial" w:cs="Arial" w:eastAsia="Arial" w:hAnsi="Arial"/>
          <w:sz w:val="16"/>
          <w:szCs w:val="16"/>
          <w:color w:val="auto"/>
        </w:rPr>
      </w:pPr>
    </w:p>
    <w:p>
      <w:pPr>
        <w:ind w:left="460" w:right="66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spacing w:after="0" w:line="1" w:lineRule="exact"/>
        <w:rPr>
          <w:rFonts w:ascii="Arial" w:cs="Arial" w:eastAsia="Arial" w:hAnsi="Arial"/>
          <w:sz w:val="18"/>
          <w:szCs w:val="18"/>
          <w:color w:val="auto"/>
        </w:rPr>
      </w:pPr>
    </w:p>
    <w:p>
      <w:pPr>
        <w:ind w:left="460" w:hanging="452"/>
        <w:spacing w:after="0" w:line="29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in August 2010 to all members then-serving on our board of directors under the terms of our Plan, which such members may be deemed to beneficially own, or to have beneficially owned. The shares issued to our director Dimitris Christacopoulos, when he was a member of the board of directors of Crude Carriers, converted to common units in us in the same manner as all shares converted at the time of our merger with Crude Carriers. No member of our board of directors owns common or restricted units in a number representing more than 1% of our outstanding common units.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324" w:lineRule="exact"/>
        <w:rPr>
          <w:sz w:val="20"/>
          <w:szCs w:val="20"/>
          <w:color w:val="auto"/>
        </w:rPr>
      </w:pPr>
    </w:p>
    <w:p>
      <w:pPr>
        <w:ind w:left="1920" w:hanging="440"/>
        <w:spacing w:after="0"/>
        <w:tabs>
          <w:tab w:leader="none" w:pos="19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Capital Maritime’s ability, as sole member of our General Partner, to control the appointment of three of the eight members of our board of directors and to approve certain significant actions we may take, as well as its ownership of 14.2% of our common units, which it can vote in their totality on all matters that arise under the partnership agreement (except for the election of directors elected by holders of our common units), means that Capital Maritime, together with its affiliates, will have the ability to exercise significant influence regarding our management and may be able to propose amendments to the partnership agreement that are in its best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 with Capital Maritime</w:t>
      </w:r>
    </w:p>
    <w:p>
      <w:pPr>
        <w:spacing w:after="0" w:line="11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On September 30, 2011, we entered into an amended and restated Omnibus Agreement with Capital Maritime, Capital GP L.L.C and Capital Product Operating L.L.C., which governs the manner in which certain future tanker business opportunities will be offered by Capital Maritime to us. The Omnibus Agreement does not apply to container and drybulk vessels.</w:t>
      </w:r>
    </w:p>
    <w:p>
      <w:pPr>
        <w:spacing w:after="0" w:line="18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Under the terms of the Omnibus Agreement, 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(calculated by reference to the earliest of (a) the date the tanker to which such time or bareboat charter is attached is first acquired by Capital Maritime or any of its controlled affiliates and (b) the date on which a tanker owned by Capital Maritime or any of its controlled affiliates is put under such time or bareboat charter) without the consent of our General Partner or our board of directors or without first offering such tanker vessel to us. Similarly, we may not acquire, own or operate product or crude oil tankers with a carrying capacity under 30,000 dwt, other than vessels we had owned prior to the date of the Omnibus Agreement, without first offering such tanker vessel to Capital Maritime.</w:t>
      </w:r>
    </w:p>
    <w:p>
      <w:pPr>
        <w:spacing w:after="0" w:line="192"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Furthermore, we granted Capital Maritime a right of first offer on the disposal of product and crude oil tankers,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and Executive services agreements with the Manager</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On April 4, 2007, the Partnership entered into an administrative services agreement with the Manager, pursuant to which the Manager has agreed to provide certain administrative management services to the Partnership, such as accounting, auditing, legal, insurance, IT, clerical, and other administrative services. Also the Partnership reimburses the Manager and its general partner, Capital GP L.L.C. (the “CGP”) for reasonable costs and expenses incurred in connection with the provision of these services after the Manager submits to the Partnership an invoice for such costs and expenses, together with any supporting detail that may be reasonably required.</w:t>
      </w:r>
    </w:p>
    <w:p>
      <w:pPr>
        <w:spacing w:after="0" w:line="188" w:lineRule="exact"/>
        <w:rPr>
          <w:sz w:val="20"/>
          <w:szCs w:val="20"/>
          <w:color w:val="auto"/>
        </w:rPr>
      </w:pPr>
    </w:p>
    <w:p>
      <w:pPr>
        <w:jc w:val="both"/>
        <w:ind w:right="320" w:firstLine="913"/>
        <w:spacing w:after="0" w:line="342" w:lineRule="auto"/>
        <w:rPr>
          <w:sz w:val="20"/>
          <w:szCs w:val="20"/>
          <w:color w:val="auto"/>
        </w:rPr>
      </w:pPr>
      <w:r>
        <w:rPr>
          <w:rFonts w:ascii="Arial" w:cs="Arial" w:eastAsia="Arial" w:hAnsi="Arial"/>
          <w:sz w:val="16"/>
          <w:szCs w:val="16"/>
          <w:color w:val="auto"/>
        </w:rPr>
        <w:t>In 2015, the Partnership entered into an executive services agreement (amended in 2016) with CGP according to which CGP provides certain executive officers services for the management of the Partnership’s business as well as investor relation and corporate support services to the Partnership.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2016</w:t>
      </w:r>
    </w:p>
    <w:p>
      <w:pPr>
        <w:spacing w:after="0" w:line="131" w:lineRule="exact"/>
        <w:rPr>
          <w:sz w:val="20"/>
          <w:szCs w:val="20"/>
          <w:color w:val="auto"/>
        </w:rPr>
      </w:pPr>
    </w:p>
    <w:p>
      <w:pPr>
        <w:ind w:left="1480" w:hanging="567"/>
        <w:spacing w:after="0" w:line="255"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Amendments to Management Agreements</w:t>
      </w:r>
      <w:r>
        <w:rPr>
          <w:rFonts w:ascii="Arial" w:cs="Arial" w:eastAsia="Arial" w:hAnsi="Arial"/>
          <w:sz w:val="18"/>
          <w:szCs w:val="18"/>
          <w:color w:val="auto"/>
        </w:rPr>
        <w:t>. On March 1, 2016 and September 28, 2016,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in its entirely to reflect, among other things, the vessels covered by each management agreement. On February 26, 2016, September 1, 2016, September 28, 2016, October 24, 2016 and December 1, 2016, we amended the floating rate management agreement with Capital Ship Management to reflect, among other things, the vessels covered by each management agreement. Please read “Item 4B: Business Overview—Our Management Agreements” for a detailed description of the terms of each management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86" w:lineRule="auto"/>
        <w:tabs>
          <w:tab w:leader="none" w:pos="14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Share Purchase Agreement for the acquisition of the vessel owning company of the M/T Amor, the assumption of the 2015 credit facility and the time charter agreement with Cargill. </w:t>
      </w:r>
      <w:r>
        <w:rPr>
          <w:rFonts w:ascii="Arial" w:cs="Arial" w:eastAsia="Arial" w:hAnsi="Arial"/>
          <w:sz w:val="16"/>
          <w:szCs w:val="16"/>
          <w:color w:val="auto"/>
        </w:rPr>
        <w:t>On October 24, 2016, we entered into a share purchase agreement for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the company owning the M/T Amor, an eco-type MR product tanker (49,999 dwt IMO II/III Chemical Product Tanker built 2015, Samsung Heavy Industries (Ningbo) Co., Ltd.) for a total consideration of $16.9 million comprising, $16.0 million in cash and the issuance of 283,696 new common units to Capital Maritime. The M/T Amor is employed under a time charter by Cargill at a gross daily rate of $17,500. On acquisition we assumed a term loan of a $15.8 million under a new credit facility with ING Bank N.V. arranged by Capital Maritime. The term loan is non-amortizing for a period of two years from the anniversary of the dropdown of the M/T Amor with an expected final maturity date in November 2022. The interest margin on the term loan is 2.50%. The term loan is subject to ship finance covenants similar to the covenants applicable under our existing facilities. For further information on our existing facilities, please see “Item 5.B. Liquidity and Capital Resources—Borrowings—Our Credit Facilities”. The acquisition of the M/T Amor was reviewed and unanimously approved by the conflicts committee of our board of directors and our entire board of directors. Please also see “Item 5B: Liquidity and Capital Resources—Net Cash Used in Investing Activities” and Note 5 (Fixed Assets) to our Financial Statements included herein for more information regarding this acquisition, including a detailed explanation of how it was accounted for.</w:t>
      </w:r>
    </w:p>
    <w:p>
      <w:pPr>
        <w:spacing w:after="0" w:line="80" w:lineRule="exact"/>
        <w:rPr>
          <w:rFonts w:ascii="Arial" w:cs="Arial" w:eastAsia="Arial" w:hAnsi="Arial"/>
          <w:sz w:val="16"/>
          <w:szCs w:val="16"/>
          <w:color w:val="auto"/>
        </w:rPr>
      </w:pPr>
    </w:p>
    <w:p>
      <w:pPr>
        <w:ind w:left="1480" w:right="20" w:hanging="567"/>
        <w:spacing w:after="0" w:line="255"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Share Purchase Agreement for the acquisition of the vessel owning company of the CMA CGM Magdalena</w:t>
      </w:r>
      <w:r>
        <w:rPr>
          <w:rFonts w:ascii="Arial" w:cs="Arial" w:eastAsia="Arial" w:hAnsi="Arial"/>
          <w:sz w:val="18"/>
          <w:szCs w:val="18"/>
          <w:color w:val="auto"/>
        </w:rPr>
        <w:t>. Pursuant to the Master Vessel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Agreement we entered into on July 24, 2014, we entered into a share purchase agreement on February 26, 2016 with Capital Maritime for the acquisition of the shares of the company owning the M/V CMA CGM Magdalena, the last of five Dropdown Vessels that we agreed to acquire from Capital Maritime. The $81.5 million purchase price for the M/V ‘CMA CGM Magdalena’ was funded through a drawdown under our 2013 credit facility and from available cash. The M/V ‘CMA CGM Magdalena’ is chartered to CMA-CGM S.A. for five years at a gross daily charter rate of $39,250.</w:t>
      </w:r>
    </w:p>
    <w:p>
      <w:pPr>
        <w:spacing w:after="0" w:line="98" w:lineRule="exact"/>
        <w:rPr>
          <w:rFonts w:ascii="Arial" w:cs="Arial" w:eastAsia="Arial" w:hAnsi="Arial"/>
          <w:sz w:val="18"/>
          <w:szCs w:val="18"/>
          <w:color w:val="auto"/>
        </w:rPr>
      </w:pPr>
    </w:p>
    <w:p>
      <w:pPr>
        <w:ind w:left="1480" w:right="100" w:hanging="567"/>
        <w:spacing w:after="0" w:line="257" w:lineRule="auto"/>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2016, each of the M/T Amore Mio II, M/T Miltiadis M II, M/T Aristotelis,</w:t>
      </w:r>
      <w:r>
        <w:rPr>
          <w:rFonts w:ascii="Arial" w:cs="Arial" w:eastAsia="Arial" w:hAnsi="Arial"/>
          <w:sz w:val="18"/>
          <w:szCs w:val="18"/>
          <w:i w:val="1"/>
          <w:iCs w:val="1"/>
          <w:color w:val="auto"/>
        </w:rPr>
        <w:t xml:space="preserve"> </w:t>
      </w:r>
      <w:r>
        <w:rPr>
          <w:rFonts w:ascii="Arial" w:cs="Arial" w:eastAsia="Arial" w:hAnsi="Arial"/>
          <w:sz w:val="18"/>
          <w:szCs w:val="18"/>
          <w:color w:val="auto"/>
        </w:rPr>
        <w:t>M/T Atlantas II and M/T Arionas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2015</w:t>
      </w:r>
    </w:p>
    <w:p>
      <w:pPr>
        <w:spacing w:after="0" w:line="131" w:lineRule="exact"/>
        <w:rPr>
          <w:sz w:val="20"/>
          <w:szCs w:val="20"/>
          <w:color w:val="auto"/>
        </w:rPr>
      </w:pPr>
    </w:p>
    <w:p>
      <w:pPr>
        <w:ind w:left="1480" w:right="220" w:hanging="567"/>
        <w:spacing w:after="0" w:line="255" w:lineRule="auto"/>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Amendments to Management Agreements</w:t>
      </w:r>
      <w:r>
        <w:rPr>
          <w:rFonts w:ascii="Arial" w:cs="Arial" w:eastAsia="Arial" w:hAnsi="Arial"/>
          <w:sz w:val="18"/>
          <w:szCs w:val="18"/>
          <w:color w:val="auto"/>
        </w:rPr>
        <w:t>. On July 1, 2015 and October 1, 2015, we amended and restated the fixed fee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Capital Ship Management in its entirely to reflect, among other things, the vessels covered by each management agreement. On March 31, 2015, June 10, 2015, June 30, 2015, September 18, 2015, and October 1, 2015, we amended the floating rate management agreement with Capital Ship Management to reflect, among other things, the vessels covered by each management agreement. Please read “Item 4B: Business Overview—Our Management Agreements” for a detailed description of the terms of each management agreement.</w:t>
      </w:r>
    </w:p>
    <w:p>
      <w:pPr>
        <w:spacing w:after="0" w:line="98" w:lineRule="exact"/>
        <w:rPr>
          <w:rFonts w:ascii="Arial" w:cs="Arial" w:eastAsia="Arial" w:hAnsi="Arial"/>
          <w:sz w:val="18"/>
          <w:szCs w:val="18"/>
          <w:color w:val="auto"/>
        </w:rPr>
      </w:pPr>
    </w:p>
    <w:p>
      <w:pPr>
        <w:ind w:left="1480" w:right="80" w:hanging="567"/>
        <w:spacing w:after="0" w:line="293" w:lineRule="auto"/>
        <w:tabs>
          <w:tab w:leader="none" w:pos="148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Equity Offering. </w:t>
      </w:r>
      <w:r>
        <w:rPr>
          <w:rFonts w:ascii="Arial" w:cs="Arial" w:eastAsia="Arial" w:hAnsi="Arial"/>
          <w:sz w:val="16"/>
          <w:szCs w:val="16"/>
          <w:color w:val="auto"/>
        </w:rPr>
        <w:t>On April 21, 2015, we completed the issuance and sale of 14,555,000 common units representing limited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at a public offering price of $9.53 per unit, which included 1,755,000 common units sold as a result of the partial exercise of the overallotment option granted to the underwriters of the public offering and 1,100,000 common units sold to our sponsor. Proceeds after the deduction of the underwriters’ commissions and net proceeds after the deduction of the transaction expenses amounted to $133.3 and $132.6 million, respectively. Our sponsor Capital Maritime subsequently converted an aggregate of 315,908 common units into general partner units and delivered such units to our General Partner in order for it to maintain its 2% interest in us.</w:t>
      </w:r>
    </w:p>
    <w:p>
      <w:pPr>
        <w:spacing w:after="0" w:line="70" w:lineRule="exact"/>
        <w:rPr>
          <w:rFonts w:ascii="Arial" w:cs="Arial" w:eastAsia="Arial" w:hAnsi="Arial"/>
          <w:sz w:val="16"/>
          <w:szCs w:val="16"/>
          <w:color w:val="auto"/>
        </w:rPr>
      </w:pPr>
    </w:p>
    <w:p>
      <w:pPr>
        <w:ind w:left="1480" w:right="100" w:hanging="567"/>
        <w:spacing w:after="0" w:line="273" w:lineRule="auto"/>
        <w:tabs>
          <w:tab w:leader="none" w:pos="148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Share Purchase Agreements for the acquisition of the vessel owning companies of each of the M/T Active, M/V CMA CGM Amazon, M/T Amadeus and M/V CMA CGM Uruguay</w:t>
      </w:r>
      <w:r>
        <w:rPr>
          <w:rFonts w:ascii="Arial" w:cs="Arial" w:eastAsia="Arial" w:hAnsi="Arial"/>
          <w:sz w:val="17"/>
          <w:szCs w:val="17"/>
          <w:color w:val="auto"/>
        </w:rPr>
        <w:t>. On March 31, June 10, June 30, and September 18, 2015, in accordance with the Master Vessel</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Agreement, we entered into four share purchase agreements with Capital Maritime pursuant to which we acquired all of Capital Maritime’s interests in the vessel owning companies of the M/T Active, M/V CMA CGM Amazon, M/T Amadeus and M/V CMA CGM Uruguay, respectively. The acquisition was funded by four separate drawdowns under our 2013 credit facility in the aggregate amount of $115.0 million, while the remaining balance of $115.0 million was funded through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290" w:lineRule="auto"/>
        <w:rPr>
          <w:sz w:val="20"/>
          <w:szCs w:val="20"/>
          <w:color w:val="auto"/>
        </w:rPr>
      </w:pPr>
      <w:r>
        <w:rPr>
          <w:rFonts w:ascii="Arial" w:cs="Arial" w:eastAsia="Arial" w:hAnsi="Arial"/>
          <w:sz w:val="16"/>
          <w:szCs w:val="16"/>
          <w:color w:val="auto"/>
        </w:rPr>
        <w:t>available cash. The M/T Active and the M/T Amadeus were built in 2015 at Samsung Heavy Industries (Ningbo) Co. Ltd. and are currently employed by Cargill and Capital Maritime under a two-year time charter (+/-30 days) at a gross daily rate of $17,700 and a two-year time charter (+/-30 days) at a gross daily rate of $17,000 plus 50/50 profit share on actual earnings, respectively. The M/V CMA CGM Amazon and M/V CMA CGM Uruguay were built in 2015 at Daewoo-Mangalia Heavy Industries S.A. and both are currently employed by CMA CGM under five-year time charters (+90 days / -30 days) at a gross daily rate of $39,250. The transaction was approved by our board of directors following approval by the conflicts committee of independent directors. Please see “Item 5B: Liquidity and Capital Resources—Net Cash Used in Investing Activities” and Note 5 (Fixed Assets) to our Financial Statements included herein for more information regarding this acquisition, including a detailed explanation of how it was accounted for.</w:t>
      </w:r>
    </w:p>
    <w:p>
      <w:pPr>
        <w:spacing w:after="0" w:line="72" w:lineRule="exact"/>
        <w:rPr>
          <w:sz w:val="20"/>
          <w:szCs w:val="20"/>
          <w:color w:val="auto"/>
        </w:rPr>
      </w:pPr>
    </w:p>
    <w:p>
      <w:pPr>
        <w:ind w:left="1480" w:right="220" w:hanging="567"/>
        <w:spacing w:after="0" w:line="255"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2015, each of the M/T Agisilaos, M/T Atrotos, M/T Amore Mio II, M/T</w:t>
      </w:r>
      <w:r>
        <w:rPr>
          <w:rFonts w:ascii="Arial" w:cs="Arial" w:eastAsia="Arial" w:hAnsi="Arial"/>
          <w:sz w:val="18"/>
          <w:szCs w:val="18"/>
          <w:i w:val="1"/>
          <w:iCs w:val="1"/>
          <w:color w:val="auto"/>
        </w:rPr>
        <w:t xml:space="preserve"> </w:t>
      </w:r>
      <w:r>
        <w:rPr>
          <w:rFonts w:ascii="Arial" w:cs="Arial" w:eastAsia="Arial" w:hAnsi="Arial"/>
          <w:sz w:val="18"/>
          <w:szCs w:val="18"/>
          <w:color w:val="auto"/>
        </w:rPr>
        <w:t>Akeraios, M/T Apostolos, M/T Active, M/T Amadeus, M/T Miltiadis M II, M/T Aristotelis, M/T Ayrton II and M/T Anemos I entered into new or extended existing charter party agreements with Capital Maritime. These new charters/extensions were unanimously approved by the conflicts committee of independent directors of our board of directors. Please see “Item 4B: Business Overview—Our Fleet” and “—Our Charters” for a detailed description of these charters, including earliest possible redelivery dates of the vessels and relevant charter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2014</w:t>
      </w:r>
    </w:p>
    <w:p>
      <w:pPr>
        <w:spacing w:after="0" w:line="131" w:lineRule="exact"/>
        <w:rPr>
          <w:sz w:val="20"/>
          <w:szCs w:val="20"/>
          <w:color w:val="auto"/>
        </w:rPr>
      </w:pPr>
    </w:p>
    <w:p>
      <w:pPr>
        <w:ind w:left="1480" w:right="20" w:hanging="567"/>
        <w:spacing w:after="0" w:line="297" w:lineRule="auto"/>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Amendments to Management Agreements</w:t>
      </w:r>
      <w:r>
        <w:rPr>
          <w:rFonts w:ascii="Arial" w:cs="Arial" w:eastAsia="Arial" w:hAnsi="Arial"/>
          <w:sz w:val="16"/>
          <w:szCs w:val="16"/>
          <w:color w:val="auto"/>
        </w:rPr>
        <w:t>. On February 28, 2014 and December 31, 2014, we amended and restated the fixed fee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agreement with Capital Ship Management in its entirely to reflect, among other things, the vessels covered by each management agreement. On April 1, 2014, May 18, 2014, and December 31, 2014, we amended the floating rate management agreement with Capital Ship Management to reflect, among other things, the vessels covered by each management agreement. Please read “Item 4B: Business Overview—Our Management Agreements” for a detailed description of the terms of each management agreement.</w:t>
      </w:r>
    </w:p>
    <w:p>
      <w:pPr>
        <w:spacing w:after="0" w:line="63" w:lineRule="exact"/>
        <w:rPr>
          <w:rFonts w:ascii="Arial" w:cs="Arial" w:eastAsia="Arial" w:hAnsi="Arial"/>
          <w:sz w:val="16"/>
          <w:szCs w:val="16"/>
          <w:color w:val="auto"/>
        </w:rPr>
      </w:pPr>
    </w:p>
    <w:p>
      <w:pPr>
        <w:ind w:left="1480" w:right="40" w:hanging="567"/>
        <w:spacing w:after="0" w:line="272" w:lineRule="auto"/>
        <w:tabs>
          <w:tab w:leader="none" w:pos="148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Master Vessel Acquisition Agreement</w:t>
      </w:r>
      <w:r>
        <w:rPr>
          <w:rFonts w:ascii="Arial" w:cs="Arial" w:eastAsia="Arial" w:hAnsi="Arial"/>
          <w:sz w:val="17"/>
          <w:szCs w:val="17"/>
          <w:color w:val="auto"/>
        </w:rPr>
        <w:t>. On July 24, 2014 we entered into the Master Vessel Acquisition Agreement with Capital Maritime,</w:t>
      </w:r>
      <w:r>
        <w:rPr>
          <w:rFonts w:ascii="Arial" w:cs="Arial" w:eastAsia="Arial" w:hAnsi="Arial"/>
          <w:sz w:val="17"/>
          <w:szCs w:val="17"/>
          <w:i w:val="1"/>
          <w:iCs w:val="1"/>
          <w:color w:val="auto"/>
        </w:rPr>
        <w:t xml:space="preserve"> </w:t>
      </w:r>
      <w:r>
        <w:rPr>
          <w:rFonts w:ascii="Arial" w:cs="Arial" w:eastAsia="Arial" w:hAnsi="Arial"/>
          <w:sz w:val="17"/>
          <w:szCs w:val="17"/>
          <w:color w:val="auto"/>
        </w:rPr>
        <w:t>as described in further detail in “Item 4A: History and Development of the Partnership—2015 Developments”. Pursuant to this agreement, we agreed to acquire the Dropdown Vessels at prices below current market value and have been granted a right of first refusal over six additional newbuild Samsung eco medium range product tankers, including the M/T Amor delivered during October 2016. As consideration, we agreed, subject to, among other things, the approval of our unitholders, to adopt the Fourth Amendment to the Partnership Agreement. This amendment was adopted on August 25, 2014 following our unitholders’ approval at our 2014 annual meeting of unitholders, which was held on August 21, 2014.</w:t>
      </w:r>
    </w:p>
    <w:p>
      <w:pPr>
        <w:spacing w:after="0" w:line="83" w:lineRule="exact"/>
        <w:rPr>
          <w:rFonts w:ascii="Arial" w:cs="Arial" w:eastAsia="Arial" w:hAnsi="Arial"/>
          <w:sz w:val="17"/>
          <w:szCs w:val="17"/>
          <w:color w:val="auto"/>
        </w:rPr>
      </w:pPr>
    </w:p>
    <w:p>
      <w:pPr>
        <w:ind w:left="1480" w:right="80" w:hanging="567"/>
        <w:spacing w:after="0" w:line="297" w:lineRule="auto"/>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Purchase Agreement. </w:t>
      </w:r>
      <w:r>
        <w:rPr>
          <w:rFonts w:ascii="Arial" w:cs="Arial" w:eastAsia="Arial" w:hAnsi="Arial"/>
          <w:sz w:val="16"/>
          <w:szCs w:val="16"/>
          <w:color w:val="auto"/>
        </w:rPr>
        <w:t>On September 3, 2014, we entered into a purchase agreement for 5,950,610 of our common units held by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at an aggregate price of $60.0 million. The purchase price was funded by the net proceeds from a public offering of our common units in September 2014. We subsequently cancelled the common units that were repurchased from Capital Maritime pursuant to this purchase agreement. Please see “Item 4A: History and Development of the Partnership—2014 Developments”. The transaction was approved by our board of directors following approval by the conflicts committee of independent directors of our board of directors.</w:t>
      </w:r>
    </w:p>
    <w:p>
      <w:pPr>
        <w:spacing w:after="0" w:line="63" w:lineRule="exact"/>
        <w:rPr>
          <w:rFonts w:ascii="Arial" w:cs="Arial" w:eastAsia="Arial" w:hAnsi="Arial"/>
          <w:sz w:val="16"/>
          <w:szCs w:val="16"/>
          <w:color w:val="auto"/>
        </w:rPr>
      </w:pPr>
    </w:p>
    <w:p>
      <w:pPr>
        <w:ind w:left="1480" w:right="540" w:hanging="567"/>
        <w:spacing w:after="0" w:line="312" w:lineRule="auto"/>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Charter Party Agreements with Capital Maritime. </w:t>
      </w:r>
      <w:r>
        <w:rPr>
          <w:rFonts w:ascii="Arial" w:cs="Arial" w:eastAsia="Arial" w:hAnsi="Arial"/>
          <w:sz w:val="16"/>
          <w:szCs w:val="16"/>
          <w:color w:val="auto"/>
        </w:rPr>
        <w:t>During 2014, each of the M/T Axios, M/T Avax, M/T Atrotos, M/T Assos, M/T</w:t>
      </w:r>
      <w:r>
        <w:rPr>
          <w:rFonts w:ascii="Arial" w:cs="Arial" w:eastAsia="Arial" w:hAnsi="Arial"/>
          <w:sz w:val="16"/>
          <w:szCs w:val="16"/>
          <w:i w:val="1"/>
          <w:iCs w:val="1"/>
          <w:color w:val="auto"/>
        </w:rPr>
        <w:t xml:space="preserve"> </w:t>
      </w:r>
      <w:r>
        <w:rPr>
          <w:rFonts w:ascii="Arial" w:cs="Arial" w:eastAsia="Arial" w:hAnsi="Arial"/>
          <w:sz w:val="16"/>
          <w:szCs w:val="16"/>
          <w:color w:val="auto"/>
        </w:rPr>
        <w:t>Agisilaos and M/T Arionas entered into new or extended existing charter party agreements with Capital Maritime. These new charters/extensions were unanimously approved by the conflicts committee of independent directors of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Conflicts of interest exist and may arise in the future as a result of the relationships between our General Partner and its affiliates, including Capital Maritime, on the one hand, and us and our unaffiliated limited partners, on the other hand. The officers of our General Partner may have certain fiduciary duties to manage our General Partner in a manner beneficial to its owners. At the same time, our General Partner has a fiduciary duty to manage us in a manner beneficial to us and our unitholders. Similarly,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board of directors has fiduciary duties to manage us in a manner beneficial to us, our General Partner and our limited partners. Furthermore, three of our directors are also directors and officers of Capital Maritime and as such they have fiduciary duties to Capital Maritime that may cause them to pursue business strategies that disproportionately benefit Capital Maritime or which otherwise are not in the best interests of us or our unitholders.</w:t>
      </w:r>
    </w:p>
    <w:p>
      <w:pPr>
        <w:spacing w:after="0" w:line="166"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7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8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Our partnership agreement contains provisions that modify and limit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Neither our General Partner nor our board of directors will be in breach of their obligations under the partnership agreement or their duties to us or the unitholders if the resolution of the conflict is:</w:t>
      </w:r>
    </w:p>
    <w:p>
      <w:pPr>
        <w:spacing w:after="0" w:line="76" w:lineRule="exact"/>
        <w:rPr>
          <w:sz w:val="20"/>
          <w:szCs w:val="20"/>
          <w:color w:val="auto"/>
        </w:rPr>
      </w:pPr>
    </w:p>
    <w:p>
      <w:pPr>
        <w:ind w:left="1460" w:hanging="547"/>
        <w:spacing w:after="0"/>
        <w:tabs>
          <w:tab w:leader="none" w:pos="1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approved by the conflicts committee, although neither our General Partner nor our board of directors are obligated to seek such approval;</w:t>
      </w:r>
    </w:p>
    <w:p>
      <w:pPr>
        <w:spacing w:after="0" w:line="153" w:lineRule="exact"/>
        <w:rPr>
          <w:rFonts w:ascii="Arial" w:cs="Arial" w:eastAsia="Arial" w:hAnsi="Arial"/>
          <w:sz w:val="16"/>
          <w:szCs w:val="16"/>
          <w:color w:val="auto"/>
        </w:rPr>
      </w:pPr>
    </w:p>
    <w:p>
      <w:pPr>
        <w:ind w:left="1460" w:right="160" w:hanging="547"/>
        <w:spacing w:after="0" w:line="308" w:lineRule="auto"/>
        <w:tabs>
          <w:tab w:leader="none" w:pos="1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51" w:lineRule="exact"/>
        <w:rPr>
          <w:rFonts w:ascii="Arial" w:cs="Arial" w:eastAsia="Arial" w:hAnsi="Arial"/>
          <w:sz w:val="17"/>
          <w:szCs w:val="17"/>
          <w:color w:val="auto"/>
        </w:rPr>
      </w:pPr>
    </w:p>
    <w:p>
      <w:pPr>
        <w:ind w:left="1460" w:right="200" w:hanging="547"/>
        <w:spacing w:after="0" w:line="308" w:lineRule="auto"/>
        <w:tabs>
          <w:tab w:leader="none" w:pos="1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51" w:lineRule="exact"/>
        <w:rPr>
          <w:rFonts w:ascii="Arial" w:cs="Arial" w:eastAsia="Arial" w:hAnsi="Arial"/>
          <w:sz w:val="17"/>
          <w:szCs w:val="17"/>
          <w:color w:val="auto"/>
        </w:rPr>
      </w:pPr>
    </w:p>
    <w:p>
      <w:pPr>
        <w:ind w:left="1460" w:right="280" w:hanging="547"/>
        <w:spacing w:after="0" w:line="277" w:lineRule="auto"/>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Conflicts of interest could arise in the situations described below, among others.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taken by our board of directors may affect the amount of cash available for distribution to unitholders.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amount of cash that is available for distribution to unitholders is affected by decisions of our board of directors regarding such matters as:</w:t>
      </w:r>
    </w:p>
    <w:p>
      <w:pPr>
        <w:spacing w:after="0" w:line="154" w:lineRule="exact"/>
        <w:rPr>
          <w:sz w:val="20"/>
          <w:szCs w:val="20"/>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and timing of asset purchases and sales;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cash expenditures;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borrowings;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issuance of additional units;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creation, reduction or increase of reserves in any quarter.</w:t>
      </w:r>
    </w:p>
    <w:p>
      <w:pPr>
        <w:spacing w:after="0" w:line="225"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w:t>
      </w:r>
    </w:p>
    <w:p>
      <w:pPr>
        <w:spacing w:after="0" w:line="12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Our partnership agreement provides that we and our subsidiaries may borrow funds from our General Partner and its affiliates. Our General Partner and its affiliates may not borrow funds from us or our subsidiaries.</w:t>
      </w:r>
    </w:p>
    <w:p>
      <w:pPr>
        <w:spacing w:after="0" w:line="2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Neither our partnership agreement nor any other agreement requires Capital Maritime to pursue a business strategy that favors us or utilizes our assets or dictates what markets to pursue or grow. Capital Maritime’s directors and executive officers have a fiduciary duty to make these decisions in the best interests of the stockholders of Capital Maritime, which may be contrary to our interests.</w:t>
      </w:r>
    </w:p>
    <w:p>
      <w:pPr>
        <w:spacing w:after="0" w:line="5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Because all of the officers of our General Partner and three of our directors are also directors and officers of Capital Maritime, such officers and directors have fiduciary duties to Capital Maritime that may cause them to pursue business strategies that disproportionately benefit Capital Maritime or which otherwise are not in the best interests of us or our unitholders.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is allowed to take into account the interests of parties other than us, such as Capital Maritime.</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Our partnership agreement contains provisions that reduce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Decisions made by our General Partner in its individual capacity will be made by its sole owner, Capital Maritime.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officers and rely solely on officers of our General Partner.</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Affiliates of our General Partner conduct businesses and activities of their own in which we have no economic interest. If these separate activities are significantly greater than our activities, there could be material competition for the time and effort of the officers who provide services to our General Partner and its affiliates. The officers of our General Partner are not required to work full-time on our affairs but may be required to devote time to the affairs of Capital GP L.L.C. and its affiliates, and we reimburse their employers for the services they render to us and our subsidiaries. Our General Partner’s Chief Executive Officer and Chief Financial Officer is also an executive officer of Capital Maritime.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reimburse our General Partner and its affiliates for expenses.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unitholders will have no right to enforce obligations of our General Partner and its affiliates under agreements with us.</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Contracts between us, on the one hand, and our General Partner and its affiliates, on the other, will not be the result of arms’- length negotiations.</w:t>
      </w:r>
    </w:p>
    <w:p>
      <w:pPr>
        <w:spacing w:after="0" w:line="14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Neither our partnership agreement nor any of the other agreements, contracts and arrangements between us and our General Partner and its affiliates are or will be the result of arms’-length negotiations. Our partnership agreement generally provides that any affiliated transaction, such as an agreement, contract or arrangement between us and our General Partner and its affiliates, must be:</w:t>
      </w:r>
    </w:p>
    <w:p>
      <w:pPr>
        <w:spacing w:after="0" w:line="87" w:lineRule="exact"/>
        <w:rPr>
          <w:sz w:val="20"/>
          <w:szCs w:val="20"/>
          <w:color w:val="auto"/>
        </w:rPr>
      </w:pPr>
    </w:p>
    <w:p>
      <w:pPr>
        <w:ind w:left="1460" w:hanging="547"/>
        <w:spacing w:after="0"/>
        <w:tabs>
          <w:tab w:leader="none" w:pos="1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terms no less favorable to us then those generally being provided to or available from unrelated third parties; or</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units are subject to our General Partner’s limited call right.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“The Partnership Agreement—Limited Call Right.”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not to retain separate counsel for ourselves or for the holders of common units.</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The attorneys, independent accountants and others who perform services for us have been retained by our board of directors. Attorneys, independent accountants and others who perform services for us are selected by our board of directors or the conflicts committee and may perform services for our General Partner and its affiliates. We may retain separate counsel for ourselves or the holders of common units in the event of a conflict of interest between our General Partner and its affiliates, on the one hand, and us or the holders of common units, on the other, depending on the nature of the conflict. We do not intend to do so in most cases.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including Capital Maritime, may compete with us.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w:t>
      </w:r>
    </w:p>
    <w:p>
      <w:pPr>
        <w:spacing w:after="0" w:line="121"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54"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In addition, we have entered into services agreements, and may enter into additional agreements with Capital Maritime and certain of its subsidiaries, including Capital Ship Management. In the performance of their obligations under these agreements, Capital Maritime and its subsidiaries are not held to a fiduciary standard of care but rather to the standards of care specified in the relevant agreement.</w:t>
      </w:r>
    </w:p>
    <w:p>
      <w:pPr>
        <w:spacing w:after="0" w:line="166"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Capital Maritime,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84" w:lineRule="exact"/>
        <w:rPr>
          <w:sz w:val="20"/>
          <w:szCs w:val="20"/>
          <w:color w:val="auto"/>
        </w:rPr>
      </w:pPr>
    </w:p>
    <w:p>
      <w:pPr>
        <w:ind w:left="1460" w:hanging="547"/>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fiduciary duties imposed on our General Partner and our directors by the MILPA;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material modifications of these duties contained in our partnership agreement;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rights and remedies of unitholders contained in the MILPA.</w:t>
      </w:r>
    </w:p>
    <w:p>
      <w:pPr>
        <w:sectPr>
          <w:pgSz w:w="11900" w:h="16838" w:orient="portrait"/>
          <w:cols w:equalWidth="0" w:num="1">
            <w:col w:w="11380"/>
          </w:cols>
          <w:pgMar w:left="240" w:top="459" w:right="2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Marshall Islands law fiduciary duty standards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Fiduciary duties are generally considered to include an obligation to act in good faith and with due care and loyalty. The duty of care, in the absence of a provision in a partnership agreement providing otherwise, would generally require a General Partner and the directors of a Marshall Islands limited partnership to refrain from engaging in grossly negligent or reckless conduct, intentional misconduct or a knowing violation of law. The duty of loyalty, in the absence of a provision in a partnership agreement providing otherwise, would generally require that a partner refrain from dealing with the limited partnership in the conduct or winding up of the limited partnership business or affairs as or on behalf of a party having an interest adverse to the limited partnership, refrain from competing with the limited partnership in the conduct of the limited partnership’s business or affairs before the dissolution of the limited partnership, and to account to the limited partnership and hold as trustee for it any property, profit or benefit derived by the partner in the conduct or winding up of the limited partnership’s business or affairs or derived from a use by the partner of partnership property, including the appropriation of a limited partnership opportunity. In addition, although not a fiduciary duty, a partner shall discharge the duties to the limited partnership and exercise any rights consistently with the obligation of good faith and fair dealing.</w:t>
      </w:r>
    </w:p>
    <w:p>
      <w:pPr>
        <w:spacing w:after="0" w:line="73"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Partnership agreement modified standards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Our partnership agreement contains provisions that waive or consent to conduct by our General Partner and its affiliates and our directors that might otherwise raise issues as to compliance with fiduciary duties under the laws of the Marshall Islands. For example, Section 7.16 of our partnership agreement provides that when our General Partner is acting in its capacity as our General Partner, as opposed to in its individual capacity, it must act in “good faith” and will not be subject to any other standard under the laws of the Marshall Islands. In addition, when our General Partner is acting in its individual capacity, as opposed to in its capacity as our general partner, it may act without any</w:t>
      </w:r>
    </w:p>
    <w:p>
      <w:pPr>
        <w:spacing w:after="0" w:line="125"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380"/>
          </w:cols>
          <w:pgMar w:left="240" w:top="459" w:right="27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60" w:type="dxa"/>
            <w:vAlign w:val="bottom"/>
          </w:tcPr>
          <w:p>
            <w:pPr>
              <w:spacing w:after="0"/>
              <w:rPr>
                <w:sz w:val="17"/>
                <w:szCs w:val="17"/>
                <w:color w:val="auto"/>
              </w:rPr>
            </w:pPr>
          </w:p>
        </w:tc>
        <w:tc>
          <w:tcPr>
            <w:tcW w:w="698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1"/>
              </w:rPr>
              <w:t>fiduciary obligation to us or the unitholders whatsoever. These standards reduce the obligations to</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4"/>
              </w:rPr>
              <w:t>which our General Partner and our board of directors would otherwise be held. Our partnership</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2"/>
              </w:rPr>
              <w:t>agreement generally provides that affiliated transactions and resolutions of conflicts of interest not</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1"/>
              </w:rPr>
              <w:t>involving a vote of unitholders and that are not approved by the conflicts committee of our board of</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directors must be:</w:t>
            </w:r>
          </w:p>
        </w:tc>
      </w:tr>
      <w:tr>
        <w:trPr>
          <w:trHeight w:val="310"/>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6980" w:type="dxa"/>
            <w:vAlign w:val="bottom"/>
          </w:tcPr>
          <w:p>
            <w:pPr>
              <w:ind w:left="180"/>
              <w:spacing w:after="0"/>
              <w:rPr>
                <w:sz w:val="20"/>
                <w:szCs w:val="20"/>
                <w:color w:val="auto"/>
              </w:rPr>
            </w:pPr>
            <w:r>
              <w:rPr>
                <w:rFonts w:ascii="Arial" w:cs="Arial" w:eastAsia="Arial" w:hAnsi="Arial"/>
                <w:sz w:val="18"/>
                <w:szCs w:val="18"/>
                <w:color w:val="auto"/>
                <w:w w:val="96"/>
              </w:rPr>
              <w:t>on terms no less favorable to us than those generally being provided to or available from</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unrelated third parties; or</w:t>
            </w:r>
          </w:p>
        </w:tc>
      </w:tr>
      <w:tr>
        <w:trPr>
          <w:trHeight w:val="310"/>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6980" w:type="dxa"/>
            <w:vAlign w:val="bottom"/>
          </w:tcPr>
          <w:p>
            <w:pPr>
              <w:ind w:left="180"/>
              <w:spacing w:after="0"/>
              <w:rPr>
                <w:sz w:val="20"/>
                <w:szCs w:val="20"/>
                <w:color w:val="auto"/>
              </w:rPr>
            </w:pPr>
            <w:r>
              <w:rPr>
                <w:rFonts w:ascii="Arial" w:cs="Arial" w:eastAsia="Arial" w:hAnsi="Arial"/>
                <w:sz w:val="18"/>
                <w:szCs w:val="18"/>
                <w:color w:val="auto"/>
                <w:w w:val="94"/>
              </w:rPr>
              <w:t>“fair and reasonable” to us, taking into account the totality of the relationships between the</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parties involved (including other transactions that may be particularly favorable or</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advantageous to us).</w:t>
            </w:r>
          </w:p>
        </w:tc>
      </w:tr>
      <w:tr>
        <w:trPr>
          <w:trHeight w:val="310"/>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5"/>
              </w:rPr>
              <w:t>If our board of directors does not seek approval from the conflicts committee, and our board of</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6"/>
              </w:rPr>
              <w:t>directors determines that the resolution or course of action taken with respect to the conflict of</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1"/>
              </w:rPr>
              <w:t>interest satisfies either of the standards set forth in the bullet points above, then it will be presumed</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1"/>
              </w:rPr>
              <w:t>that, in making its decision, our board of directors acted in good faith. These standards reduce the</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obligations to which our board of directors would otherwise be held.</w:t>
            </w:r>
          </w:p>
        </w:tc>
      </w:tr>
      <w:tr>
        <w:trPr>
          <w:trHeight w:val="310"/>
        </w:trPr>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2"/>
              </w:rPr>
              <w:t>In addition to the other more specific provisions limiting the obligations of our General Partner and</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2"/>
              </w:rPr>
              <w:t>our directors, our partnership agreement further provides that our General Partner and its officers</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4"/>
              </w:rPr>
              <w:t>and our directors, will not be liable for monetary damages to us for errors of judgment or for any</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9"/>
              </w:rPr>
              <w:t>acts or omissions unless there has been a final and non-appealable judgment by a court of</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2"/>
              </w:rPr>
              <w:t>competent jurisdiction determining that our General Partner or its officers or our directors acted in</w:t>
            </w:r>
          </w:p>
        </w:tc>
      </w:tr>
      <w:tr>
        <w:trPr>
          <w:trHeight w:val="216"/>
        </w:trPr>
        <w:tc>
          <w:tcPr>
            <w:tcW w:w="1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1"/>
              </w:rPr>
              <w:t>bad faith or engaged in actual fraud or willful misconduct or, in the case of a criminal matter, acted</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with knowledge that the conduct was unlawful.</w:t>
            </w: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color w:val="auto"/>
              </w:rPr>
              <w:t>Rights and remedies of unitholders</w:t>
            </w: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w w:val="94"/>
              </w:rPr>
              <w:t>The provisions of the MILPA resemble the provisions of the limited partnership act of Delaware.</w:t>
            </w:r>
          </w:p>
        </w:tc>
      </w:tr>
      <w:tr>
        <w:trPr>
          <w:trHeight w:val="230"/>
        </w:trPr>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For example, like Delaware, the MILPA favors the principles of freedom of contract and</w:t>
            </w:r>
          </w:p>
        </w:tc>
      </w:tr>
    </w:tbl>
    <w:p>
      <w:pPr>
        <w:ind w:left="4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 of partnership agreements and allows the partnership agreement to contain terms governing the rights of the unitholders. The rights of our unitholders, including voting and approval rights and the ability of the partnership to issue additional units, are governed by the terms of our partnership agreement. Please read “The Partnership Agreement.”</w:t>
      </w:r>
    </w:p>
    <w:p>
      <w:pPr>
        <w:spacing w:after="0" w:line="69" w:lineRule="exact"/>
        <w:rPr>
          <w:sz w:val="20"/>
          <w:szCs w:val="20"/>
          <w:color w:val="auto"/>
        </w:rPr>
      </w:pPr>
    </w:p>
    <w:p>
      <w:pPr>
        <w:ind w:left="4240" w:right="100"/>
        <w:spacing w:after="0" w:line="257" w:lineRule="auto"/>
        <w:rPr>
          <w:sz w:val="20"/>
          <w:szCs w:val="20"/>
          <w:color w:val="auto"/>
        </w:rPr>
      </w:pPr>
      <w:r>
        <w:rPr>
          <w:rFonts w:ascii="Arial" w:cs="Arial" w:eastAsia="Arial" w:hAnsi="Arial"/>
          <w:sz w:val="18"/>
          <w:szCs w:val="18"/>
          <w:color w:val="auto"/>
        </w:rPr>
        <w:t>As to remedies of unitholders, the MILPA permits a limited partner or an assignee of a partnership interest to bring action in the High Court in the right of the limited partnership to recover a judgment in the limited partnership’s favor if general partners with authority to do so have refused to bring the action or if effort to cause those general partners to bring the action is not likely to succeed.</w:t>
      </w:r>
    </w:p>
    <w:p>
      <w:pPr>
        <w:spacing w:after="0" w:line="188" w:lineRule="exact"/>
        <w:rPr>
          <w:sz w:val="20"/>
          <w:szCs w:val="20"/>
          <w:color w:val="auto"/>
        </w:rPr>
      </w:pPr>
    </w:p>
    <w:p>
      <w:pPr>
        <w:jc w:val="both"/>
        <w:ind w:right="640" w:firstLine="913"/>
        <w:spacing w:after="0" w:line="264" w:lineRule="auto"/>
        <w:rPr>
          <w:sz w:val="20"/>
          <w:szCs w:val="20"/>
          <w:color w:val="auto"/>
        </w:rPr>
      </w:pPr>
      <w:r>
        <w:rPr>
          <w:rFonts w:ascii="Arial" w:cs="Arial" w:eastAsia="Arial" w:hAnsi="Arial"/>
          <w:sz w:val="18"/>
          <w:szCs w:val="18"/>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8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“The Partnership Agreement—Indemnification.”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46"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31" w:lineRule="exact"/>
        <w:rPr>
          <w:sz w:val="20"/>
          <w:szCs w:val="20"/>
          <w:color w:val="auto"/>
        </w:rPr>
      </w:pPr>
    </w:p>
    <w:p>
      <w:pPr>
        <w:ind w:left="1920" w:hanging="440"/>
        <w:spacing w:after="0"/>
        <w:tabs>
          <w:tab w:leader="none" w:pos="19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CASH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Within approximately 45 days after the end of each quarter, subject to legal limitations, we distribute all of our available cash to unitholders of record on the applicable record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Available cash means, for each fiscal quarter, all cash and cash equivalents on hand at the end of the quarter:</w:t>
      </w:r>
    </w:p>
    <w:p>
      <w:pPr>
        <w:spacing w:after="0" w:line="131" w:lineRule="exact"/>
        <w:rPr>
          <w:sz w:val="20"/>
          <w:szCs w:val="20"/>
          <w:color w:val="auto"/>
        </w:rPr>
      </w:pPr>
    </w:p>
    <w:p>
      <w:pPr>
        <w:ind w:left="1460" w:hanging="547"/>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30" w:lineRule="exact"/>
        <w:rPr>
          <w:rFonts w:ascii="Arial" w:cs="Arial" w:eastAsia="Arial" w:hAnsi="Arial"/>
          <w:sz w:val="18"/>
          <w:szCs w:val="18"/>
          <w:color w:val="auto"/>
        </w:rPr>
      </w:pPr>
    </w:p>
    <w:p>
      <w:pPr>
        <w:ind w:left="1460" w:right="100" w:hanging="547"/>
        <w:spacing w:after="0" w:line="273"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the extent permitted under our partnership agreement, provide funds for distributions to our unitholders and to our General Partner for any one or more of the next four quarters; provided, however, that our board of directors may not establish such cash reserves in respect of the Class B Units if, as a result, we are unable to distribute the minimum quarterly distribution on our Class B Units in cash, plus any arrearages on all Class B Units nor may our board of directors establish such cash reserves in respect of our common units if, as a result, we are unable to distribute the minimum quarterly distribution on all Class B Units and the minimum quarterly distribution on all common units, plus any arrearage on all common units;</w:t>
      </w:r>
    </w:p>
    <w:p>
      <w:pPr>
        <w:spacing w:after="0" w:line="83" w:lineRule="exact"/>
        <w:rPr>
          <w:rFonts w:ascii="Arial" w:cs="Arial" w:eastAsia="Arial" w:hAnsi="Arial"/>
          <w:sz w:val="17"/>
          <w:szCs w:val="17"/>
          <w:color w:val="auto"/>
        </w:rPr>
      </w:pPr>
    </w:p>
    <w:p>
      <w:pPr>
        <w:jc w:val="both"/>
        <w:ind w:left="1460" w:hanging="547"/>
        <w:spacing w:after="0" w:line="286" w:lineRule="auto"/>
        <w:tabs>
          <w:tab w:leader="none" w:pos="1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Quarterly Distribution</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partnership agreement provides that the minimum quarterly distribution on our common units is $0.2325 per unit, which is equal to $0.93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minimum quarterly distribution on our Class B Units is $0.21375 per unit, which is equal to $0.855 per unit per year. Distributions on our Class B Units are cumulative in that they shall accumulate whether or not any restrictions (such as arising out of our indebtedness) prohibit the authorization, declaration and payment of such distributions, whether or not there is sufficient available cash for the payment of such distributions and whether or not such distributions are authorized by our board of directors.</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the Class B Units do not receive the full amount of the distribution for such period in cash, no distributions can be made on our common units. If we do not have the available cash to pay the minimum quarterly distribution on our Class B Units in any quarter, then the amount due per Class B Unit will accrue at 11.5% per annum for such quarter and, if such distribution has been authorized by our board of directors for such quarter, shall be paid, to the extent of such shortfall, by issuing a number of common units calculated based on the lesser of the 30-day volume weighted average price (or VWAP) of our common unit and the 90-day VWAP of our common units.</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event we experience a change of control, the minimum quarterly distribution rate on our Class B Units will equal 1.25 times the then applicable distribution rate. Upon the occurrence of a cross default or certain defaults on the payment of cash distributions on Class B Units, the distribution rate will equal 1.25 times the then applicable distribution rate, and on each subsequent payment date, the then applicable distribution rate will further increase to a rate that is 1.25 times the then applicable distribution rate as of the close of business on the day immediately preceding such distribution payment date, until the cross default or payment default is cured. The applicable quarterly distribution rate for the Class B Units as a result of such increases however shall not exceed $0.33345 per Class B Unit.</w:t>
      </w:r>
    </w:p>
    <w:p>
      <w:pPr>
        <w:spacing w:after="0" w:line="19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any quarter where the distributions on common units is greater than the common unit minimum quarterly distribution rate, whether as a result of an increase in the customary quarterly distribution or a special distribution on the common units, the corresponding distribution on the Class B Units shall be increased pro rata (on an as converted basis) for the quarter by the amount that the actual distribution on the common units exceeds the common unit minimum quarterly distribution rate.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7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87" w:lineRule="exact"/>
        <w:rPr>
          <w:sz w:val="20"/>
          <w:szCs w:val="20"/>
          <w:color w:val="auto"/>
        </w:rPr>
      </w:pPr>
    </w:p>
    <w:p>
      <w:pPr>
        <w:jc w:val="both"/>
        <w:ind w:left="1460" w:right="500" w:hanging="547"/>
        <w:spacing w:after="0" w:line="264" w:lineRule="auto"/>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86" w:lineRule="exact"/>
        <w:rPr>
          <w:rFonts w:ascii="Arial" w:cs="Arial" w:eastAsia="Arial" w:hAnsi="Arial"/>
          <w:sz w:val="18"/>
          <w:szCs w:val="18"/>
          <w:color w:val="auto"/>
        </w:rPr>
      </w:pPr>
    </w:p>
    <w:p>
      <w:pPr>
        <w:ind w:left="1460" w:right="420" w:hanging="547"/>
        <w:spacing w:after="0" w:line="279" w:lineRule="auto"/>
        <w:tabs>
          <w:tab w:leader="none" w:pos="1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 (including in certain circumstances described in our partnership agreement with the holders of Class B Units voting on an as-converted basis).</w:t>
      </w:r>
    </w:p>
    <w:p>
      <w:pPr>
        <w:spacing w:after="0" w:line="76" w:lineRule="exact"/>
        <w:rPr>
          <w:rFonts w:ascii="Arial" w:cs="Arial" w:eastAsia="Arial" w:hAnsi="Arial"/>
          <w:sz w:val="17"/>
          <w:szCs w:val="17"/>
          <w:color w:val="auto"/>
        </w:rPr>
      </w:pPr>
    </w:p>
    <w:p>
      <w:pPr>
        <w:ind w:left="1460" w:right="40" w:hanging="547"/>
        <w:spacing w:after="0" w:line="264" w:lineRule="auto"/>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57"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93" w:lineRule="exact"/>
        <w:rPr>
          <w:rFonts w:ascii="Arial" w:cs="Arial" w:eastAsia="Arial" w:hAnsi="Arial"/>
          <w:sz w:val="18"/>
          <w:szCs w:val="18"/>
          <w:color w:val="auto"/>
        </w:rPr>
      </w:pPr>
    </w:p>
    <w:p>
      <w:pPr>
        <w:ind w:left="1460" w:right="140" w:hanging="547"/>
        <w:spacing w:after="0" w:line="276" w:lineRule="auto"/>
        <w:tabs>
          <w:tab w:leader="none" w:pos="1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Our common units are subject to the prior distribution rights of any holders of our preferred units then outstanding. Under the terms of our partnership agreement, we are prohibited from declaring and paying distributions on our common units until we declare and pay (or set aside for payment) full distributions on the Class B Units. Furthermore, an upward adjustment to the distribution rate for the Class B Units occurs in the event the distribution rate on our common units is increased or upon the occurrence of a cross default or certain defaults on the payment of cash distributions on our Class B Units.</w:t>
      </w:r>
    </w:p>
    <w:p>
      <w:pPr>
        <w:spacing w:after="0" w:line="77" w:lineRule="exact"/>
        <w:rPr>
          <w:rFonts w:ascii="Arial" w:cs="Arial" w:eastAsia="Arial" w:hAnsi="Arial"/>
          <w:sz w:val="17"/>
          <w:szCs w:val="17"/>
          <w:color w:val="auto"/>
        </w:rPr>
      </w:pPr>
    </w:p>
    <w:p>
      <w:pPr>
        <w:ind w:left="1460" w:right="60" w:hanging="547"/>
        <w:spacing w:after="0" w:line="279" w:lineRule="auto"/>
        <w:tabs>
          <w:tab w:leader="none" w:pos="1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76" w:lineRule="exact"/>
        <w:rPr>
          <w:rFonts w:ascii="Arial" w:cs="Arial" w:eastAsia="Arial" w:hAnsi="Arial"/>
          <w:sz w:val="17"/>
          <w:szCs w:val="17"/>
          <w:color w:val="auto"/>
        </w:rPr>
      </w:pPr>
    </w:p>
    <w:p>
      <w:pPr>
        <w:ind w:left="1460" w:right="60" w:hanging="547"/>
        <w:spacing w:after="0" w:line="279" w:lineRule="auto"/>
        <w:tabs>
          <w:tab w:leader="none" w:pos="1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revolving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6" w:lineRule="exact"/>
        <w:rPr>
          <w:rFonts w:ascii="Arial" w:cs="Arial" w:eastAsia="Arial" w:hAnsi="Arial"/>
          <w:sz w:val="17"/>
          <w:szCs w:val="17"/>
          <w:color w:val="auto"/>
        </w:rPr>
      </w:pPr>
    </w:p>
    <w:p>
      <w:pPr>
        <w:ind w:left="1460" w:right="200" w:hanging="547"/>
        <w:spacing w:after="0" w:line="264"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460" w:right="220" w:hanging="547"/>
        <w:spacing w:after="0" w:line="264"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76" w:lineRule="exact"/>
        <w:rPr>
          <w:sz w:val="20"/>
          <w:szCs w:val="20"/>
          <w:color w:val="auto"/>
        </w:rPr>
      </w:pPr>
    </w:p>
    <w:p>
      <w:pPr>
        <w:ind w:left="1460" w:right="100" w:hanging="547"/>
        <w:spacing w:after="0" w:line="277" w:lineRule="auto"/>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January 2010, we introduced an annual distribution guidance of $0.90 per unit per annum, which was revised in July 2010 upwards to $0.93 per unit per annum, or $0.2325 per quarter.</w:t>
      </w:r>
    </w:p>
    <w:p>
      <w:pPr>
        <w:spacing w:after="0" w:line="75" w:lineRule="exact"/>
        <w:rPr>
          <w:rFonts w:ascii="Arial" w:cs="Arial" w:eastAsia="Arial" w:hAnsi="Arial"/>
          <w:sz w:val="18"/>
          <w:szCs w:val="18"/>
          <w:color w:val="auto"/>
        </w:rPr>
      </w:pPr>
    </w:p>
    <w:p>
      <w:pPr>
        <w:ind w:left="1460" w:right="80" w:hanging="547"/>
        <w:spacing w:after="0" w:line="257" w:lineRule="auto"/>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April 30, 2015, we announced that it was our objective to increase our common and Class B distributions between 2% and 3% per annum for the foreseeable future. As a result, we increased our quarterly distribution for the first quarter of 2015 by $0.002 to $0.2345, for the second quarter of 2015 to $0.2365 and for the third quarter of 2015 to $0.2385. Our board of directors maintained the distribution level for the fourth quarter at $0.2385, due to the severe pricing dislocation for Master Limited Partnerships observed at the end of 2015 and at the beginning of 2016.</w:t>
      </w:r>
    </w:p>
    <w:p>
      <w:pPr>
        <w:spacing w:after="0" w:line="93" w:lineRule="exact"/>
        <w:rPr>
          <w:rFonts w:ascii="Arial" w:cs="Arial" w:eastAsia="Arial" w:hAnsi="Arial"/>
          <w:sz w:val="18"/>
          <w:szCs w:val="18"/>
          <w:color w:val="auto"/>
        </w:rPr>
      </w:pPr>
    </w:p>
    <w:p>
      <w:pPr>
        <w:ind w:left="1460" w:right="40" w:hanging="547"/>
        <w:spacing w:after="0" w:line="272" w:lineRule="auto"/>
        <w:tabs>
          <w:tab w:leader="none" w:pos="1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April 2016, in the face of severely depressed trading prices for master limited partnerships, including us, a significant deterioration in our cost of capital and potential loss of revenue, the board of directors made the decision to protect our liquidity position by creating a capital reserve, provisioning further reserves and setting distributions at a level that the board believes to be sustainable and consistent with the proper conduct of our business. The capital reserve, set by the board of directors at approximately $14.6 million per quarter, is intended to address amortization requirements under our credit facilities through the end of 2018. Accordingly, our board of directors issued a new quarterly distribution guidance of $0.075 per common unit. We made distributions on our common units in accordance with this new guidance in May 2016, August 2016 and November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0" w:hanging="547"/>
        <w:spacing w:after="0" w:line="264" w:lineRule="auto"/>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October 2016, our board of directors considering the positive impact of the expansion of our asset base following the acquisition of the M/T Amor, decided to approve an increase by $0.005 in our quarterly distribution for the fourth quarter 2016 onwards to $0.08 per common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For any period, other than the quarter during which an event giving rise to our liquidation occurs (unless our unitholders have a right to elect to continue our business and so elect), operating surplus generally means:</w:t>
      </w:r>
    </w:p>
    <w:p>
      <w:pPr>
        <w:spacing w:after="0" w:line="76" w:lineRule="exact"/>
        <w:rPr>
          <w:sz w:val="20"/>
          <w:szCs w:val="20"/>
          <w:color w:val="auto"/>
        </w:rPr>
      </w:pPr>
    </w:p>
    <w:p>
      <w:pPr>
        <w:ind w:left="1460" w:right="300" w:hanging="547"/>
        <w:spacing w:after="0" w:line="342"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29" w:lineRule="exact"/>
        <w:rPr>
          <w:rFonts w:ascii="Arial" w:cs="Arial" w:eastAsia="Arial" w:hAnsi="Arial"/>
          <w:sz w:val="16"/>
          <w:szCs w:val="16"/>
          <w:color w:val="auto"/>
        </w:rPr>
      </w:pPr>
    </w:p>
    <w:p>
      <w:pPr>
        <w:ind w:left="1460" w:right="760" w:hanging="547"/>
        <w:spacing w:after="0" w:line="342"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working capital borrowings made after the end of a quarter but before the date of determination of operating surplus for the quarter; plus</w:t>
      </w:r>
    </w:p>
    <w:p>
      <w:pPr>
        <w:spacing w:after="0" w:line="153" w:lineRule="exact"/>
        <w:rPr>
          <w:rFonts w:ascii="Arial" w:cs="Arial" w:eastAsia="Arial" w:hAnsi="Arial"/>
          <w:sz w:val="16"/>
          <w:szCs w:val="16"/>
          <w:color w:val="auto"/>
        </w:rPr>
      </w:pPr>
    </w:p>
    <w:p>
      <w:pPr>
        <w:jc w:val="both"/>
        <w:ind w:left="1460" w:right="420" w:hanging="547"/>
        <w:spacing w:after="0" w:line="286" w:lineRule="auto"/>
        <w:tabs>
          <w:tab w:leader="none" w:pos="1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70" w:lineRule="exact"/>
        <w:rPr>
          <w:rFonts w:ascii="Arial" w:cs="Arial" w:eastAsia="Arial" w:hAnsi="Arial"/>
          <w:sz w:val="17"/>
          <w:szCs w:val="17"/>
          <w:color w:val="auto"/>
        </w:rPr>
      </w:pPr>
    </w:p>
    <w:p>
      <w:pPr>
        <w:ind w:left="1460" w:right="160" w:hanging="547"/>
        <w:spacing w:after="0" w:line="264" w:lineRule="auto"/>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of our operating expenditures after the repayment of working capital borrowings, but not (1) the repayment of other borrowings,</w:t>
      </w:r>
    </w:p>
    <w:p>
      <w:pPr>
        <w:spacing w:after="0" w:line="34" w:lineRule="exact"/>
        <w:rPr>
          <w:rFonts w:ascii="Arial" w:cs="Arial" w:eastAsia="Arial" w:hAnsi="Arial"/>
          <w:sz w:val="17"/>
          <w:szCs w:val="17"/>
          <w:color w:val="auto"/>
        </w:rPr>
      </w:pPr>
    </w:p>
    <w:p>
      <w:pPr>
        <w:ind w:left="1720" w:hanging="253"/>
        <w:spacing w:after="0"/>
        <w:tabs>
          <w:tab w:leader="none" w:pos="17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actual maintenance and replacement capital expenditures or expansion capital expenditures or investment capital expenditures,</w:t>
      </w:r>
    </w:p>
    <w:p>
      <w:pPr>
        <w:spacing w:after="0" w:line="20" w:lineRule="exact"/>
        <w:rPr>
          <w:rFonts w:ascii="Arial" w:cs="Arial" w:eastAsia="Arial" w:hAnsi="Arial"/>
          <w:sz w:val="17"/>
          <w:szCs w:val="17"/>
          <w:color w:val="auto"/>
        </w:rPr>
      </w:pPr>
    </w:p>
    <w:p>
      <w:pPr>
        <w:ind w:left="1720" w:hanging="253"/>
        <w:spacing w:after="0"/>
        <w:tabs>
          <w:tab w:leader="none" w:pos="17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transaction expenses (including taxes) related to interim capital transactions or (4) distributions; less</w:t>
      </w:r>
    </w:p>
    <w:p>
      <w:pPr>
        <w:spacing w:after="0" w:line="116"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estimated maintenance and replacement capital expenditures and the amount of cash reserves established by our board of directors to provide funds for future operating expenditures; less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working capital borrowings not repaid within twelve months after having been incurred.</w:t>
      </w:r>
    </w:p>
    <w:p>
      <w:pPr>
        <w:spacing w:after="0" w:line="225"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Investment capital expenditures are those that are neither maintenance and replacement capital expenditures nor expansion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capital expenditures largely will consist of capital expenditures made for investment purposes.</w:t>
      </w:r>
    </w:p>
    <w:p>
      <w:pPr>
        <w:spacing w:after="0" w:line="21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17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11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Any available cash that is distributed after we distribute the operating surplus is capital surplus. Capital surplus generally is expected to be generated by:</w:t>
      </w:r>
    </w:p>
    <w:p>
      <w:pPr>
        <w:spacing w:after="0" w:line="76" w:lineRule="exact"/>
        <w:rPr>
          <w:sz w:val="20"/>
          <w:szCs w:val="20"/>
          <w:color w:val="auto"/>
        </w:rPr>
      </w:pPr>
    </w:p>
    <w:p>
      <w:pPr>
        <w:ind w:left="1460" w:hanging="547"/>
        <w:spacing w:after="0"/>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make quarterly distributions of available cash from operating surplus in the following manner, after payment of any amounts owed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Units and subject to applicable law:</w:t>
      </w:r>
    </w:p>
    <w:p>
      <w:pPr>
        <w:spacing w:after="0" w:line="116" w:lineRule="exact"/>
        <w:rPr>
          <w:sz w:val="20"/>
          <w:szCs w:val="20"/>
          <w:color w:val="auto"/>
        </w:rPr>
      </w:pPr>
    </w:p>
    <w:p>
      <w:pPr>
        <w:ind w:left="1460" w:right="240" w:hanging="547"/>
        <w:spacing w:after="0" w:line="277" w:lineRule="auto"/>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and Class B Units, considered together as a single class (excluding those common units held by our General Partner and its affiliates), voting separately as a class, generally is required for a transfer of the incentive distribution rights to a third party prior to March 31, 2017. Please read “The Partnership Agreement—Transfer of Incentive Distribution Rights.” Any transfer by our General Partner of the incentive distribution rights would not change the percentage allocations of quarterly distributions with respect to such rights.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for any quarter:</w:t>
      </w:r>
    </w:p>
    <w:p>
      <w:pPr>
        <w:spacing w:after="0" w:line="131" w:lineRule="exact"/>
        <w:rPr>
          <w:sz w:val="20"/>
          <w:szCs w:val="20"/>
          <w:color w:val="auto"/>
        </w:rPr>
      </w:pPr>
    </w:p>
    <w:p>
      <w:pPr>
        <w:ind w:left="1460" w:hanging="547"/>
        <w:spacing w:after="0"/>
        <w:tabs>
          <w:tab w:leader="none" w:pos="1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have paid to the holders of our Class B units the minimum quarterly amount we have promised to them, and all arrearages;</w:t>
      </w:r>
    </w:p>
    <w:p>
      <w:pPr>
        <w:spacing w:after="0" w:line="142" w:lineRule="exact"/>
        <w:rPr>
          <w:rFonts w:ascii="Arial" w:cs="Arial" w:eastAsia="Arial" w:hAnsi="Arial"/>
          <w:sz w:val="17"/>
          <w:szCs w:val="17"/>
          <w:color w:val="auto"/>
        </w:rPr>
      </w:pPr>
    </w:p>
    <w:p>
      <w:pPr>
        <w:ind w:left="1460" w:right="14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have paid to the holders of any other outstanding units that are senior in right of distribution to our common units the agreed amount of distribution; and</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then, we will distribute any additional available cash from operating surplus for that quarter among the unitholders and our General Partner in the following manner:</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each unitholder receives a total of $0.2425 per unit for that quarter (the “first target distribution”);</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second, 85% to all unitholders, pro rata, and 15% to our General Partner, until each unitholder receives a total of $0.2675 per unit for that quarter (the “second target distribution”);</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third, 75% to all unitholders, pro rata, and 25% to our General Partner, until each unitholder receives a total of $0.2925 per unit for that quarter (the “third target distribution”);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thereafter, 65% to all unitholders, pro rata, and 35% to our General Partner.</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percentage interests set forth above assume that our General Partner maintains its 2.0% general partner interest and has not transferred the incentive distribution rights and that we do not issue additional classes of equity securities.</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Following discussion with, and with the unanimous support of, the conflicts committee of our board of directors, Capital Maritime permanently waived its rights to receive quarterly incentive distributions between $0.2425 and $0.25. This waiver effectively increases the first target distribution and the lower bound of the second target distribution (as referenced in the table below) from $0.2425 to $0.25.</w:t>
      </w:r>
    </w:p>
    <w:p>
      <w:pPr>
        <w:spacing w:after="0" w:line="181"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Arrearages on Class B Units do not accrue interest. In addition, holders of Class B Units are not entitled to any distributions, whether payable in cash, property or partnership interests, in excess of the then arrearage plus the minimum quarterly distribution on the Class B Units for the relevant quarter.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percentage allocations in the table are subject to the distribution rights of the holders of our Class B Units.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upon conversion of its general partner units, our General Partner maintains a 2.0% general partner interest and assume our General Partner has not transferred the incentive distribution rights.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Quarterly Distribution Target Amount</w:t>
            </w:r>
          </w:p>
        </w:tc>
        <w:tc>
          <w:tcPr>
            <w:tcW w:w="500" w:type="dxa"/>
            <w:vAlign w:val="bottom"/>
            <w:vMerge w:val="restart"/>
          </w:tcPr>
          <w:p>
            <w:pPr>
              <w:spacing w:after="0"/>
              <w:rPr>
                <w:sz w:val="10"/>
                <w:szCs w:val="10"/>
                <w:color w:val="auto"/>
              </w:rPr>
            </w:pPr>
          </w:p>
        </w:tc>
        <w:tc>
          <w:tcPr>
            <w:tcW w:w="140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9"/>
              </w:rPr>
              <w:t>Unitholders</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0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5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58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up to $0.2425</w:t>
            </w:r>
            <w:r>
              <w:rPr>
                <w:rFonts w:ascii="Arial" w:cs="Arial" w:eastAsia="Arial" w:hAnsi="Arial"/>
                <w:sz w:val="15"/>
                <w:szCs w:val="15"/>
                <w:color w:val="auto"/>
                <w:w w:val="91"/>
              </w:rPr>
              <w:t>(1)</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above $0.2425</w:t>
            </w:r>
            <w:r>
              <w:rPr>
                <w:rFonts w:ascii="Arial" w:cs="Arial" w:eastAsia="Arial" w:hAnsi="Arial"/>
                <w:sz w:val="15"/>
                <w:szCs w:val="15"/>
                <w:color w:val="auto"/>
                <w:w w:val="89"/>
              </w:rPr>
              <w:t>(1)</w:t>
            </w:r>
            <w:r>
              <w:rPr>
                <w:rFonts w:ascii="Arial" w:cs="Arial" w:eastAsia="Arial" w:hAnsi="Arial"/>
                <w:sz w:val="18"/>
                <w:szCs w:val="18"/>
                <w:color w:val="auto"/>
                <w:w w:val="89"/>
              </w:rPr>
              <w:t xml:space="preserve"> up to $0.2675</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5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above $0.2675 up to $0.2925</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above $0.2925</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79" w:lineRule="auto"/>
        <w:tabs>
          <w:tab w:leader="none" w:pos="460" w:val="left"/>
        </w:tabs>
        <w:numPr>
          <w:ilvl w:val="0"/>
          <w:numId w:val="118"/>
        </w:numPr>
        <w:rPr>
          <w:rFonts w:ascii="Arial" w:cs="Arial" w:eastAsia="Arial" w:hAnsi="Arial"/>
          <w:sz w:val="14"/>
          <w:szCs w:val="14"/>
          <w:color w:val="auto"/>
        </w:rPr>
      </w:pPr>
      <w:r>
        <w:rPr>
          <w:rFonts w:ascii="Arial" w:cs="Arial" w:eastAsia="Arial" w:hAnsi="Arial"/>
          <w:sz w:val="17"/>
          <w:szCs w:val="17"/>
          <w:color w:val="auto"/>
        </w:rPr>
        <w:t>As disclosed on our Current Report on Form 6-K furnished on August 26, 2014, Capital Maritime unilaterally notified the Partnership that it decided to waive its rights to receive quarterly incentive distributions between $0.2425 and $0.25.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$0.2425 to $0.25.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w:t>
      </w:r>
    </w:p>
    <w:p>
      <w:pPr>
        <w:spacing w:after="0" w:line="131" w:lineRule="exact"/>
        <w:rPr>
          <w:sz w:val="20"/>
          <w:szCs w:val="20"/>
          <w:color w:val="auto"/>
        </w:rPr>
      </w:pPr>
    </w:p>
    <w:p>
      <w:pPr>
        <w:ind w:left="1460" w:right="120" w:hanging="547"/>
        <w:spacing w:after="0" w:line="259" w:lineRule="auto"/>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first, 100% to the Class B unitholders, pro rata, until we distribute in respect of each outstanding unit an aggregate amount of available cash from capital surplus equal to the sum of: (i) the per unit purchase price of $9.00, plus (ii) arrearages in payment of the minimum quarterly distribution on the Class B units, plus (iii) the accrued minimum quarterly distribution rate for the Class B units since the close of the last complete quarter; and</w:t>
      </w:r>
    </w:p>
    <w:p>
      <w:pPr>
        <w:spacing w:after="0" w:line="92" w:lineRule="exact"/>
        <w:rPr>
          <w:rFonts w:ascii="Arial" w:cs="Arial" w:eastAsia="Arial" w:hAnsi="Arial"/>
          <w:sz w:val="18"/>
          <w:szCs w:val="18"/>
          <w:color w:val="auto"/>
        </w:rPr>
      </w:pPr>
    </w:p>
    <w:p>
      <w:pPr>
        <w:jc w:val="both"/>
        <w:ind w:left="1460" w:right="120" w:hanging="547"/>
        <w:spacing w:after="0" w:line="342" w:lineRule="auto"/>
        <w:tabs>
          <w:tab w:leader="none" w:pos="1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second, 98% to the common unitholders, pro rata, and 2% to our General Partner, until we distribute for each common unit an aggregate amount of available cash from capital surplus equal to the initial unit price of the common units issued in our initial public offering;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thereafter, we will make distributions of available cash from capital surplus as if they were from operating surplus.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However, any distribution of capital surplus before the minimum quarterly distribution is reduced to zero cannot be applied to the payment of the minimum quarterly distribution or any arrearages.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we combine our units into fewer units or subdivide our units into a greater number of units, we will proportionately adjust:</w:t>
      </w:r>
    </w:p>
    <w:p>
      <w:pPr>
        <w:spacing w:after="0" w:line="76" w:lineRule="exact"/>
        <w:rPr>
          <w:sz w:val="20"/>
          <w:szCs w:val="20"/>
          <w:color w:val="auto"/>
        </w:rPr>
      </w:pPr>
    </w:p>
    <w:p>
      <w:pPr>
        <w:ind w:left="1460" w:hanging="547"/>
        <w:spacing w:after="0"/>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minimum quarterly distribution;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For example, if a two-for-one split of the common and subordinated units should occur, the minimum quarterly distribution, the target distribution levels would be reduced to 50% of its initial level. We will not make any adjustment by reason of the issuance of additional units for cash or property.</w:t>
      </w:r>
    </w:p>
    <w:p>
      <w:pPr>
        <w:spacing w:after="0" w:line="18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Holders of outstanding Class B Units will be entitled to receive, prior and in preference to any distribution to the holders of common units (or any class or series of partnership interests ranking junior to the Class B Units) a sum of:</w:t>
      </w:r>
    </w:p>
    <w:p>
      <w:pPr>
        <w:spacing w:after="0" w:line="76" w:lineRule="exact"/>
        <w:rPr>
          <w:sz w:val="20"/>
          <w:szCs w:val="20"/>
          <w:color w:val="auto"/>
        </w:rPr>
      </w:pPr>
    </w:p>
    <w:p>
      <w:pPr>
        <w:ind w:left="1460" w:hanging="547"/>
        <w:spacing w:after="0"/>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 unit purchase price of $9.00; 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arrearages in payment of the minimum quarterly distribution on the Class B units; plus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accrued minimum quarterly distribution rate for the Class B units since the close of the last complete quarter.</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Once the Class B units have been paid the full liquidation value described above, the remaining proceeds will be distributed to common unitholders as follows.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76" w:lineRule="exact"/>
        <w:rPr>
          <w:sz w:val="20"/>
          <w:szCs w:val="20"/>
          <w:color w:val="auto"/>
        </w:rPr>
      </w:pPr>
    </w:p>
    <w:p>
      <w:pPr>
        <w:ind w:left="1460" w:right="18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(as described below); plus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(less any prior capital surplus distributions and any prior cash distributions made in connection with a partial liquidation);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131" w:lineRule="exact"/>
        <w:rPr>
          <w:sz w:val="20"/>
          <w:szCs w:val="20"/>
          <w:color w:val="auto"/>
        </w:rPr>
      </w:pPr>
    </w:p>
    <w:p>
      <w:pPr>
        <w:ind w:left="1460" w:right="160" w:hanging="547"/>
        <w:spacing w:after="0" w:line="277" w:lineRule="auto"/>
        <w:tabs>
          <w:tab w:leader="none" w:pos="1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the current market price of our common units;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76" w:lineRule="exact"/>
        <w:rPr>
          <w:sz w:val="20"/>
          <w:szCs w:val="20"/>
          <w:color w:val="auto"/>
        </w:rPr>
      </w:pPr>
    </w:p>
    <w:p>
      <w:pPr>
        <w:ind w:left="1460" w:right="220" w:hanging="547"/>
        <w:spacing w:after="0" w:line="277" w:lineRule="auto"/>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plus</w:t>
      </w:r>
    </w:p>
    <w:p>
      <w:pPr>
        <w:spacing w:after="0" w:line="75"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(less any prior capital surplus distributions and any prior cash distributions made in connection with a partial liquidation);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then the proceeds of the liquidation will be applied as follows:</w:t>
      </w:r>
    </w:p>
    <w:p>
      <w:pPr>
        <w:spacing w:after="0" w:line="130" w:lineRule="exact"/>
        <w:rPr>
          <w:rFonts w:ascii="Arial" w:cs="Arial" w:eastAsia="Arial" w:hAnsi="Arial"/>
          <w:sz w:val="18"/>
          <w:szCs w:val="18"/>
          <w:color w:val="auto"/>
        </w:rPr>
      </w:pPr>
    </w:p>
    <w:p>
      <w:pPr>
        <w:jc w:val="both"/>
        <w:ind w:left="1460" w:right="140" w:hanging="547"/>
        <w:spacing w:after="0" w:line="264" w:lineRule="auto"/>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such initial unit price (less any prior capital surplus distributions and any prior cash distributions made in connection with a partial liquidation);</w:t>
      </w:r>
    </w:p>
    <w:p>
      <w:pPr>
        <w:spacing w:after="0" w:line="86" w:lineRule="exact"/>
        <w:rPr>
          <w:rFonts w:ascii="Arial" w:cs="Arial" w:eastAsia="Arial" w:hAnsi="Arial"/>
          <w:sz w:val="18"/>
          <w:szCs w:val="18"/>
          <w:color w:val="auto"/>
        </w:rPr>
      </w:pPr>
    </w:p>
    <w:p>
      <w:pPr>
        <w:ind w:left="1460" w:right="280" w:hanging="547"/>
        <w:spacing w:after="0" w:line="264" w:lineRule="auto"/>
        <w:tabs>
          <w:tab w:leader="none" w:pos="1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has not transferred the incentive distribution rights and that we do not issue additional classes of equity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 Period</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333" w:lineRule="exact"/>
        <w:rPr>
          <w:sz w:val="20"/>
          <w:szCs w:val="20"/>
          <w:color w:val="auto"/>
        </w:rPr>
      </w:pPr>
    </w:p>
    <w:p>
      <w:pPr>
        <w:ind w:left="1920" w:hanging="440"/>
        <w:spacing w:after="0"/>
        <w:tabs>
          <w:tab w:leader="none" w:pos="19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225"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On January 18, 2017, we declared a cash distribution of $0.08 per common unit for the fourth quarter of 2016, which will be paid on February 15, 2017 to unitholders of record on February 6, 2017.</w:t>
      </w:r>
    </w:p>
    <w:p>
      <w:pPr>
        <w:spacing w:after="0" w:line="170"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On January 18, 2017, we declared a cash distribution of $0.21375 per Class B Unit for the fourth quarter of 2016, in line with our partnership agreement. The fourth quarter Class B Unit cash distribution will be paid on February 10, 2017, to Class B unitholders of record on February 3, 2017.</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Our common units started trading on the Nasdaq Global Select Market under the symbol “CPLP” on March 30, 2007. The following table sets forth the high and low closing sales prices in U.S. Dollars for our common units for each of the periods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2016</w:t>
            </w:r>
          </w:p>
        </w:tc>
        <w:tc>
          <w:tcPr>
            <w:tcW w:w="46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2.51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5.05</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2014</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11.56</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6.79</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6.81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2012</w:t>
            </w:r>
          </w:p>
        </w:tc>
        <w:tc>
          <w:tcPr>
            <w:tcW w:w="460" w:type="dxa"/>
            <w:vAlign w:val="bottom"/>
          </w:tcPr>
          <w:p>
            <w:pPr>
              <w:jc w:val="right"/>
              <w:spacing w:after="0"/>
              <w:rPr>
                <w:sz w:val="20"/>
                <w:szCs w:val="20"/>
                <w:color w:val="auto"/>
              </w:rPr>
            </w:pPr>
            <w:r>
              <w:rPr>
                <w:rFonts w:ascii="Arial" w:cs="Arial" w:eastAsia="Arial" w:hAnsi="Arial"/>
                <w:sz w:val="18"/>
                <w:szCs w:val="18"/>
                <w:color w:val="auto"/>
              </w:rPr>
              <w:t>8.74</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6.21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December 31, 2016</w:t>
            </w: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2.80</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June 30, 2016</w:t>
            </w: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2.56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2.51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December 31, 2015</w:t>
            </w:r>
          </w:p>
        </w:tc>
        <w:tc>
          <w:tcPr>
            <w:tcW w:w="46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5.05</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5.94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June 30, 2015</w:t>
            </w:r>
          </w:p>
        </w:tc>
        <w:tc>
          <w:tcPr>
            <w:tcW w:w="460" w:type="dxa"/>
            <w:vAlign w:val="bottom"/>
          </w:tcPr>
          <w:p>
            <w:pPr>
              <w:jc w:val="right"/>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7.84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Month Ended: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 28, 2017</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3.70</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January 31, 2017</w:t>
            </w: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3.16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2.87</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November 30, 2016</w:t>
            </w: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October 31,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3.04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September 30, 2016</w:t>
            </w:r>
          </w:p>
        </w:tc>
        <w:tc>
          <w:tcPr>
            <w:tcW w:w="46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3.24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August 31,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3.35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Through February 1, 2017.</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1920" w:hanging="440"/>
        <w:spacing w:after="0"/>
        <w:tabs>
          <w:tab w:leader="none" w:pos="19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PARTNERSHIP AGREEMENT</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following is a summary of the material provisions of our partnership agreement. The partnership agreement, as amended, is filed as Exhibit I to our Current Report on Form 6-K dated February 24, 2010, as Exhibit I to our Current Report on Form 6-K dated September 30, 2011, as Exhibit II to our Current Report on Form 6-K/A dated May 23, 2012, as Exhibit II to our Current Report on Form 6-K dated March 21, 2013 and as Exhibit A to Exhibit I to our Current Report on Form 6-K dated August 26, 2014. We will provide prospective investors with a copy of our limited partnership agreement and any amendments thereto upon request at no charge.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summarize the following provisions of our partnership agreement elsewhere in this annual report:</w:t>
      </w:r>
    </w:p>
    <w:p>
      <w:pPr>
        <w:spacing w:after="0" w:line="131" w:lineRule="exact"/>
        <w:rPr>
          <w:sz w:val="20"/>
          <w:szCs w:val="20"/>
          <w:color w:val="auto"/>
        </w:rPr>
      </w:pPr>
    </w:p>
    <w:p>
      <w:pPr>
        <w:ind w:left="5580" w:right="460" w:hanging="4667"/>
        <w:spacing w:after="0" w:line="449" w:lineRule="auto"/>
        <w:tabs>
          <w:tab w:leader="none" w:pos="146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“Item 8: Financial Information—How We Make Cash Distributions”; and 111</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77"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regard to the fiduciary duties of our General Partner and our directors, please read “Item 7.B: Related Party Transactions—Conflicts of Interest and Fiduciary Duties.”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were organized on January 16, 2007 and have perpetual existence.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MILPA.</w:t>
      </w:r>
    </w:p>
    <w:p>
      <w:pPr>
        <w:spacing w:after="0" w:line="170"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Unitholders are not obligated to make additional capital contributions, except as described below under “—Limited Liability.”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outstanding common unit is entitled to one vote on matters subject to a vote of common unitholders.</w:t>
      </w:r>
    </w:p>
    <w:p>
      <w:pPr>
        <w:spacing w:after="0" w:line="225"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The holders of the Class B Units have voting rights that are identical to the voting rights of the common units on an as converted basis and will vote with the common units as a single class on all matters with respect to which each common unit is entitled to vote, provided, however, that except in the circumstances described below, holders of Class B Units have no right to vote for, elect or appoint any director, or to nominate any individual to stand for election or appointment as a director. </w:t>
      </w:r>
      <w:r>
        <w:rPr>
          <w:rFonts w:ascii="Arial" w:cs="Arial" w:eastAsia="Arial" w:hAnsi="Arial"/>
          <w:sz w:val="18"/>
          <w:szCs w:val="18"/>
          <w:i w:val="1"/>
          <w:iCs w:val="1"/>
          <w:color w:val="auto"/>
        </w:rPr>
        <w:t>Therefore, whenever we refer to a vote of the common unit holders in this summary, you should be aware that the</w:t>
      </w:r>
      <w:r>
        <w:rPr>
          <w:rFonts w:ascii="Arial" w:cs="Arial" w:eastAsia="Arial" w:hAnsi="Arial"/>
          <w:sz w:val="18"/>
          <w:szCs w:val="18"/>
          <w:color w:val="auto"/>
        </w:rPr>
        <w:t xml:space="preserve"> </w:t>
      </w:r>
      <w:r>
        <w:rPr>
          <w:rFonts w:ascii="Arial" w:cs="Arial" w:eastAsia="Arial" w:hAnsi="Arial"/>
          <w:sz w:val="18"/>
          <w:szCs w:val="18"/>
          <w:i w:val="1"/>
          <w:iCs w:val="1"/>
          <w:color w:val="auto"/>
        </w:rPr>
        <w:t>holders of the Class B Units will vote with the common unit holders on an as converted basis as a single class, except on any election of a director on our board of directors.</w:t>
      </w:r>
    </w:p>
    <w:p>
      <w:pPr>
        <w:spacing w:after="0" w:line="19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66"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We will hold a meeting of the limited partners every year to elect one or more members of our board of directors and to vote on any other matters that are properly brought before the meeting. The sole member of our General Partner, CMTC, has the right to appoint three of the eight members of our board of directors with the remaining five directors being elected by our common unitholders. Holders of the Class B Units do not have the right to elect directors, except upon the occurrence of certain triggering events. Among other consequences, if we fail to pay the minimum Class B Unit distribution, as set out in our partnership agreement, for six or more quarters, the holders of the Class B Units will have the right to appoint a director to our board and, if such arrearages exist on or after March 1, 2018, to replace the directors appointed by our General Partner, in each case by the affirmative vote of the holders of a majority of the Class B Units, subject to exceptions and conditions contained in our partnership agreement.</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matters described in the table below require the unitholder vote specified below. Matters requiring the approval of a “unit majority” require the approval of a majority of the common units and, as long as our Class B Units are outstanding, our Class B Units voting on such matters with the common units as a single class on a converted basis (except for the election of directors on our board of directors). You should note that our General Partner has approval rights in respect of certain of the matters described below.</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Issuance of additional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hanging="179"/>
        <w:spacing w:after="0" w:line="264" w:lineRule="auto"/>
        <w:rPr>
          <w:sz w:val="20"/>
          <w:szCs w:val="20"/>
          <w:color w:val="auto"/>
        </w:rPr>
      </w:pPr>
      <w:r>
        <w:rPr>
          <w:rFonts w:ascii="Arial" w:cs="Arial" w:eastAsia="Arial" w:hAnsi="Arial"/>
          <w:sz w:val="18"/>
          <w:szCs w:val="18"/>
          <w:color w:val="auto"/>
        </w:rPr>
        <w:t>Amendment of the operating agreement of the operating company (as defined in our limited partnership agreement)</w:t>
      </w:r>
    </w:p>
    <w:p>
      <w:pPr>
        <w:spacing w:after="0" w:line="73" w:lineRule="exact"/>
        <w:rPr>
          <w:sz w:val="20"/>
          <w:szCs w:val="20"/>
          <w:color w:val="auto"/>
        </w:rPr>
      </w:pPr>
    </w:p>
    <w:p>
      <w:pPr>
        <w:ind w:left="180" w:right="180" w:hanging="179"/>
        <w:spacing w:after="0" w:line="277"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Dissolution of our partnership</w:t>
      </w:r>
    </w:p>
    <w:p>
      <w:pPr>
        <w:spacing w:after="0" w:line="333" w:lineRule="exact"/>
        <w:rPr>
          <w:sz w:val="20"/>
          <w:szCs w:val="20"/>
          <w:color w:val="auto"/>
        </w:rPr>
      </w:pPr>
    </w:p>
    <w:p>
      <w:pPr>
        <w:ind w:left="180" w:right="640" w:hanging="179"/>
        <w:spacing w:after="0" w:line="277" w:lineRule="auto"/>
        <w:rPr>
          <w:sz w:val="20"/>
          <w:szCs w:val="20"/>
          <w:color w:val="auto"/>
        </w:rPr>
      </w:pPr>
      <w:r>
        <w:rPr>
          <w:rFonts w:ascii="Arial" w:cs="Arial" w:eastAsia="Arial" w:hAnsi="Arial"/>
          <w:sz w:val="18"/>
          <w:szCs w:val="18"/>
          <w:color w:val="auto"/>
        </w:rPr>
        <w:t>Reconstitution of our partnership upon dissolution</w:t>
      </w:r>
    </w:p>
    <w:p>
      <w:pPr>
        <w:spacing w:after="0" w:line="62" w:lineRule="exact"/>
        <w:rPr>
          <w:sz w:val="20"/>
          <w:szCs w:val="20"/>
          <w:color w:val="auto"/>
        </w:rPr>
      </w:pPr>
    </w:p>
    <w:p>
      <w:pPr>
        <w:ind w:left="180" w:right="260" w:hanging="179"/>
        <w:spacing w:after="0" w:line="277" w:lineRule="auto"/>
        <w:rPr>
          <w:sz w:val="20"/>
          <w:szCs w:val="20"/>
          <w:color w:val="auto"/>
        </w:rPr>
      </w:pPr>
      <w:r>
        <w:rPr>
          <w:rFonts w:ascii="Arial" w:cs="Arial" w:eastAsia="Arial" w:hAnsi="Arial"/>
          <w:sz w:val="18"/>
          <w:szCs w:val="18"/>
          <w:color w:val="auto"/>
        </w:rPr>
        <w:t>Election of five of the eight members of our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Withdrawal of the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Removal of the General Partner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Transfer of the general partner interest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Transfer of incentive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right="120" w:hanging="179"/>
        <w:spacing w:after="0" w:line="277" w:lineRule="auto"/>
        <w:rPr>
          <w:sz w:val="20"/>
          <w:szCs w:val="20"/>
          <w:color w:val="auto"/>
        </w:rPr>
      </w:pPr>
      <w:r>
        <w:rPr>
          <w:rFonts w:ascii="Arial" w:cs="Arial" w:eastAsia="Arial" w:hAnsi="Arial"/>
          <w:sz w:val="18"/>
          <w:szCs w:val="18"/>
          <w:color w:val="auto"/>
        </w:rPr>
        <w:t>Transfer of ownership interests in the General Partner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8539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rights (although our General Partner has approval rights in certain instances)</w:t>
      </w:r>
    </w:p>
    <w:p>
      <w:pPr>
        <w:spacing w:after="0" w:line="11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Certain amendments may be made by our board of directors without the approval of the unitholders if those amendments are also approved by our General Partner. Other amendments generally require the approval of a unit majority and can only be proposed by or with the written consent of our General Partner and our board of directors. Please read “—Amendment of the Partnership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 majority if such amendment would adversely affect our limited partners in any material respect.</w:t>
      </w:r>
    </w:p>
    <w:p>
      <w:pPr>
        <w:spacing w:after="0" w:line="200" w:lineRule="exact"/>
        <w:rPr>
          <w:sz w:val="20"/>
          <w:szCs w:val="20"/>
          <w:color w:val="auto"/>
        </w:rPr>
      </w:pPr>
    </w:p>
    <w:p>
      <w:pPr>
        <w:spacing w:after="0" w:line="3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Unit majority if such amendment would adversely affect our limited partners in any material respect and approval of our General Partner and board of directors. Please read “—Merger, Sale, or Other Disposition of Assets.”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Unit majority and approval of our General Partner and our board of directors. Please read “—Termination and Dissolution.”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Unit majority. Please read “—Termination and Dissolution.”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 plurality of the votes of the holders of the common units.</w:t>
      </w:r>
    </w:p>
    <w:p>
      <w:pPr>
        <w:spacing w:after="0" w:line="3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most circumstances, the approval of a majority of the common units and Class B Units, voting on an as converted basis (as long as they are outstanding), excluding such units held by our General Partner and its affiliates, is required for the withdrawal of our General Partner prior to March 31, 2017 in a manner which would cause a dissolution of our partnership. Please read “—Withdrawal or Removal of the General Partner.”</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 less than 66 2/3% of the outstanding units, including units held by our General Partner and its affiliates, voting together as a single class and a majority vote of our board of directors. Please read “— Withdrawal or Removal of the General Partner.”</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General Partner may transfer all, but not less than all, of its general partner interest in us without a vote of our unitholders to an affiliate or another person in connection with its merger or consolidation with or into, or sale of all or substantially all of its assets to such person. The approval of a majority of the common units and Class B Units, voting on an as converted basis (as long as they are outstanding), excluding such units held by our General Partner and its affiliates, is required in other circumstances for a transfer of the general partner interest to a third party prior to March 31, 2017. Please read “—Transfer of General Partner Interest.”</w:t>
      </w:r>
    </w:p>
    <w:p>
      <w:pPr>
        <w:spacing w:after="0" w:line="9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Except for transfers to an affiliate or another person as part of the General Partner’s merger or consolidation with or into, or sale of all or substantially all of its assets to such person, the approval of a majority of the common units and Class B Units, voting on an as converted basis (as long as they are outstanding), excluding such units held by our General Partner and its affiliates, voting separately as a class, is required in most circumstances for a transfer of the incentive distribution rights to a third party prior to March 31, 2017. Please read “—Transfer of Incentive Distribution Rights.”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No approval required at any time. Please read “—Transfer of Ownership Interests in General Partner.”</w:t>
      </w:r>
    </w:p>
    <w:p>
      <w:pPr>
        <w:spacing w:after="0" w:line="39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113</w:t>
      </w:r>
    </w:p>
    <w:p>
      <w:pPr>
        <w:sectPr>
          <w:pgSz w:w="11900" w:h="16838" w:orient="portrait"/>
          <w:cols w:equalWidth="0" w:num="2">
            <w:col w:w="3440" w:space="340"/>
            <w:col w:w="7640"/>
          </w:cols>
          <w:pgMar w:left="240" w:top="45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t>
      </w:r>
      <w:r>
        <w:rPr>
          <w:rFonts w:ascii="Arial" w:cs="Arial" w:eastAsia="Arial" w:hAnsi="Arial"/>
          <w:sz w:val="18"/>
          <w:szCs w:val="18"/>
          <w:i w:val="1"/>
          <w:iCs w:val="1"/>
          <w:color w:val="auto"/>
        </w:rPr>
        <w:t>While this does not mean that a limited partner could not seek legal recourse, we know of no precedent for this type of a claim in</w:t>
      </w:r>
      <w:r>
        <w:rPr>
          <w:rFonts w:ascii="Arial" w:cs="Arial" w:eastAsia="Arial" w:hAnsi="Arial"/>
          <w:sz w:val="18"/>
          <w:szCs w:val="18"/>
          <w:color w:val="auto"/>
        </w:rPr>
        <w:t xml:space="preserve"> </w:t>
      </w:r>
      <w:r>
        <w:rPr>
          <w:rFonts w:ascii="Arial" w:cs="Arial" w:eastAsia="Arial" w:hAnsi="Arial"/>
          <w:sz w:val="18"/>
          <w:szCs w:val="18"/>
          <w:i w:val="1"/>
          <w:iCs w:val="1"/>
          <w:color w:val="auto"/>
        </w:rPr>
        <w:t>Marshall Islands case law.</w:t>
      </w:r>
    </w:p>
    <w:p>
      <w:pPr>
        <w:spacing w:after="0" w:line="19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9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Maintenance of our limited liability may require compliance with legal requirements in the jurisdictions in which we conduct business, which may include qualifying to do business in those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 However, as long as Class B Units are outstanding, we may not authorize, create or issue any equity interests senior to the Class B Units or amend the provisions of an existing class of securities to make such class senior in priority to the Class B Units without the affirmative vote or written consent of the holders of at least 75% of the outstanding Class B Units, voting separately as a class based on one vote per unit.</w:t>
      </w:r>
    </w:p>
    <w:p>
      <w:pPr>
        <w:spacing w:after="0" w:line="189"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i w:val="1"/>
          <w:iCs w:val="1"/>
          <w:color w:val="auto"/>
        </w:rPr>
        <w:t>We intend to fund acquisitions through borrowings and the issuance of additional common units or other equity securities and the issuance of debt, subject to market conditions, as further described elsewhere herein</w:t>
      </w:r>
      <w:r>
        <w:rPr>
          <w:rFonts w:ascii="Arial" w:cs="Arial" w:eastAsia="Arial" w:hAnsi="Arial"/>
          <w:sz w:val="17"/>
          <w:szCs w:val="17"/>
          <w:color w:val="auto"/>
        </w:rPr>
        <w:t>. Holders of any additional common units we issue will be entitled to share equally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then-existing holders of common units in our distributions of available cash. In addition, the issuance of additional common units or other equity securities interests may dilute the value of the interests of the then-existing holders of common units in our net assets.</w:t>
      </w:r>
    </w:p>
    <w:p>
      <w:pPr>
        <w:spacing w:after="0" w:line="171"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Upon issuance of additional partnership securities, our General Partner will have the right, but not the obligation, to make additional capital contributions to the extent necessary to maintain its General Partner interest in us, which is currently 1.96%.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 Upon issuance of additional partnership interests that, with respect to distributions,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Class B Units, holders of Class B Units shall have the right to purchase their pro rata portion of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color w:val="auto"/>
        </w:rPr>
        <w:t>The partnership agreement provides that the partnership will elect to be taxed as a corporation for U.S. federal income tax purposes. 114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60" w:firstLine="913"/>
        <w:spacing w:after="0" w:line="293"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written approval of the holders of the number of units required to approve the amendment or call a meeting of the limited partners to consider and vote upon the proposed amendment. Except as we describe below, an amendment must be approved by a unit majority.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set forth below, no amendment may:</w:t>
      </w:r>
    </w:p>
    <w:p>
      <w:pPr>
        <w:spacing w:after="0" w:line="131" w:lineRule="exact"/>
        <w:rPr>
          <w:sz w:val="20"/>
          <w:szCs w:val="20"/>
          <w:color w:val="auto"/>
        </w:rPr>
      </w:pPr>
    </w:p>
    <w:p>
      <w:pPr>
        <w:ind w:left="1460" w:right="200" w:hanging="547"/>
        <w:spacing w:after="0" w:line="277"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such increase is deemed to occur as a result of an amendment approved in accordance with sub-paragraph (2) below:</w:t>
      </w:r>
    </w:p>
    <w:p>
      <w:pPr>
        <w:spacing w:after="0" w:line="75" w:lineRule="exact"/>
        <w:rPr>
          <w:rFonts w:ascii="Arial" w:cs="Arial" w:eastAsia="Arial" w:hAnsi="Arial"/>
          <w:sz w:val="18"/>
          <w:szCs w:val="18"/>
          <w:color w:val="auto"/>
        </w:rPr>
      </w:pPr>
    </w:p>
    <w:p>
      <w:pPr>
        <w:ind w:left="1460" w:right="200" w:hanging="547"/>
        <w:spacing w:after="0" w:line="264"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86"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130" w:lineRule="exact"/>
        <w:rPr>
          <w:rFonts w:ascii="Arial" w:cs="Arial" w:eastAsia="Arial" w:hAnsi="Arial"/>
          <w:sz w:val="18"/>
          <w:szCs w:val="18"/>
          <w:color w:val="auto"/>
        </w:rPr>
      </w:pPr>
    </w:p>
    <w:p>
      <w:pPr>
        <w:ind w:left="1460" w:right="620" w:hanging="547"/>
        <w:spacing w:after="0" w:line="277"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70"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(6) above can be amended upon the approval of the holders of at least 90% of the outstanding units voting together as a single class (including units owned by our General Partner and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42" w:lineRule="exact"/>
        <w:rPr>
          <w:sz w:val="20"/>
          <w:szCs w:val="20"/>
          <w:color w:val="auto"/>
        </w:rPr>
      </w:pPr>
    </w:p>
    <w:p>
      <w:pPr>
        <w:ind w:left="1460" w:hanging="547"/>
        <w:spacing w:after="0"/>
        <w:tabs>
          <w:tab w:leader="none" w:pos="1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30" w:lineRule="exact"/>
        <w:rPr>
          <w:rFonts w:ascii="Arial" w:cs="Arial" w:eastAsia="Arial" w:hAnsi="Arial"/>
          <w:sz w:val="18"/>
          <w:szCs w:val="18"/>
          <w:color w:val="auto"/>
        </w:rPr>
      </w:pPr>
    </w:p>
    <w:p>
      <w:pPr>
        <w:ind w:left="1460" w:right="520" w:hanging="547"/>
        <w:spacing w:after="0" w:line="342" w:lineRule="auto"/>
        <w:tabs>
          <w:tab w:leader="none" w:pos="1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29" w:lineRule="exact"/>
        <w:rPr>
          <w:rFonts w:ascii="Arial" w:cs="Arial" w:eastAsia="Arial" w:hAnsi="Arial"/>
          <w:sz w:val="16"/>
          <w:szCs w:val="16"/>
          <w:color w:val="auto"/>
        </w:rPr>
      </w:pPr>
    </w:p>
    <w:p>
      <w:pPr>
        <w:ind w:left="1460" w:right="40" w:hanging="547"/>
        <w:spacing w:after="0" w:line="279" w:lineRule="auto"/>
        <w:tabs>
          <w:tab w:leader="none" w:pos="1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76" w:lineRule="exact"/>
        <w:rPr>
          <w:rFonts w:ascii="Arial" w:cs="Arial" w:eastAsia="Arial" w:hAnsi="Arial"/>
          <w:sz w:val="17"/>
          <w:szCs w:val="17"/>
          <w:color w:val="auto"/>
        </w:rPr>
      </w:pPr>
    </w:p>
    <w:p>
      <w:pPr>
        <w:ind w:left="1460" w:hanging="547"/>
        <w:spacing w:after="0" w:line="342" w:lineRule="auto"/>
        <w:tabs>
          <w:tab w:leader="none" w:pos="1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60" w:hanging="547"/>
        <w:spacing w:after="0" w:line="277" w:lineRule="auto"/>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75"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amendments reflecting matters described in (1) through (11) above require the approval of our General Partner.</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if our board of directors determines that those amendments:</w:t>
      </w:r>
    </w:p>
    <w:p>
      <w:pPr>
        <w:spacing w:after="0" w:line="76" w:lineRule="exact"/>
        <w:rPr>
          <w:sz w:val="20"/>
          <w:szCs w:val="20"/>
          <w:color w:val="auto"/>
        </w:rPr>
      </w:pPr>
    </w:p>
    <w:p>
      <w:pPr>
        <w:ind w:left="1460" w:hanging="547"/>
        <w:spacing w:after="0"/>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do not adversely affect the limited partners (or any particular class of limited partners) in any material respect;</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or other authority or contained in any statute;</w:t>
      </w:r>
    </w:p>
    <w:p>
      <w:pPr>
        <w:spacing w:after="0" w:line="75" w:lineRule="exact"/>
        <w:rPr>
          <w:rFonts w:ascii="Arial" w:cs="Arial" w:eastAsia="Arial" w:hAnsi="Arial"/>
          <w:sz w:val="18"/>
          <w:szCs w:val="18"/>
          <w:color w:val="auto"/>
        </w:rPr>
      </w:pPr>
    </w:p>
    <w:p>
      <w:pPr>
        <w:ind w:left="1460" w:right="540" w:hanging="547"/>
        <w:spacing w:after="0" w:line="308" w:lineRule="auto"/>
        <w:tabs>
          <w:tab w:leader="none" w:pos="14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51" w:lineRule="exact"/>
        <w:rPr>
          <w:rFonts w:ascii="Arial" w:cs="Arial" w:eastAsia="Arial" w:hAnsi="Arial"/>
          <w:sz w:val="17"/>
          <w:szCs w:val="17"/>
          <w:color w:val="auto"/>
        </w:rPr>
      </w:pPr>
    </w:p>
    <w:p>
      <w:pPr>
        <w:ind w:left="1460" w:right="80" w:hanging="547"/>
        <w:spacing w:after="0" w:line="277" w:lineRule="auto"/>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amendments reflecting matters described in (1) through (5) above require the approval of our General Partner.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Unitholder Approval</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15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Relating to the Operating Subsidiaries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effectively control our operating subsidiaries by being their sole member or shareholder,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ectPr>
          <w:pgSz w:w="11900" w:h="16838" w:orient="portrait"/>
          <w:cols w:equalWidth="0" w:num="1">
            <w:col w:w="11400"/>
          </w:cols>
          <w:pgMar w:left="240" w:top="459" w:right="25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459" w:right="2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Additionally, our board of directors is permitted, with the prior consent of our General Partner, to merge or consolidate the Partnership with or into another entity in certain circumstances, provided that each unit 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131" w:lineRule="exact"/>
        <w:rPr>
          <w:sz w:val="20"/>
          <w:szCs w:val="20"/>
          <w:color w:val="auto"/>
        </w:rPr>
      </w:pPr>
    </w:p>
    <w:p>
      <w:pPr>
        <w:ind w:left="1460" w:right="540" w:hanging="547"/>
        <w:spacing w:after="0" w:line="277" w:lineRule="auto"/>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election of our General Partner and our board of directors to dissolve us, if approved by the holders of units representing a unit majority;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exchange, or other disposition of all or substantially all of our assets and properties and our subsidiaries;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w:t>
      </w:r>
    </w:p>
    <w:p>
      <w:pPr>
        <w:spacing w:after="0" w:line="130" w:lineRule="exact"/>
        <w:rPr>
          <w:rFonts w:ascii="Arial" w:cs="Arial" w:eastAsia="Arial" w:hAnsi="Arial"/>
          <w:sz w:val="18"/>
          <w:szCs w:val="18"/>
          <w:color w:val="auto"/>
        </w:rPr>
      </w:pPr>
    </w:p>
    <w:p>
      <w:pPr>
        <w:ind w:left="1460" w:right="400" w:hanging="547"/>
        <w:spacing w:after="0" w:line="264" w:lineRule="auto"/>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time when there are no limited partners, unless we are continued without dissolution in accordance with the MILPA.</w:t>
      </w:r>
    </w:p>
    <w:p>
      <w:pPr>
        <w:spacing w:after="0" w:line="225"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21" w:lineRule="exact"/>
        <w:rPr>
          <w:sz w:val="20"/>
          <w:szCs w:val="20"/>
          <w:color w:val="auto"/>
        </w:rPr>
      </w:pPr>
    </w:p>
    <w:p>
      <w:pPr>
        <w:jc w:val="both"/>
        <w:ind w:right="40" w:firstLine="913"/>
        <w:spacing w:after="0" w:line="279" w:lineRule="auto"/>
        <w:rPr>
          <w:sz w:val="20"/>
          <w:szCs w:val="20"/>
          <w:color w:val="auto"/>
        </w:rPr>
      </w:pPr>
      <w:r>
        <w:rPr>
          <w:rFonts w:ascii="Arial" w:cs="Arial" w:eastAsia="Arial" w:hAnsi="Arial"/>
          <w:sz w:val="17"/>
          <w:szCs w:val="17"/>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Except as described below, our General Partner has agreed not to withdraw voluntarily as our General Partner prior to March 31, 2017 without giving at least 90 days’ written notice and obtaining the approval of our board of directors and the holders of at least a majority of the outstanding common units (and, as long as they are outstanding, the Class B Units, voting on an as converted basis), excluding such units held by our General Partner and its affiliates, and furnishing an opinion of counsel regarding limited liability. On or after March 31, 2017, our General Partner may withdraw as general partner without first obtaining approval of any unitholder or our board of directors by giving 90 days’ written notice, and that withdrawal will not constitute a violation of the partnership agreement. Notwithstanding the information above, our General Partner may withdraw without unitholder approval upon 90 days’ notice to the limited partners if at least 50% of the outstanding units (other than general partner units and incentive distribution rights)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Please read “—Transfer of General Partner Interests” and “—Transfer of Incentive Distribution Rights.”</w:t>
      </w:r>
    </w:p>
    <w:p>
      <w:pPr>
        <w:spacing w:after="0" w:line="178" w:lineRule="exact"/>
        <w:rPr>
          <w:sz w:val="20"/>
          <w:szCs w:val="20"/>
          <w:color w:val="auto"/>
        </w:rPr>
      </w:pPr>
    </w:p>
    <w:p>
      <w:pPr>
        <w:jc w:val="both"/>
        <w:ind w:right="60" w:firstLine="913"/>
        <w:spacing w:after="0" w:line="297" w:lineRule="auto"/>
        <w:rPr>
          <w:sz w:val="20"/>
          <w:szCs w:val="20"/>
          <w:color w:val="auto"/>
        </w:rPr>
      </w:pPr>
      <w:r>
        <w:rPr>
          <w:rFonts w:ascii="Arial" w:cs="Arial" w:eastAsia="Arial" w:hAnsi="Arial"/>
          <w:sz w:val="16"/>
          <w:szCs w:val="16"/>
          <w:color w:val="auto"/>
        </w:rPr>
        <w:t>Upon withdrawal of our General Partner under any circumstances, other than as a result of a transfer by our General Partner of all or a part of its general partner interest in us, the holders of a majority of the outstanding common units (and, as long as they are outstanding, the Class B Units, voting on an as converted basis)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Class B Units, voting on an as converted basis (as long as they are outstanding) and general partner units, voting as a single class.</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82"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131" w:lineRule="exact"/>
        <w:rPr>
          <w:sz w:val="20"/>
          <w:szCs w:val="20"/>
          <w:color w:val="auto"/>
        </w:rPr>
      </w:pPr>
    </w:p>
    <w:p>
      <w:pPr>
        <w:ind w:left="1460" w:hanging="547"/>
        <w:spacing w:after="0"/>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70"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2017 without the approval of the holders of at least a majority of the outstanding common units (and, as long as they are outstanding, the Class B Units, voting on an as converted basis), excluding such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At any time, the members of our General Partner may sell or transfer all or part of their respective membership interests in our General Partner to an affiliate or a third party without the approval of our unitholders. However, this may trigger a “Change of Control” (as defined in our limited partnership agreement) which, among other things, causes the minimum distribution rate of the Class B Units to increase to 1.25 times the then applicable rate.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Prior to March 31, 2017, our General Partner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Any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459" w:right="2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transfers of the incentive distribution rights prior to March 31, 2017 will require the affirmative vote of holders of a majority of the outstanding common units (and, as long as they are outstanding, the Class B Units, voting on an as converted basis), excluding such units held by our General Partner and its affiliates. On or after March 31, 2017, the incentive distribution rights will be freely transferable.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2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16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“Material U.S. Federal Income Tax Considerations—United States Federal Income Taxation of U.S. Holders—Sale, Exchange or Other Disposition of Common Units” and “Material U.S. Federal Income Tax Considerations— United States Federal Income Taxation of Non-U.S. Holders—Disposition of Common Units.”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is comprised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 Among other consequences, if we fail to pay the minimum Class B Unit distribution, as set out in our partnership agreement, for six or more quarters, the holders of the Class B Units will have the right to appoint a director to our board and, if such arrearages exist on or after March 31, 2018, to replace the directors appointed by our General Partner, in each case by the affirmative vote of the holders of a majority of the Class B Units and subject to exceptions and conditions contained in our partnership agreement.</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99" w:lineRule="exact"/>
        <w:rPr>
          <w:sz w:val="20"/>
          <w:szCs w:val="20"/>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130" w:lineRule="exact"/>
        <w:rPr>
          <w:rFonts w:ascii="Arial" w:cs="Arial" w:eastAsia="Arial" w:hAnsi="Arial"/>
          <w:sz w:val="18"/>
          <w:szCs w:val="18"/>
          <w:color w:val="auto"/>
        </w:rPr>
      </w:pPr>
    </w:p>
    <w:p>
      <w:pPr>
        <w:ind w:left="1460" w:right="620" w:hanging="547"/>
        <w:spacing w:after="0" w:line="308" w:lineRule="auto"/>
        <w:tabs>
          <w:tab w:leader="none" w:pos="1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directors” within the meaning of the partnership agreement.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Our General Partner may remove an appointed board member, other than those appointed by the holders of Class B unitholders (if any), with or without cause at any time. “Cause” generally means a court’s final, non-appealable judgment finding a person liable for actual fraud or willful misconduct in his or her capacity as a director. Any board member appointed by the holders of Class B unitholders, if applicable, may be removed with or without cause, by the affirmative decision of a majority of Class B unitholders.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other than those appointed by the holders of Class B unitholders, may be 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 If any board member elected by the Class B unitholders is removed, resigns or is otherwise unable to serve as a board member, the Class B unitholders will appoint an individual to fill the vacancy.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12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We will hold a meeting of the limited partners every year to elect one or more members of our board of directors and to vote on any other matters that are properly brought before the meeting. 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Each record holder of a common unit may vote according to the holder’s percentage interest in us, although additional limited partner interests having special voting rights could be issued.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 The holders of the Class B Units have voting rights that are identical to the voting rights of the common units on an as converted basis and will vote with the common units as a single class on all matters with respect to which each common unit is entitled to vote, provided, however, that holders of Class B Units have no right to vote for, elect or appoint any director, or to nominate any individual to stand for election or appointment as a director, except. that if we fail to pay the minimum Class B Unit distribution, as set out in our partnership agreement, for six or more quarters, the holders of the Class B Units will have the right to appoint a director to our board and, if such arrearages exist on or after March 31, 2018, to replace the directors appointed by our General Partner, in each case by the affirmative vote of the holders of a majority of the Class B Units and subject to exceptions and conditions contained in our partnership agreement.</w:t>
      </w:r>
    </w:p>
    <w:p>
      <w:pPr>
        <w:spacing w:after="0" w:line="17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Except as described above under “—Limited Liability,” the common units and Class B Units will be fully paid, and unitholders will not be required to make additional contributions. By transfer of common units or Class B Units in accordance with our partnership agreement, each transferee of common units or Class B Units shall be admitted as a limited partner with respect to the common units or Class B Units transferred when such transfer and admission is reflected in our books and records.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76" w:lineRule="exact"/>
        <w:rPr>
          <w:sz w:val="20"/>
          <w:szCs w:val="20"/>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person who is or was an officer, director, member, partner fiduciary or trustee of any entity described in (1), (2) or (3) above;</w:t>
      </w:r>
    </w:p>
    <w:p>
      <w:pPr>
        <w:spacing w:after="0" w:line="142" w:lineRule="exact"/>
        <w:rPr>
          <w:rFonts w:ascii="Arial" w:cs="Arial" w:eastAsia="Arial" w:hAnsi="Arial"/>
          <w:sz w:val="17"/>
          <w:szCs w:val="17"/>
          <w:color w:val="auto"/>
        </w:rPr>
      </w:pPr>
    </w:p>
    <w:p>
      <w:pPr>
        <w:ind w:left="1460" w:right="540" w:hanging="547"/>
        <w:spacing w:after="0" w:line="277"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partner, fiduciary or trustee of another person at the request of our General Partner or any departing general partner;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jc w:val="both"/>
        <w:ind w:right="60" w:firstLine="913"/>
        <w:spacing w:after="0" w:line="297" w:lineRule="auto"/>
        <w:rPr>
          <w:sz w:val="20"/>
          <w:szCs w:val="20"/>
          <w:color w:val="auto"/>
        </w:rPr>
      </w:pPr>
      <w:r>
        <w:rPr>
          <w:rFonts w:ascii="Arial" w:cs="Arial" w:eastAsia="Arial" w:hAnsi="Arial"/>
          <w:sz w:val="16"/>
          <w:szCs w:val="16"/>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pacing w:after="0" w:line="12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will furnish or make available to record holders of units, within 120 days after the close of each fiscal year, an annual report containing audited financial statements, including a balance sheet and statement of operations, our equity and cash flow, and a report on those financial statements by our independent chartered accountants. Except for our fourth quarter, we will also furnish or make available summary financial information within 90 days after the close of each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76" w:lineRule="exact"/>
        <w:rPr>
          <w:sz w:val="20"/>
          <w:szCs w:val="20"/>
          <w:color w:val="auto"/>
        </w:rPr>
      </w:pPr>
    </w:p>
    <w:p>
      <w:pPr>
        <w:ind w:left="1460" w:hanging="547"/>
        <w:spacing w:after="0"/>
        <w:tabs>
          <w:tab w:leader="none" w:pos="1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addresses of each partner;</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capital contribution or services contributed or to be contributed by each partner and the date on which each became a partner;</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459" w:right="2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80" w:hanging="547"/>
        <w:spacing w:after="0" w:line="277" w:lineRule="auto"/>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related amendments and powers of attorney under which they have been executed;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our partnership agreement, we have agreed to register for resale under the Securities Act of 1933 and applicable state securities laws any common units, Class B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acceptance of the transfer of common units in accordance with our partnership agreement, each transferee of common units:</w:t>
      </w:r>
    </w:p>
    <w:p>
      <w:pPr>
        <w:spacing w:after="0" w:line="131" w:lineRule="exact"/>
        <w:rPr>
          <w:sz w:val="20"/>
          <w:szCs w:val="20"/>
          <w:color w:val="auto"/>
        </w:rPr>
      </w:pPr>
    </w:p>
    <w:p>
      <w:pPr>
        <w:ind w:left="1460" w:right="160" w:hanging="547"/>
        <w:spacing w:after="0" w:line="277" w:lineRule="auto"/>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shall be admitted as a limited partner with respect to the common units transferred when such transfer and admission is reflected in our books and records;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bound by our partnership agreement;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grants the power of attorney and gives the consents and waivers contained in our partnership agreement.</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w:t>
      </w:r>
    </w:p>
    <w:p>
      <w:pPr>
        <w:spacing w:after="0" w:line="170" w:lineRule="exact"/>
        <w:rPr>
          <w:sz w:val="20"/>
          <w:szCs w:val="20"/>
          <w:color w:val="auto"/>
        </w:rPr>
      </w:pPr>
    </w:p>
    <w:p>
      <w:pPr>
        <w:jc w:val="both"/>
        <w:ind w:right="380" w:firstLine="913"/>
        <w:spacing w:after="0" w:line="286" w:lineRule="auto"/>
        <w:rPr>
          <w:sz w:val="20"/>
          <w:szCs w:val="20"/>
          <w:color w:val="auto"/>
        </w:rPr>
      </w:pPr>
      <w:r>
        <w:rPr>
          <w:rFonts w:ascii="Arial" w:cs="Arial" w:eastAsia="Arial" w:hAnsi="Arial"/>
          <w:sz w:val="17"/>
          <w:szCs w:val="17"/>
          <w:color w:val="auto"/>
        </w:rPr>
        <w:t>We may, at our discretion, treat the nominee holder of a common unit as the owner of such common units without further inquiry, except as otherwise provided by law or stock exchange regulations. In that case, we expect that the beneficial holder’s rights will limited solely to those that it has against the nominee holder as a result of any agreement between the beneficial owner and the nominee holder.</w:t>
      </w:r>
    </w:p>
    <w:p>
      <w:pPr>
        <w:spacing w:after="0" w:line="166"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4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owner for all purposes, except as otherwise required by law or stock exchange regulations.</w:t>
      </w:r>
    </w:p>
    <w:p>
      <w:pPr>
        <w:spacing w:after="0" w:line="315" w:lineRule="exact"/>
        <w:rPr>
          <w:sz w:val="20"/>
          <w:szCs w:val="20"/>
          <w:color w:val="auto"/>
        </w:rPr>
      </w:pPr>
    </w:p>
    <w:p>
      <w:pPr>
        <w:ind w:left="1920" w:hanging="440"/>
        <w:spacing w:after="0"/>
        <w:tabs>
          <w:tab w:leader="none" w:pos="19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Please read “Item 7B: Related-Party Transactions” for transactions entered into with related parties, as well as further details on certain of the transactions described below.</w:t>
      </w:r>
    </w:p>
    <w:p>
      <w:pPr>
        <w:spacing w:after="0" w:line="76" w:lineRule="exact"/>
        <w:rPr>
          <w:sz w:val="20"/>
          <w:szCs w:val="20"/>
          <w:color w:val="auto"/>
        </w:rPr>
      </w:pPr>
    </w:p>
    <w:p>
      <w:pPr>
        <w:ind w:left="1460" w:right="340" w:hanging="547"/>
        <w:spacing w:after="0" w:line="277" w:lineRule="auto"/>
        <w:tabs>
          <w:tab w:leader="none" w:pos="1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Purchase Agreement, dated October 24, 2016, with Capital Maritime to acquire the shares of the vessel owning company of the M/T Amor.</w:t>
      </w:r>
    </w:p>
    <w:p>
      <w:pPr>
        <w:spacing w:after="0" w:line="75"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Equity Distribution Agreement, dated September 12, 2016, with UBS Securities LLC in connection with our ATM offering, filed on September 12, 2016 as Exhibit 1.1 to Form 6-K.</w:t>
      </w:r>
    </w:p>
    <w:p>
      <w:pPr>
        <w:sectPr>
          <w:pgSz w:w="11900" w:h="16838" w:orient="portrait"/>
          <w:cols w:equalWidth="0" w:num="1">
            <w:col w:w="11340"/>
          </w:cols>
          <w:pgMar w:left="240" w:top="459" w:right="319" w:bottom="1440" w:gutter="0" w:footer="0" w:header="0"/>
        </w:sectPr>
      </w:pP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40"/>
          </w:cols>
          <w:pgMar w:left="240" w:top="459" w:right="31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2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February 26, 2016, with Capital Maritime to acquire the shares of the vessel owning company of the M/V CMA CGM Magdalena.</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September 18, 2015, with Capital Maritime to acquire the shares of the vessel owning company of the M/V CMA CGM Uruguay.</w:t>
      </w:r>
    </w:p>
    <w:p>
      <w:pPr>
        <w:spacing w:after="0" w:line="75"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June 30, 2015, with Capital Maritime to acquire the shares of the vessel owning company of the M/T Amadeus.</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June 10, 2015, with Capital Maritime to acquire the shares of the vessel owning company of the M/V CMA CGM Amazon.</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Amendments, dated April 30, 2015, to each of our 2007, 2008 and 2011 credit facilities. Please read “Item 5B: Liquidity and Capital Resources—Borrowings” for further details on these amendments.</w:t>
      </w:r>
    </w:p>
    <w:p>
      <w:pPr>
        <w:spacing w:after="0" w:line="75"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March 31, 2015, with Capital Maritime to acquire the shares of the vessel owning company of the M/T Active.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Agreement, dated September 3, 2014, with Capital Maritime to acquire 5,950,610 of our common units.</w:t>
      </w:r>
    </w:p>
    <w:p>
      <w:pPr>
        <w:spacing w:after="0" w:line="130" w:lineRule="exact"/>
        <w:rPr>
          <w:rFonts w:ascii="Arial" w:cs="Arial" w:eastAsia="Arial" w:hAnsi="Arial"/>
          <w:sz w:val="18"/>
          <w:szCs w:val="18"/>
          <w:color w:val="auto"/>
        </w:rPr>
      </w:pPr>
    </w:p>
    <w:p>
      <w:pPr>
        <w:ind w:left="1460" w:right="240" w:hanging="547"/>
        <w:spacing w:after="0" w:line="264"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Fourth Amendment to the Second Amended and Restated Partnership Agreement, dated August 25, 2014, in connection with our entry into the Master Vessel Acquisition Agreement, filed on August 26, 2014 as Exhibit 99.1 to Form 6-K. This amendment reset the thresholds for our incentive distribution rights.</w:t>
      </w:r>
    </w:p>
    <w:p>
      <w:pPr>
        <w:spacing w:after="0" w:line="86"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Amendment to Omnibus Incentive Compensation Plan. On August 21, 2014, following approval of our unitholders at our 2014 annual meeting, our board of directors amended the Plan to increase the aggregate number of restricted units issuable under the Plan to 1,650,000 from 800,000.</w:t>
      </w:r>
    </w:p>
    <w:p>
      <w:pPr>
        <w:spacing w:after="0" w:line="86" w:lineRule="exact"/>
        <w:rPr>
          <w:rFonts w:ascii="Arial" w:cs="Arial" w:eastAsia="Arial" w:hAnsi="Arial"/>
          <w:sz w:val="18"/>
          <w:szCs w:val="18"/>
          <w:color w:val="auto"/>
        </w:rPr>
      </w:pPr>
    </w:p>
    <w:p>
      <w:pPr>
        <w:ind w:left="1460" w:right="220" w:hanging="547"/>
        <w:spacing w:after="0" w:line="342" w:lineRule="auto"/>
        <w:tabs>
          <w:tab w:leader="none" w:pos="14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Master Vessel Acquisition Agreement dated July 24, 2014, with Capital Maritime to acquire the Dropdown Vessels and a right of first refusal over six additional newbuild Samsung eco medium range product tankers, including M/T Amor delivered during October 2016.</w:t>
      </w:r>
    </w:p>
    <w:p>
      <w:pPr>
        <w:spacing w:after="0" w:line="29" w:lineRule="exact"/>
        <w:rPr>
          <w:rFonts w:ascii="Arial" w:cs="Arial" w:eastAsia="Arial" w:hAnsi="Arial"/>
          <w:sz w:val="16"/>
          <w:szCs w:val="16"/>
          <w:color w:val="auto"/>
        </w:rPr>
      </w:pPr>
    </w:p>
    <w:p>
      <w:pPr>
        <w:ind w:left="1460" w:right="12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Loan Agreement between Filonikis Product Carrier S.A., among other borrowers, and ING Bank N.V., London Branch as Facility Agent and Security Trustee and ING Bank N.V. as Swap Bank, dated November 19, 2015.</w:t>
      </w:r>
    </w:p>
    <w:p>
      <w:pPr>
        <w:spacing w:after="0" w:line="315" w:lineRule="exact"/>
        <w:rPr>
          <w:sz w:val="20"/>
          <w:szCs w:val="20"/>
          <w:color w:val="auto"/>
        </w:rPr>
      </w:pPr>
    </w:p>
    <w:p>
      <w:pPr>
        <w:ind w:left="1920" w:hanging="440"/>
        <w:spacing w:after="0"/>
        <w:tabs>
          <w:tab w:leader="none" w:pos="19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331" w:lineRule="exact"/>
        <w:rPr>
          <w:sz w:val="20"/>
          <w:szCs w:val="20"/>
          <w:color w:val="auto"/>
        </w:rPr>
      </w:pPr>
    </w:p>
    <w:p>
      <w:pPr>
        <w:ind w:left="1920" w:hanging="440"/>
        <w:spacing w:after="0"/>
        <w:tabs>
          <w:tab w:leader="none" w:pos="19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following is a discussion of the material Marshall Islands tax consequences of our activities to unitholders who are not citizens of and do not reside in, maintain offices in or engage in business in the Marshall Islands (“non-resident holders”). Because we, our subsidiaries and our controlled affiliates do not, and we do not expect that we, our subsidiaries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Because we, our subsidiaries and our controlled affiliates do not, and we do not expect that we, our subsidiaries and our controlled affiliates will conduct business or operations in the Marshall Islands, under current Marshall Islands law neither we, our subsidiaries nor our controlled affiliates will be subject to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goodstanding from, or certified copies of documents filed with, the Marshall Islands registrar, or (v) compliance with Marshall Islands law concerning vessel ownership, such as tonnage tax. As a result, distributions by our subsidiaries and our controlled affiliates to us will not be subject to Marshall Islands taxation.</w:t>
      </w:r>
    </w:p>
    <w:p>
      <w:pPr>
        <w:sectPr>
          <w:pgSz w:w="11900" w:h="16838" w:orient="portrait"/>
          <w:cols w:equalWidth="0" w:num="1">
            <w:col w:w="11420"/>
          </w:cols>
          <w:pgMar w:left="240" w:top="459" w:right="239"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right="360" w:firstLine="913"/>
        <w:spacing w:after="0" w:line="279"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6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“Item 10E: Taxation—Material U.S. Federal Income Tax Considerations—U.S. Federal Income Taxation of U.S. Holders—PFIC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460" w:right="80" w:hanging="547"/>
        <w:spacing w:after="0" w:line="277" w:lineRule="auto"/>
        <w:tabs>
          <w:tab w:leader="none" w:pos="1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8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6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5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8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6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78"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460" w:right="80" w:hanging="547"/>
        <w:spacing w:after="0" w:line="308" w:lineRule="auto"/>
        <w:tabs>
          <w:tab w:leader="none" w:pos="1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51" w:lineRule="exact"/>
        <w:rPr>
          <w:rFonts w:ascii="Arial" w:cs="Arial" w:eastAsia="Arial" w:hAnsi="Arial"/>
          <w:sz w:val="17"/>
          <w:szCs w:val="17"/>
          <w:color w:val="auto"/>
        </w:rPr>
      </w:pPr>
    </w:p>
    <w:p>
      <w:pPr>
        <w:ind w:left="1460" w:hanging="547"/>
        <w:spacing w:after="0" w:line="277" w:lineRule="auto"/>
        <w:tabs>
          <w:tab w:leader="none" w:pos="1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vessel-owning subsidiaries) during such taxable year produce, or are held for the production of, passive income.</w:t>
      </w:r>
    </w:p>
    <w:p>
      <w:pPr>
        <w:spacing w:after="0" w:line="17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w:t>
      </w:r>
    </w:p>
    <w:p>
      <w:pPr>
        <w:spacing w:after="0" w:line="271" w:lineRule="auto"/>
        <w:rPr>
          <w:sz w:val="20"/>
          <w:szCs w:val="20"/>
          <w:color w:val="auto"/>
        </w:rPr>
      </w:pPr>
      <w:r>
        <w:rPr>
          <w:rFonts w:ascii="Arial" w:cs="Arial" w:eastAsia="Arial" w:hAnsi="Arial"/>
          <w:sz w:val="17"/>
          <w:szCs w:val="17"/>
          <w:color w:val="auto"/>
        </w:rPr>
        <w:t>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As noted above, there is, however, no direct legal authority under the PFIC rules addressing our method of operation. Moreover, in a case not specifically interpreting the PFIC rules, </w:t>
      </w:r>
      <w:r>
        <w:rPr>
          <w:rFonts w:ascii="Arial" w:cs="Arial" w:eastAsia="Arial" w:hAnsi="Arial"/>
          <w:sz w:val="18"/>
          <w:szCs w:val="18"/>
          <w:i w:val="1"/>
          <w:iCs w:val="1"/>
          <w:color w:val="auto"/>
        </w:rPr>
        <w:t>Tidewater Inc.</w:t>
      </w:r>
      <w:r>
        <w:rPr>
          <w:rFonts w:ascii="Arial" w:cs="Arial" w:eastAsia="Arial" w:hAnsi="Arial"/>
          <w:sz w:val="18"/>
          <w:szCs w:val="18"/>
          <w:color w:val="auto"/>
        </w:rPr>
        <w:t xml:space="preserve"> v. </w:t>
      </w:r>
      <w:r>
        <w:rPr>
          <w:rFonts w:ascii="Arial" w:cs="Arial" w:eastAsia="Arial" w:hAnsi="Arial"/>
          <w:sz w:val="18"/>
          <w:szCs w:val="18"/>
          <w:i w:val="1"/>
          <w:iCs w:val="1"/>
          <w:color w:val="auto"/>
        </w:rPr>
        <w:t>United States</w:t>
      </w:r>
      <w:r>
        <w:rPr>
          <w:rFonts w:ascii="Arial" w:cs="Arial" w:eastAsia="Arial" w:hAnsi="Arial"/>
          <w:sz w:val="18"/>
          <w:szCs w:val="18"/>
          <w:color w:val="auto"/>
        </w:rPr>
        <w:t xml:space="preserve">,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w:t>
      </w:r>
      <w:r>
        <w:rPr>
          <w:rFonts w:ascii="Arial" w:cs="Arial" w:eastAsia="Arial" w:hAnsi="Arial"/>
          <w:sz w:val="18"/>
          <w:szCs w:val="18"/>
          <w:i w:val="1"/>
          <w:iCs w:val="1"/>
          <w:color w:val="auto"/>
        </w:rPr>
        <w:t>Tidewater</w:t>
      </w:r>
      <w:r>
        <w:rPr>
          <w:rFonts w:ascii="Arial" w:cs="Arial" w:eastAsia="Arial" w:hAnsi="Arial"/>
          <w:sz w:val="18"/>
          <w:szCs w:val="18"/>
          <w:color w:val="auto"/>
        </w:rPr>
        <w:t>, adding further that the time charters at issue would be treated as giving rise to services income under the PFIC rules.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78" w:lineRule="exact"/>
        <w:rPr>
          <w:sz w:val="20"/>
          <w:szCs w:val="20"/>
          <w:color w:val="auto"/>
        </w:rPr>
      </w:pPr>
    </w:p>
    <w:p>
      <w:pPr>
        <w:ind w:left="1460" w:hanging="547"/>
        <w:spacing w:after="0"/>
        <w:tabs>
          <w:tab w:leader="none" w:pos="14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153" w:lineRule="exact"/>
        <w:rPr>
          <w:rFonts w:ascii="Arial" w:cs="Arial" w:eastAsia="Arial" w:hAnsi="Arial"/>
          <w:sz w:val="16"/>
          <w:szCs w:val="16"/>
          <w:color w:val="auto"/>
        </w:rPr>
      </w:pPr>
    </w:p>
    <w:p>
      <w:pPr>
        <w:ind w:left="1460" w:right="740" w:hanging="547"/>
        <w:spacing w:after="0" w:line="277" w:lineRule="auto"/>
        <w:tabs>
          <w:tab w:leader="none" w:pos="1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52" w:lineRule="exact"/>
        <w:rPr>
          <w:sz w:val="20"/>
          <w:szCs w:val="20"/>
          <w:color w:val="auto"/>
        </w:rPr>
      </w:pPr>
    </w:p>
    <w:p>
      <w:pPr>
        <w:ind w:left="1460" w:hanging="547"/>
        <w:spacing w:after="0"/>
        <w:tabs>
          <w:tab w:leader="none" w:pos="1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hanging="440"/>
        <w:spacing w:after="0"/>
        <w:tabs>
          <w:tab w:leader="none" w:pos="19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920" w:hanging="440"/>
        <w:spacing w:after="0"/>
        <w:tabs>
          <w:tab w:leader="none" w:pos="19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We have filed with the SEC a registration statement on Form F-1, a registration statement on Form F-4 and one effective registration statements on Form F-3 regarding our common units, among other securities.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1-800-SEC-0330 for further information on public reference room. Our registration statements can also be inspected and copied at the offices of the Nasdaq Global Select Market, One Liberty Plaza, New York, New York 10006.</w:t>
      </w:r>
    </w:p>
    <w:p>
      <w:pPr>
        <w:spacing w:after="0" w:line="328" w:lineRule="exact"/>
        <w:rPr>
          <w:sz w:val="20"/>
          <w:szCs w:val="20"/>
          <w:color w:val="auto"/>
        </w:rPr>
      </w:pPr>
    </w:p>
    <w:p>
      <w:pPr>
        <w:ind w:left="1920" w:hanging="440"/>
        <w:spacing w:after="0"/>
        <w:tabs>
          <w:tab w:leader="none" w:pos="19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2016</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do not have a material currency exposure risk. We generate all of our revenues in U.S. Dollars and incur less than 20% of our expenses in currencies other than U.S. Dollars. For accounting purposes, expenses incurred in currencies other than the U.S. Dollar are translated into U.S. Dollars at the exchange rate prevailing on the date of each transaction. As of December 31, 2016, less than 5% of our liabilities were denominated in currencies other than U.S. Dollars (mainly in Euros). These liabilities were translated into U.S. Dollars at the exchange rate prevailing on December 31, 2016. We have not hedged currency exchange risks and our operating results could be adversely affected as a result.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The international tanker industry is capital intensive, requiring significant amounts of investment, a significant portion of which is provided in the form of long-term debt. Our current debt contains interest rates that fluctuate with LIBOR. Our 2007 credit facility and 2008 credit facility each bear an interest margin of 3.0% per annum over US$ LIBOR, respectively. Our 2011 credit facility bears an interest margin of 3.25% per annum over US$ LIBOR, our 2013 credit facility bears an interest margin of 3.50% per annum over US$ LIBOR and the 2015 credit facility bears an interest margin of 2.50% per annum over US$ LIBOR. Therefore, we are exposed to the risk that our interest expense may increase if interest rates rise.</w:t>
      </w:r>
    </w:p>
    <w:p>
      <w:pPr>
        <w:spacing w:after="0" w:line="173"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Currently we have, and during 2016 we had, no interest rate swap agreements outstanding. As a result of a possible market disruption in determining the cost of funds for our banks, any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$6.1 million for the year ended December 31, 2016, assuming all other variables had remained constant.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 Please refer to “Item 5B: Liquidity and Capital Resources—Borrowings—Our Credit Facilities” for more information on our interest rate swap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1920" w:hanging="440"/>
        <w:spacing w:after="0"/>
        <w:tabs>
          <w:tab w:leader="none" w:pos="19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As of December 31, 2016,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6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Based on this evaluation, the chief executive officer and chief financial officer of our General Partner concluded that, as of December 31, 2016,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09" w:lineRule="exact"/>
        <w:rPr>
          <w:sz w:val="20"/>
          <w:szCs w:val="20"/>
          <w:color w:val="auto"/>
        </w:rPr>
      </w:pPr>
    </w:p>
    <w:p>
      <w:pPr>
        <w:ind w:left="1920" w:hanging="440"/>
        <w:spacing w:after="0"/>
        <w:tabs>
          <w:tab w:leader="none" w:pos="19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Our management conducted an evaluation of the effectiveness of our internal control over financial reporting based upon the 2013 framework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This evaluation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2016.</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8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326" w:lineRule="exact"/>
        <w:rPr>
          <w:sz w:val="20"/>
          <w:szCs w:val="20"/>
          <w:color w:val="auto"/>
        </w:rPr>
      </w:pPr>
    </w:p>
    <w:p>
      <w:pPr>
        <w:ind w:left="1920" w:hanging="440"/>
        <w:spacing w:after="0"/>
        <w:tabs>
          <w:tab w:leader="none" w:pos="192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21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We have audited the internal control over financial reporting of Capital Product Partners L.P. and subsidiaries (the “Partnership”) as of December 31, 2016, based on criteria established in Internal Control — Integrated Framework (2013)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right="240" w:firstLine="913"/>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In our opinion, the Partnership maintained, in all material respects, effective internal control over financial reporting as of December 31, 2016, based on the criteria established in Internal Control — Integrated Framework (2013) issued by the Committee of Sponsoring Organizations of the Treadway Commission.</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Partnership and our report dated February 3, 2017 expressed an unqualified opinion on those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pacing w:after="0" w:line="355" w:lineRule="exact"/>
        <w:rPr>
          <w:sz w:val="20"/>
          <w:szCs w:val="20"/>
          <w:color w:val="auto"/>
        </w:rPr>
      </w:pPr>
    </w:p>
    <w:p>
      <w:pPr>
        <w:ind w:left="1920" w:hanging="440"/>
        <w:spacing w:after="0"/>
        <w:tabs>
          <w:tab w:leader="none" w:pos="19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principal accountant for 2016 and 2015 was Deloitte. The following table shows the fees we paid or accrued for audit services provided by Deloitte for these periods (in thousands of U.S.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398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$405.2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$553.0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r>
      <w:tr>
        <w:trPr>
          <w:trHeight w:val="224"/>
        </w:trPr>
        <w:tc>
          <w:tcPr>
            <w:tcW w:w="28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$431.8</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$581.2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280" w:hanging="452"/>
        <w:spacing w:after="0" w:line="256"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information, audit services provided in connection with other regulatory filings, issuance of consents and assistance with and review of documents filed with the SEC.</w:t>
      </w:r>
    </w:p>
    <w:p>
      <w:pPr>
        <w:ind w:left="460" w:hanging="452"/>
        <w:spacing w:after="0"/>
        <w:tabs>
          <w:tab w:leader="none" w:pos="4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23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2016 and 2015.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October 2016, we issued 283,696 new common units to Capital Maritime in connection with the acquisition of M/T Amor, at a price of $3.21 per common unit.</w:t>
      </w:r>
    </w:p>
    <w:p>
      <w:pPr>
        <w:spacing w:after="0" w:line="17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In May 2016, Capital Maritime announced that it has acquired 459,799 common units in open market transactions and that it entered into a Rule 10b5-1 trading plan (the “10b5-1 Plan”) with an independent broker-dealer for the further purchase of up to 5,000,000 common units, subject to pre-determined pricing parameters. The 10b5-1 Plan has expired. No further purchase of common units was made thereunder.</w:t>
      </w:r>
    </w:p>
    <w:p>
      <w:pPr>
        <w:spacing w:after="0" w:line="166"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Following these transactions, Capital Maritime owned 17,291,768 common units, representing a 14.2% interest in us. As of December 31, 2016, the Marinakis family, including Evangelos M. Marinakis, may be deemed to beneficially own on a fully converted basis a 16.7% interest in us (18.5% on a non-fully converted basis), through, among others, Capital Maritime.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6C: Board Practices” and “Item 10B: Memorandum and Articles of Association” for more detail regarding our corporate governance practices.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20" w:type="dxa"/>
            <w:vAlign w:val="bottom"/>
            <w:gridSpan w:val="7"/>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2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02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Consolidated Balance Sheets as of December 31, 2016 and 2015</w:t>
              </w:r>
            </w:hyperlink>
          </w:p>
        </w:tc>
        <w:tc>
          <w:tcPr>
            <w:tcW w:w="63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77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Consolidated Statement of Comprehensive Income for the years ended December 31, 2016, 2015 and 2014</w:t>
              </w:r>
            </w:hyperlink>
          </w:p>
        </w:tc>
        <w:tc>
          <w:tcPr>
            <w:tcW w:w="33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Consolidated Statement of Changes in Partners’ Capital for the years ended December 31, 2016,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 of Cash Flows for the years ended December 31, 2016, 2015 and 2014</w:t>
              </w:r>
            </w:hyperlink>
          </w:p>
        </w:tc>
        <w:tc>
          <w:tcPr>
            <w:tcW w:w="1160" w:type="dxa"/>
            <w:vAlign w:val="bottom"/>
            <w:tcBorders>
              <w:top w:val="single" w:sz="8" w:color="0000EE"/>
            </w:tcBorders>
            <w:gridSpan w:val="2"/>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Notes to the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vMerge w:val="restart"/>
          </w:tcPr>
          <w:p>
            <w:pPr>
              <w:ind w:left="266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88"/>
              </w:rPr>
              <w:t>No.</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914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Certificate of Limited Partnership of Capital Product Partners L.P.</w:t>
      </w:r>
      <w:r>
        <w:rPr>
          <w:rFonts w:ascii="Arial" w:cs="Arial" w:eastAsia="Arial" w:hAnsi="Arial"/>
          <w:sz w:val="13"/>
          <w:szCs w:val="13"/>
          <w:color w:val="auto"/>
        </w:rPr>
        <w:t>(1)</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Second Amended and Restated Agreement of Limited Partnership of Capital Product Partners L.P., dated February 22, 2010</w:t>
      </w:r>
      <w:r>
        <w:rPr>
          <w:rFonts w:ascii="Arial" w:cs="Arial" w:eastAsia="Arial" w:hAnsi="Arial"/>
          <w:sz w:val="13"/>
          <w:szCs w:val="13"/>
          <w:color w:val="auto"/>
        </w:rPr>
        <w:t>(7)</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Amendment to Second Amended and Restated Agreement of Limited Partnership of Capital Product Partners L.P., dated September 30, 2011</w:t>
      </w:r>
      <w:r>
        <w:rPr>
          <w:rFonts w:ascii="Arial" w:cs="Arial" w:eastAsia="Arial" w:hAnsi="Arial"/>
          <w:sz w:val="13"/>
          <w:szCs w:val="13"/>
          <w:color w:val="auto"/>
        </w:rPr>
        <w:t>(8)</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Second Amendment to Second Amended and Restated Agreement of Limited Partnership of Capital Product Partners L.P., dated March 19,</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2013</w:t>
      </w:r>
      <w:r>
        <w:rPr>
          <w:rFonts w:ascii="Arial" w:cs="Arial" w:eastAsia="Arial" w:hAnsi="Arial"/>
          <w:sz w:val="15"/>
          <w:szCs w:val="15"/>
          <w:color w:val="auto"/>
        </w:rPr>
        <w:t>(14)</w:t>
      </w:r>
    </w:p>
    <w:p>
      <w:pPr>
        <w:spacing w:after="0" w:line="104"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Third Amendment to Second Amended and Restated Agreement of Limited Partnership of Capital Product Partners L.P., dated May 22, 2012</w:t>
      </w:r>
      <w:r>
        <w:rPr>
          <w:rFonts w:ascii="Arial" w:cs="Arial" w:eastAsia="Arial" w:hAnsi="Arial"/>
          <w:sz w:val="13"/>
          <w:szCs w:val="13"/>
          <w:color w:val="auto"/>
        </w:rPr>
        <w:t>(15)</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Fourth Amendment to Second Amended and Restated Agreement of Limited Partnership of Capital Product Partners L.P., dated August 25,</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2014</w:t>
      </w:r>
      <w:r>
        <w:rPr>
          <w:rFonts w:ascii="Arial" w:cs="Arial" w:eastAsia="Arial" w:hAnsi="Arial"/>
          <w:sz w:val="15"/>
          <w:szCs w:val="15"/>
          <w:color w:val="auto"/>
        </w:rPr>
        <w:t>(17)</w:t>
      </w:r>
    </w:p>
    <w:p>
      <w:pPr>
        <w:spacing w:after="0" w:line="104"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Certificate of Formation of Capital GP L.L.C.</w:t>
      </w:r>
      <w:r>
        <w:rPr>
          <w:rFonts w:ascii="Arial" w:cs="Arial" w:eastAsia="Arial" w:hAnsi="Arial"/>
          <w:sz w:val="13"/>
          <w:szCs w:val="13"/>
          <w:color w:val="auto"/>
        </w:rPr>
        <w:t>(1)</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Limited Liability Company Agreement of Capital GP L.L.C.</w:t>
      </w:r>
      <w:r>
        <w:rPr>
          <w:rFonts w:ascii="Arial" w:cs="Arial" w:eastAsia="Arial" w:hAnsi="Arial"/>
          <w:sz w:val="13"/>
          <w:szCs w:val="13"/>
          <w:color w:val="auto"/>
        </w:rPr>
        <w:t>(1)</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Certificate of Formation of Capital Product Operating GP L.L.C.</w:t>
      </w:r>
      <w:r>
        <w:rPr>
          <w:rFonts w:ascii="Arial" w:cs="Arial" w:eastAsia="Arial" w:hAnsi="Arial"/>
          <w:sz w:val="13"/>
          <w:szCs w:val="13"/>
          <w:color w:val="auto"/>
        </w:rPr>
        <w:t>(1)</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Revolving $370.0 Million Credit Facility, dated March 22, 2007</w:t>
      </w:r>
      <w:r>
        <w:rPr>
          <w:rFonts w:ascii="Arial" w:cs="Arial" w:eastAsia="Arial" w:hAnsi="Arial"/>
          <w:sz w:val="13"/>
          <w:szCs w:val="13"/>
          <w:color w:val="auto"/>
        </w:rPr>
        <w:t>(1)</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First Supplemental Agreement to Revolving $370.0 Million Credit Facility, dated September 19, 2007</w:t>
      </w:r>
      <w:r>
        <w:rPr>
          <w:rFonts w:ascii="Arial" w:cs="Arial" w:eastAsia="Arial" w:hAnsi="Arial"/>
          <w:sz w:val="13"/>
          <w:szCs w:val="13"/>
          <w:color w:val="auto"/>
        </w:rPr>
        <w:t>(2)</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Second Supplemental Agreement to Revolving $370.0 Million Credit Facility, dated June 11, 2008</w:t>
      </w:r>
      <w:r>
        <w:rPr>
          <w:rFonts w:ascii="Arial" w:cs="Arial" w:eastAsia="Arial" w:hAnsi="Arial"/>
          <w:sz w:val="13"/>
          <w:szCs w:val="13"/>
          <w:color w:val="auto"/>
        </w:rPr>
        <w:t>(3)</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Third Supplemental Agreement to Revolving $370.0 Million Credit Facility, dated April 7, 2009</w:t>
      </w:r>
      <w:r>
        <w:rPr>
          <w:rFonts w:ascii="Arial" w:cs="Arial" w:eastAsia="Arial" w:hAnsi="Arial"/>
          <w:sz w:val="13"/>
          <w:szCs w:val="13"/>
          <w:color w:val="auto"/>
        </w:rPr>
        <w:t>(6)</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Fourth Supplemental Agreement to Revolving $370.0 Million Credit Facility, dated April 8, 2009</w:t>
      </w:r>
      <w:r>
        <w:rPr>
          <w:rFonts w:ascii="Arial" w:cs="Arial" w:eastAsia="Arial" w:hAnsi="Arial"/>
          <w:sz w:val="13"/>
          <w:szCs w:val="13"/>
          <w:color w:val="auto"/>
        </w:rPr>
        <w:t>(6)</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Fifth Supplemental Agreement to Revolving $370.0 Million Credit Facility, dated October 2, 2009</w:t>
      </w:r>
      <w:r>
        <w:rPr>
          <w:rFonts w:ascii="Arial" w:cs="Arial" w:eastAsia="Arial" w:hAnsi="Arial"/>
          <w:sz w:val="13"/>
          <w:szCs w:val="13"/>
          <w:color w:val="auto"/>
        </w:rPr>
        <w:t>(6)</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Sixth Supplemental Agreement to Revolving $370.0 Million Credit Facility, dated June 30, 2010</w:t>
      </w:r>
      <w:r>
        <w:rPr>
          <w:rFonts w:ascii="Arial" w:cs="Arial" w:eastAsia="Arial" w:hAnsi="Arial"/>
          <w:sz w:val="13"/>
          <w:szCs w:val="13"/>
          <w:color w:val="auto"/>
        </w:rPr>
        <w:t>(9)</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90"/>
              </w:rPr>
              <w:t>Description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88"/>
              </w:rPr>
              <w:t>No.</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914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Seventh Supplemental Agreement to Revolving $370.0 Million Credit Facility, dated November 30, 2010</w:t>
      </w:r>
      <w:r>
        <w:rPr>
          <w:rFonts w:ascii="Arial" w:cs="Arial" w:eastAsia="Arial" w:hAnsi="Arial"/>
          <w:sz w:val="13"/>
          <w:szCs w:val="13"/>
          <w:color w:val="auto"/>
        </w:rPr>
        <w:t>(9)</w:t>
      </w:r>
    </w:p>
    <w:p>
      <w:pPr>
        <w:spacing w:after="0" w:line="117"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Eighth Supplemental Agreement to Revolving $370.0 Million Credit Facility, dated December 23, 2011</w:t>
      </w:r>
      <w:r>
        <w:rPr>
          <w:rFonts w:ascii="Arial" w:cs="Arial" w:eastAsia="Arial" w:hAnsi="Arial"/>
          <w:sz w:val="13"/>
          <w:szCs w:val="13"/>
          <w:color w:val="auto"/>
        </w:rPr>
        <w:t>(13)</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Ninth Supplemental Agreement to Revolving $370.0 Million Credit Facility, dated May 21, 2012</w:t>
      </w:r>
      <w:r>
        <w:rPr>
          <w:rFonts w:ascii="Arial" w:cs="Arial" w:eastAsia="Arial" w:hAnsi="Arial"/>
          <w:sz w:val="13"/>
          <w:szCs w:val="13"/>
          <w:color w:val="auto"/>
        </w:rPr>
        <w:t>(14)</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Tenth Supplemental Agreement to Revolving $370.0 Million Credit Facility, dated November 4, 2013</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Eleventh Supplemental Agreement to Revolving $370.0 Million Credit Facility, dated April 30,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Revolving $350.0 Million Credit Facility, dated March 19, 2008</w:t>
      </w:r>
      <w:r>
        <w:rPr>
          <w:rFonts w:ascii="Arial" w:cs="Arial" w:eastAsia="Arial" w:hAnsi="Arial"/>
          <w:sz w:val="13"/>
          <w:szCs w:val="13"/>
          <w:color w:val="auto"/>
        </w:rPr>
        <w:t>(2)</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First Supplemental Agreement to Revolving $350.0 Million Credit Facility, dated October 2, 2009</w:t>
      </w:r>
      <w:r>
        <w:rPr>
          <w:rFonts w:ascii="Arial" w:cs="Arial" w:eastAsia="Arial" w:hAnsi="Arial"/>
          <w:sz w:val="13"/>
          <w:szCs w:val="13"/>
          <w:color w:val="auto"/>
        </w:rPr>
        <w:t>(6)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Second Supplemental Agreement to Revolving $350.0 Million Credit Facility, dated June 30, 2010</w:t>
      </w:r>
      <w:r>
        <w:rPr>
          <w:rFonts w:ascii="Arial" w:cs="Arial" w:eastAsia="Arial" w:hAnsi="Arial"/>
          <w:sz w:val="13"/>
          <w:szCs w:val="13"/>
          <w:color w:val="auto"/>
        </w:rPr>
        <w:t>(9)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Third Supplemental Agreement to Revolving $350.0 Million Credit Facility, dated May 21, 2012</w:t>
      </w:r>
      <w:r>
        <w:rPr>
          <w:rFonts w:ascii="Arial" w:cs="Arial" w:eastAsia="Arial" w:hAnsi="Arial"/>
          <w:sz w:val="13"/>
          <w:szCs w:val="13"/>
          <w:color w:val="auto"/>
        </w:rPr>
        <w:t>(14)</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Fourth Supplemental Agreement to Revolving $350.0 Million Credit Facility, dated December 21,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Fifth Supplemental Agreement to Revolving $350.0 Million Credit Facility, dated April 28,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Loan Agreement with Emporiki Bank of Greece S.A., dated June 9, 2011</w:t>
      </w:r>
      <w:r>
        <w:rPr>
          <w:rFonts w:ascii="Arial" w:cs="Arial" w:eastAsia="Arial" w:hAnsi="Arial"/>
          <w:sz w:val="13"/>
          <w:szCs w:val="13"/>
          <w:color w:val="auto"/>
        </w:rPr>
        <w:t>(13)</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Supplemental Deed to Loan Agreement with Emporiki Bank of Greece S.A., dated April 28, 2015</w:t>
      </w:r>
      <w:r>
        <w:rPr>
          <w:rFonts w:ascii="Arial" w:cs="Arial" w:eastAsia="Arial" w:hAnsi="Arial"/>
          <w:sz w:val="13"/>
          <w:szCs w:val="13"/>
          <w:color w:val="auto"/>
        </w:rPr>
        <w:t>(21)</w:t>
      </w:r>
    </w:p>
    <w:p>
      <w:pPr>
        <w:spacing w:after="0" w:line="117" w:lineRule="exact"/>
        <w:rPr>
          <w:sz w:val="20"/>
          <w:szCs w:val="20"/>
          <w:color w:val="auto"/>
        </w:rPr>
      </w:pPr>
    </w:p>
    <w:p>
      <w:pPr>
        <w:ind w:left="780" w:right="240" w:hanging="769"/>
        <w:spacing w:after="0" w:line="277" w:lineRule="auto"/>
        <w:tabs>
          <w:tab w:leader="none" w:pos="7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Amended and Restated Loan Agreement with ING Bank N.V., HSH Nordbank AG, National Bank of Greece S.A. and Skandinaviska Enskilda Banken AB (publ), dated December 27, 2013</w:t>
      </w:r>
      <w:r>
        <w:rPr>
          <w:rFonts w:ascii="Arial" w:cs="Arial" w:eastAsia="Arial" w:hAnsi="Arial"/>
          <w:sz w:val="15"/>
          <w:szCs w:val="15"/>
          <w:color w:val="auto"/>
        </w:rPr>
        <w:t>(18)</w:t>
      </w:r>
    </w:p>
    <w:p>
      <w:pPr>
        <w:spacing w:after="0" w:line="62" w:lineRule="exact"/>
        <w:rPr>
          <w:sz w:val="20"/>
          <w:szCs w:val="20"/>
          <w:color w:val="auto"/>
        </w:rPr>
      </w:pPr>
    </w:p>
    <w:p>
      <w:pPr>
        <w:ind w:left="780" w:right="200" w:hanging="769"/>
        <w:spacing w:after="0" w:line="277" w:lineRule="auto"/>
        <w:tabs>
          <w:tab w:leader="none" w:pos="7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Loan Agreement between Filonikis Product Carrier S.A. and others and ING Bank N.V., London Branch as Facility Agent and Security Trustee and ING Bank N.V. as Swap Bank, dated November 19, 2015.</w:t>
      </w:r>
    </w:p>
    <w:p>
      <w:pPr>
        <w:spacing w:after="0" w:line="62" w:lineRule="exact"/>
        <w:rPr>
          <w:sz w:val="20"/>
          <w:szCs w:val="20"/>
          <w:color w:val="auto"/>
        </w:rPr>
      </w:pPr>
    </w:p>
    <w:p>
      <w:pPr>
        <w:ind w:left="780" w:hanging="769"/>
        <w:spacing w:after="0" w:line="277" w:lineRule="auto"/>
        <w:tabs>
          <w:tab w:leader="none" w:pos="7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Guarantee Relating to Loan Agreement dated 19 November 2015 between Capital Product Partners L.P as Guarantor and ING Bank N.V., London Branch as Security Trustee, dated November 19, 2015</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Amended and Restated Omnibus Agreement, dated September 30, 2011</w:t>
      </w:r>
      <w:r>
        <w:rPr>
          <w:rFonts w:ascii="Arial" w:cs="Arial" w:eastAsia="Arial" w:hAnsi="Arial"/>
          <w:sz w:val="13"/>
          <w:szCs w:val="13"/>
          <w:color w:val="auto"/>
        </w:rPr>
        <w:t>(8)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Amended and Restated Management Agreement with Capital Ship Management, dated May 9,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Amended and Restated Management Agreement with Capital Ship Management, dated November 30,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Amended and Restated Management Agreement with Capital Ship Management, dated February 28,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Amended and Restated Management Agreement with Capital Ship Management, dated December 31,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Amended and Restated Management Agreement with Capital Ship Management, dated July 1,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Amended and Restated Management Agreement with Capital Ship Management, dated October 1,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Amended and Restated Management Agreement with Capital Ship Management, dated March 1,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Amended and Restated Management Agreement with Capital Ship Management, dated September 28,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Floating Rate Management Agreement with Capital Ship Management Corp., dated June 9, 2011</w:t>
      </w:r>
      <w:r>
        <w:rPr>
          <w:rFonts w:ascii="Arial" w:cs="Arial" w:eastAsia="Arial" w:hAnsi="Arial"/>
          <w:sz w:val="13"/>
          <w:szCs w:val="13"/>
          <w:color w:val="auto"/>
        </w:rPr>
        <w:t>(13)</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Amendment 1 to Floating Rate Management Agreement with Capital Ship Management Corp., dated August 4, 2011</w:t>
      </w:r>
      <w:r>
        <w:rPr>
          <w:rFonts w:ascii="Arial" w:cs="Arial" w:eastAsia="Arial" w:hAnsi="Arial"/>
          <w:sz w:val="13"/>
          <w:szCs w:val="13"/>
          <w:color w:val="auto"/>
        </w:rPr>
        <w:t>(13)</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Amendment 2 to Floating Rate Management Agreement with Capital Ship Management Corp., dated December 5, 2011</w:t>
      </w:r>
      <w:r>
        <w:rPr>
          <w:rFonts w:ascii="Arial" w:cs="Arial" w:eastAsia="Arial" w:hAnsi="Arial"/>
          <w:sz w:val="13"/>
          <w:szCs w:val="13"/>
          <w:color w:val="auto"/>
        </w:rPr>
        <w:t>(13)</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Amendment 3 to Floating Rate Management Agreement with Capital Ship Management Corp., dated April 18,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6"/>
          <w:szCs w:val="16"/>
          <w:color w:val="auto"/>
        </w:rPr>
        <w:t>Amendment 4 to Floating Rate Management Agreement with Capital Ship Management Corp., dated June 13, 2011</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6"/>
          <w:szCs w:val="16"/>
          <w:color w:val="auto"/>
        </w:rPr>
        <w:t>Amendment 5 to Floating Rate Management Agreement with Capital Ship Management Corp., dated August 26,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Amendment 6 to Floating Rate Management Agreement with Capital Ship Management Corp., dated September 15,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6"/>
          <w:szCs w:val="16"/>
          <w:color w:val="auto"/>
        </w:rPr>
        <w:t>Amendment 7 to Floating Rate Management Agreement with Capital Ship Management Corp., dated December 22, 2012</w:t>
      </w:r>
      <w:r>
        <w:rPr>
          <w:rFonts w:ascii="Arial" w:cs="Arial" w:eastAsia="Arial" w:hAnsi="Arial"/>
          <w:sz w:val="13"/>
          <w:szCs w:val="13"/>
          <w:color w:val="auto"/>
        </w:rPr>
        <w:t>(16)</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90"/>
              </w:rPr>
              <w:t>Description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568"/>
              <w:spacing w:after="0"/>
              <w:rPr>
                <w:sz w:val="20"/>
                <w:szCs w:val="20"/>
                <w:color w:val="auto"/>
              </w:rPr>
            </w:pPr>
            <w:r>
              <w:rPr>
                <w:rFonts w:ascii="Arial" w:cs="Arial" w:eastAsia="Arial" w:hAnsi="Arial"/>
                <w:sz w:val="14"/>
                <w:szCs w:val="14"/>
                <w:b w:val="1"/>
                <w:bCs w:val="1"/>
                <w:color w:val="auto"/>
                <w:w w:val="88"/>
              </w:rPr>
              <w:t>No.</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914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Amendment 8 to Floating Rate Management Agreement with Capital Ship Management Corp., dated December 24,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Amendment 9 to Floating Rate Management Agreement with Capital Ship Management Corp., dated January 22,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Amendment 10 to Floating Rate Management Agreement with Capital Ship Management Corp., dated March 20,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Amendment 11 to Floating Rate Management Agreement with Capital Ship Management Corp., dated September 11,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Amendment 12 to Floating Rate Management Agreement with Capital Ship Management Corp., dated November 28, 2013</w:t>
      </w:r>
      <w:r>
        <w:rPr>
          <w:rFonts w:ascii="Arial" w:cs="Arial" w:eastAsia="Arial" w:hAnsi="Arial"/>
          <w:sz w:val="13"/>
          <w:szCs w:val="13"/>
          <w:color w:val="auto"/>
        </w:rPr>
        <w:t>(18)</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6"/>
          <w:szCs w:val="16"/>
          <w:color w:val="auto"/>
        </w:rPr>
        <w:t>Amendment 13 to Floating Rate Management Agreement with Capital Ship Management Corp., dated April 1,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Amendment 14 to Floating Rate Management Agreement with Capital Ship Management Corp., dated May 18,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6"/>
          <w:szCs w:val="16"/>
          <w:color w:val="auto"/>
        </w:rPr>
        <w:t>Amendment 15 to Floating Rate Management Agreement with Capital Ship Management Corp., dated December 31,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6"/>
          <w:szCs w:val="16"/>
          <w:color w:val="auto"/>
        </w:rPr>
        <w:t>Amendment 16 to Floating Rate Management Agreement with Capital Ship Management Corp., dated March 31,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6"/>
          <w:szCs w:val="16"/>
          <w:color w:val="auto"/>
        </w:rPr>
        <w:t>Amendment 17 to Floating Rate Management Agreement with Capital Ship Management Corp., dated June 10,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Amendment 18 to Floating Rate Management Agreement with Capital Ship Management Corp., dated June 30,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Amendment 19 to Floating Rate Management Agreement with Capital Ship Management Corp., dated September 18,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Amendment 20 to Floating Rate Management Agreement with Capital Ship Management Corp., dated October 1,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Amendment 21 to Floating Rate Management Agreement with Capital Ship Management Corp., dated February 26,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6"/>
          <w:szCs w:val="16"/>
          <w:color w:val="auto"/>
        </w:rPr>
        <w:t>Amendment 22 to Floating Rate Management Agreement with Capital Ship Management Corp., dated September 1,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Amendment 23 to Floating Rate Management Agreement with Capital Ship Management Corp., dated September 28,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6"/>
          <w:szCs w:val="16"/>
          <w:color w:val="auto"/>
        </w:rPr>
        <w:t>Amendment 24 to Floating Rate Management Agreement with Capital Ship Management Corp., dated October 24,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6"/>
          <w:szCs w:val="16"/>
          <w:color w:val="auto"/>
        </w:rPr>
        <w:t>Amendment 25 to Floating Rate Management Agreement with Capital Ship Management Corp., dated December 1,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6"/>
          <w:szCs w:val="16"/>
          <w:color w:val="auto"/>
        </w:rPr>
        <w:t>Administrative Services Agreement with Capital Ship Management</w:t>
      </w:r>
      <w:r>
        <w:rPr>
          <w:rFonts w:ascii="Arial" w:cs="Arial" w:eastAsia="Arial" w:hAnsi="Arial"/>
          <w:sz w:val="13"/>
          <w:szCs w:val="13"/>
          <w:color w:val="auto"/>
        </w:rPr>
        <w:t>(1)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4.60</w:t>
      </w:r>
      <w:r>
        <w:rPr>
          <w:sz w:val="20"/>
          <w:szCs w:val="20"/>
          <w:color w:val="auto"/>
        </w:rPr>
        <w:tab/>
      </w:r>
      <w:r>
        <w:rPr>
          <w:rFonts w:ascii="Arial" w:cs="Arial" w:eastAsia="Arial" w:hAnsi="Arial"/>
          <w:sz w:val="16"/>
          <w:szCs w:val="16"/>
          <w:color w:val="auto"/>
        </w:rPr>
        <w:t>Amendment 1 to Administrative Services Agreement with Capital Ship Management Corp., dated April 2, 2012</w:t>
      </w:r>
      <w:r>
        <w:rPr>
          <w:rFonts w:ascii="Arial" w:cs="Arial" w:eastAsia="Arial" w:hAnsi="Arial"/>
          <w:sz w:val="13"/>
          <w:szCs w:val="13"/>
          <w:color w:val="auto"/>
        </w:rPr>
        <w:t>(16)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Share Purchase Agreement for M/T Active, dated March 31,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Share Purchase Agreement for M/V CMA CGM Amazon, dated June 10,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Share Purchase Agreement for M/T Amadeus, dated June 30,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6"/>
          <w:szCs w:val="16"/>
          <w:color w:val="auto"/>
        </w:rPr>
        <w:t>Share Purchase Agreement for M/V CMA CGM Uruguay, dated September 18, 2015</w:t>
      </w:r>
      <w:r>
        <w:rPr>
          <w:rFonts w:ascii="Arial" w:cs="Arial" w:eastAsia="Arial" w:hAnsi="Arial"/>
          <w:sz w:val="13"/>
          <w:szCs w:val="13"/>
          <w:color w:val="auto"/>
        </w:rPr>
        <w:t>(21)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6"/>
          <w:szCs w:val="16"/>
          <w:color w:val="auto"/>
        </w:rPr>
        <w:t>Share Purchase Agreement for M/V CMA CGM Magdalena, dated February 26,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Share Purchase Agreement for M/T Amor dated October 24, 2016</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6"/>
          <w:szCs w:val="16"/>
          <w:color w:val="auto"/>
        </w:rPr>
        <w:t>Master Vessel Acquisition Agreement, dated July 24, 2014</w:t>
      </w:r>
      <w:r>
        <w:rPr>
          <w:rFonts w:ascii="Arial" w:cs="Arial" w:eastAsia="Arial" w:hAnsi="Arial"/>
          <w:sz w:val="13"/>
          <w:szCs w:val="13"/>
          <w:color w:val="auto"/>
        </w:rPr>
        <w:t>(19)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4.68</w:t>
      </w:r>
      <w:r>
        <w:rPr>
          <w:sz w:val="20"/>
          <w:szCs w:val="20"/>
          <w:color w:val="auto"/>
        </w:rPr>
        <w:tab/>
      </w:r>
      <w:r>
        <w:rPr>
          <w:rFonts w:ascii="Arial" w:cs="Arial" w:eastAsia="Arial" w:hAnsi="Arial"/>
          <w:sz w:val="16"/>
          <w:szCs w:val="16"/>
          <w:color w:val="auto"/>
        </w:rPr>
        <w:t>Capital Product Partners L.P. 2008 Omnibus Incentive Compensation Plan, dated April 29, 2008</w:t>
      </w:r>
      <w:r>
        <w:rPr>
          <w:rFonts w:ascii="Arial" w:cs="Arial" w:eastAsia="Arial" w:hAnsi="Arial"/>
          <w:sz w:val="13"/>
          <w:szCs w:val="13"/>
          <w:color w:val="auto"/>
        </w:rPr>
        <w:t>(4)</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4.69</w:t>
      </w:r>
      <w:r>
        <w:rPr>
          <w:sz w:val="20"/>
          <w:szCs w:val="20"/>
          <w:color w:val="auto"/>
        </w:rPr>
        <w:tab/>
      </w:r>
      <w:r>
        <w:rPr>
          <w:rFonts w:ascii="Arial" w:cs="Arial" w:eastAsia="Arial" w:hAnsi="Arial"/>
          <w:sz w:val="16"/>
          <w:szCs w:val="16"/>
          <w:color w:val="auto"/>
        </w:rPr>
        <w:t>Capital Product Partners L.P. 2008 Omnibus Incentive Compensation Plan, amended July 22, 2010</w:t>
      </w:r>
      <w:r>
        <w:rPr>
          <w:rFonts w:ascii="Arial" w:cs="Arial" w:eastAsia="Arial" w:hAnsi="Arial"/>
          <w:sz w:val="13"/>
          <w:szCs w:val="13"/>
          <w:color w:val="auto"/>
        </w:rPr>
        <w:t>(9)</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Capital Product Partners L.P. 2008 Omnibus Incentive Compensation Plan, amended August 21, 2014</w:t>
      </w:r>
      <w:r>
        <w:rPr>
          <w:rFonts w:ascii="Arial" w:cs="Arial" w:eastAsia="Arial" w:hAnsi="Arial"/>
          <w:sz w:val="13"/>
          <w:szCs w:val="13"/>
          <w:color w:val="auto"/>
        </w:rPr>
        <w:t>(17)</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Crude Carriers Corp. Equity Incentive Plan, dated March 1, 2010</w:t>
      </w:r>
      <w:r>
        <w:rPr>
          <w:rFonts w:ascii="Arial" w:cs="Arial" w:eastAsia="Arial" w:hAnsi="Arial"/>
          <w:sz w:val="13"/>
          <w:szCs w:val="13"/>
          <w:color w:val="auto"/>
        </w:rPr>
        <w:t>(10)</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 xml:space="preserve">Form of Management Agreement between Crude Carriers Corp. and Capital Ship Management Corp. </w:t>
      </w:r>
      <w:r>
        <w:rPr>
          <w:rFonts w:ascii="Arial" w:cs="Arial" w:eastAsia="Arial" w:hAnsi="Arial"/>
          <w:sz w:val="13"/>
          <w:szCs w:val="13"/>
          <w:color w:val="auto"/>
        </w:rPr>
        <w:t>(10)</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Amendment No. 1 to Crude Carriers Management Agreement, dated August 5, 2010</w:t>
      </w:r>
      <w:r>
        <w:rPr>
          <w:rFonts w:ascii="Arial" w:cs="Arial" w:eastAsia="Arial" w:hAnsi="Arial"/>
          <w:sz w:val="13"/>
          <w:szCs w:val="13"/>
          <w:color w:val="auto"/>
        </w:rPr>
        <w:t>(11)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219"/>
          </w:cols>
          <w:pgMar w:left="240" w:top="459" w:right="1440"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gridSpan w:val="3"/>
            <w:vMerge w:val="restart"/>
          </w:tcPr>
          <w:p>
            <w:pPr>
              <w:ind w:left="5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0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4.74</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Amendment No. 2 to Crude Carriers Management Agreement, dated August 6, 2010</w:t>
            </w: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4.75</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Memorandum of Agreement for acquisition of M/T Aristotelis (ex M/T Aristarchos), dated October 16,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4.76</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Memorandum of Agreement for disposition of M/T Agamemnon II, dated October 17,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4.77</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Form Restricted Unit Award of Capital Product Partners L.P.</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4.78</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Subscription Agreement, dated March 15, 2013</w:t>
            </w: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4.79</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Assignment of Claim Agreement, dated June 24,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4.80</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Assignment of Claim Agreement, dated June 24,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4.81</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Settlement Notice and Refund Modification, dated December 18, 2013</w:t>
            </w: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4.82</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w w:val="99"/>
              </w:rPr>
              <w:t>Equity Distribution Agreement, dated September 12, 2016, with UBS Securities LLC in connection with at-the-market offering</w:t>
            </w:r>
            <w:r>
              <w:rPr>
                <w:rFonts w:ascii="Arial" w:cs="Arial" w:eastAsia="Arial" w:hAnsi="Arial"/>
                <w:sz w:val="15"/>
                <w:szCs w:val="15"/>
                <w:color w:val="auto"/>
                <w:w w:val="99"/>
              </w:rPr>
              <w:t>(22)</w:t>
            </w:r>
          </w:p>
        </w:tc>
        <w:tc>
          <w:tcPr>
            <w:tcW w:w="0" w:type="dxa"/>
            <w:vAlign w:val="bottom"/>
          </w:tcPr>
          <w:p>
            <w:pPr>
              <w:spacing w:after="0"/>
              <w:rPr>
                <w:sz w:val="1"/>
                <w:szCs w:val="1"/>
                <w:color w:val="auto"/>
              </w:rPr>
            </w:pPr>
          </w:p>
        </w:tc>
      </w:tr>
      <w:tr>
        <w:trPr>
          <w:trHeight w:val="324"/>
        </w:trPr>
        <w:tc>
          <w:tcPr>
            <w:tcW w:w="700" w:type="dxa"/>
            <w:vAlign w:val="bottom"/>
            <w:gridSpan w:val="2"/>
          </w:tcPr>
          <w:p>
            <w:pPr>
              <w:ind w:left="180"/>
              <w:spacing w:after="0"/>
              <w:rPr>
                <w:sz w:val="20"/>
                <w:szCs w:val="20"/>
                <w:color w:val="auto"/>
              </w:rPr>
            </w:pPr>
            <w:r>
              <w:rPr>
                <w:rFonts w:ascii="Arial" w:cs="Arial" w:eastAsia="Arial" w:hAnsi="Arial"/>
                <w:sz w:val="18"/>
                <w:szCs w:val="18"/>
                <w:color w:val="auto"/>
              </w:rPr>
              <w:t>8.1</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List of Subsidiaries of Capital Product Partners L.P.</w:t>
            </w:r>
          </w:p>
        </w:tc>
        <w:tc>
          <w:tcPr>
            <w:tcW w:w="0" w:type="dxa"/>
            <w:vAlign w:val="bottom"/>
          </w:tcPr>
          <w:p>
            <w:pPr>
              <w:spacing w:after="0"/>
              <w:rPr>
                <w:sz w:val="1"/>
                <w:szCs w:val="1"/>
                <w:color w:val="auto"/>
              </w:rPr>
            </w:pP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12.1</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c>
          <w:tcPr>
            <w:tcW w:w="0" w:type="dxa"/>
            <w:vAlign w:val="bottom"/>
          </w:tcPr>
          <w:p>
            <w:pPr>
              <w:spacing w:after="0"/>
              <w:rPr>
                <w:sz w:val="1"/>
                <w:szCs w:val="1"/>
                <w:color w:val="auto"/>
              </w:rPr>
            </w:pP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12.2</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c>
          <w:tcPr>
            <w:tcW w:w="0" w:type="dxa"/>
            <w:vAlign w:val="bottom"/>
          </w:tcPr>
          <w:p>
            <w:pPr>
              <w:spacing w:after="0"/>
              <w:rPr>
                <w:sz w:val="1"/>
                <w:szCs w:val="1"/>
                <w:color w:val="auto"/>
              </w:rPr>
            </w:pPr>
          </w:p>
        </w:tc>
      </w:tr>
      <w:tr>
        <w:trPr>
          <w:trHeight w:val="310"/>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13.1</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w w:val="90"/>
              </w:rPr>
              <w:t>Capital Product Partners L.P. Certification of Gerasimos (Jerry) Kalogiratos, Chief Executive Officer, pursuant to 18 U.S.C. Section 1350, 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adopted pursuant to Section 906 of the U.S. Sarbanes-Oxley Act of 2002*</w:t>
            </w:r>
          </w:p>
        </w:tc>
        <w:tc>
          <w:tcPr>
            <w:tcW w:w="0" w:type="dxa"/>
            <w:vAlign w:val="bottom"/>
          </w:tcPr>
          <w:p>
            <w:pPr>
              <w:spacing w:after="0"/>
              <w:rPr>
                <w:sz w:val="1"/>
                <w:szCs w:val="1"/>
                <w:color w:val="auto"/>
              </w:rPr>
            </w:pPr>
          </w:p>
        </w:tc>
      </w:tr>
      <w:tr>
        <w:trPr>
          <w:trHeight w:val="310"/>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13.2</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w w:val="91"/>
              </w:rPr>
              <w:t>Capital Product Partners L.P. Certification of Gerasimos (Jerry) Kalogiratos, Chief Financial Officer, pursuant to 18 U.S.C. Section 1350, 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adopted pursuant to Section 906 of the U.S. Sarbanes-Oxley Act of 2002*</w:t>
            </w:r>
          </w:p>
        </w:tc>
        <w:tc>
          <w:tcPr>
            <w:tcW w:w="0" w:type="dxa"/>
            <w:vAlign w:val="bottom"/>
          </w:tcPr>
          <w:p>
            <w:pPr>
              <w:spacing w:after="0"/>
              <w:rPr>
                <w:sz w:val="1"/>
                <w:szCs w:val="1"/>
                <w:color w:val="auto"/>
              </w:rPr>
            </w:pP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15.1</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Consent of Deloitte Hadjipavlou, Sofianos &amp; Cambanis S.A.</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60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5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460" w:right="60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460" w:right="24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 333-165138), filed with the SEC on March 1, 2010, and incorporated by reference to such Registration Statement.</w:t>
      </w:r>
    </w:p>
    <w:p>
      <w:pPr>
        <w:ind w:left="460" w:right="2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2011.</w:t>
      </w: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August 26,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July 29,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2014 and filed with the SEC on February 26, 2015.</w:t>
      </w:r>
    </w:p>
    <w:p>
      <w:pPr>
        <w:ind w:left="4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2015 and filed with the SEC on February 17, 2016.</w:t>
      </w: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12, 2016.</w:t>
      </w:r>
    </w:p>
    <w:p>
      <w:pPr>
        <w:spacing w:after="0" w:line="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720"/>
          </w:cols>
          <w:pgMar w:left="240" w:top="459" w:right="9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Capital GP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Gerasimos (Jerry) Kalogiratos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Gerasimos (Jerry) Kalogiratos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Chief</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Financial Officer of Capital GP L.L.C.</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0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00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88"/>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Consolidated Balance Sheets as of December 31, 2016 and 2015</w:t>
              </w:r>
            </w:hyperlink>
          </w:p>
        </w:tc>
        <w:tc>
          <w:tcPr>
            <w:tcW w:w="6340" w:type="dxa"/>
            <w:vAlign w:val="bottom"/>
            <w:gridSpan w:val="4"/>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Consolidated Statement of Comprehensive Income for the years ended December 31, 2016, 2015 and 2014</w:t>
              </w:r>
            </w:hyperlink>
          </w:p>
        </w:tc>
        <w:tc>
          <w:tcPr>
            <w:tcW w:w="328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F-3</w:t>
            </w:r>
          </w:p>
        </w:tc>
        <w:tc>
          <w:tcPr>
            <w:tcW w:w="0" w:type="dxa"/>
            <w:vAlign w:val="bottom"/>
          </w:tcPr>
          <w:p>
            <w:pPr>
              <w:spacing w:after="0"/>
              <w:rPr>
                <w:sz w:val="1"/>
                <w:szCs w:val="1"/>
                <w:color w:val="auto"/>
              </w:rPr>
            </w:pPr>
          </w:p>
        </w:tc>
      </w:tr>
      <w:tr>
        <w:trPr>
          <w:trHeight w:val="196"/>
        </w:trPr>
        <w:tc>
          <w:tcPr>
            <w:tcW w:w="11000" w:type="dxa"/>
            <w:vAlign w:val="bottom"/>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Statement of Changes in Partners’ Capital for the years ended December 31, 2016, 2015 and 2014</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F-4</w:t>
            </w:r>
          </w:p>
        </w:tc>
        <w:tc>
          <w:tcPr>
            <w:tcW w:w="0" w:type="dxa"/>
            <w:vAlign w:val="bottom"/>
          </w:tcPr>
          <w:p>
            <w:pPr>
              <w:spacing w:after="0"/>
              <w:rPr>
                <w:sz w:val="1"/>
                <w:szCs w:val="1"/>
                <w:color w:val="auto"/>
              </w:rPr>
            </w:pPr>
          </w:p>
        </w:tc>
      </w:tr>
      <w:tr>
        <w:trPr>
          <w:trHeight w:val="196"/>
        </w:trPr>
        <w:tc>
          <w:tcPr>
            <w:tcW w:w="8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 of Cash Flows for the years ended December 31, 2016, 2015 and 2014</w:t>
              </w:r>
            </w:hyperlink>
          </w:p>
        </w:tc>
        <w:tc>
          <w:tcPr>
            <w:tcW w:w="29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F-5</w:t>
            </w:r>
          </w:p>
        </w:tc>
        <w:tc>
          <w:tcPr>
            <w:tcW w:w="0" w:type="dxa"/>
            <w:vAlign w:val="bottom"/>
          </w:tcPr>
          <w:p>
            <w:pPr>
              <w:spacing w:after="0"/>
              <w:rPr>
                <w:sz w:val="1"/>
                <w:szCs w:val="1"/>
                <w:color w:val="auto"/>
              </w:rPr>
            </w:pPr>
          </w:p>
        </w:tc>
      </w:tr>
      <w:tr>
        <w:trPr>
          <w:trHeight w:val="196"/>
        </w:trPr>
        <w:tc>
          <w:tcPr>
            <w:tcW w:w="68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Notes to the Consolidated Financial Statements</w:t>
              </w:r>
            </w:hyperlink>
          </w:p>
        </w:tc>
        <w:tc>
          <w:tcPr>
            <w:tcW w:w="416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F-6</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Majuro, Republic of the Marshall Islands.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Capital Product Partners L.P. and subsidiaries (the “Partnership”) as of December 31, 2016 and 2015, and the related consolidated statements of comprehensive income, changes in partners’ capital, and cash flows for each of the three years in the period ended December 31, 2016. These financial statements are the responsibility of the Partnership’s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Capital Product Partners L.P.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Partnership’s internal control over financial reporting as of December 31, 2016, based on the criteria established in Internal Control — Integrated Framework (2013) issued by the Committee of Sponsoring Organizations of the Treadway Commission and our report dated February 3, 2017 expressed an unqualified opinion on the Partnership’s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w:t>
            </w: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106,678</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90,190</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2,497</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3,943</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117,879</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99,824</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Fixed assets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Advances for vessels under construction – related party (Notes 4, 5)</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18,172</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Vessels, net (Note 5)</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1,367,731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1,315,485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assets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1,367,731</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1,333,657</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charters (Note 6)</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90,243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charges, net</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4,154</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7)</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tcPr>
          <w:p>
            <w:pPr>
              <w:spacing w:after="0"/>
              <w:rPr>
                <w:sz w:val="19"/>
                <w:szCs w:val="19"/>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1,480,726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1,456,051</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1,598,605</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1,555,875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 (Note 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39,568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8,686</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 (Note 4)</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16,095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22,154</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liabilities (Note 9)</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7,861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(Note 4)</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19,986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10,867</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92,196</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Long-term debt, net (Note 7)</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562,619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555,888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16,033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578,652</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556,809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670,848</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618,055</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General Partner</w:t>
            </w:r>
          </w:p>
        </w:tc>
        <w:tc>
          <w:tcPr>
            <w:tcW w:w="260" w:type="dxa"/>
            <w:vAlign w:val="bottom"/>
          </w:tcPr>
          <w:p>
            <w:pPr>
              <w:spacing w:after="0"/>
              <w:rPr>
                <w:sz w:val="18"/>
                <w:szCs w:val="18"/>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16,685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16,998</w:t>
            </w: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Limited Partners - Common (122,094,633 and 120,409,456 units issued and outstanding at December 31,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and 2015, respectively)</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800,566</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810,239</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7"/>
              </w:rPr>
              <w:t>Limited Partners - Preferred (12,983,333 Class B units issued and outstanding at December 31, 2016 and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110,506</w:t>
            </w:r>
          </w:p>
        </w:tc>
        <w:tc>
          <w:tcPr>
            <w:tcW w:w="2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110,583</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927,757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937,820</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1,598,605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1,555,875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income per unit)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1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For the years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156,613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Revenues – related party (Note 4)</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63,731</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241,620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220,344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192,777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Voyage expenses - related party (Notes 4,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58,625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10,866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11,708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62,707</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75,687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73,806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60,711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Other income / (expense),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 (Note 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(24,302)</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(23,198)</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(18,396)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(16,699)</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Partnership’s net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52,489</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55,410</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879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 interest in Partnership’s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40,570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per (Note 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Common unit,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Common units,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119,803,329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115,030,879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93,353,168</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Total Partnership’s 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Unitholders</w:t>
            </w: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12,310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$ 606,413</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$ 162,703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$ 781,426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of $0.93 per common and $0.86 per preferred</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1000" w:type="dxa"/>
            <w:vAlign w:val="bottom"/>
            <w:gridSpan w:val="6"/>
          </w:tcPr>
          <w:p>
            <w:pPr>
              <w:jc w:val="right"/>
              <w:ind w:right="160"/>
              <w:spacing w:after="0"/>
              <w:rPr>
                <w:sz w:val="20"/>
                <w:szCs w:val="20"/>
                <w:color w:val="auto"/>
              </w:rPr>
            </w:pPr>
            <w:r>
              <w:rPr>
                <w:rFonts w:ascii="Arial" w:cs="Arial" w:eastAsia="Arial" w:hAnsi="Arial"/>
                <w:sz w:val="18"/>
                <w:szCs w:val="18"/>
                <w:color w:val="auto"/>
              </w:rPr>
              <w:t>(1,725)</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(86,027)</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(15,046)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29,377</w:t>
            </w:r>
          </w:p>
        </w:tc>
        <w:tc>
          <w:tcPr>
            <w:tcW w:w="3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14,042</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240" w:type="dxa"/>
            <w:vAlign w:val="bottom"/>
          </w:tcPr>
          <w:p>
            <w:pPr>
              <w:spacing w:after="0"/>
              <w:rPr>
                <w:sz w:val="18"/>
                <w:szCs w:val="18"/>
                <w:color w:val="auto"/>
              </w:rPr>
            </w:pPr>
          </w:p>
        </w:tc>
        <w:tc>
          <w:tcPr>
            <w:tcW w:w="76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173,504</w:t>
            </w:r>
          </w:p>
        </w:tc>
        <w:tc>
          <w:tcPr>
            <w:tcW w:w="3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Repurchase from Capital Maritime &amp; Trading Corp. (“CMTC”) and cancellation of Partnership’s</w:t>
            </w: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(Note 12)</w:t>
            </w:r>
          </w:p>
        </w:tc>
        <w:tc>
          <w:tcPr>
            <w:tcW w:w="24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10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line="201" w:lineRule="exact"/>
              <w:rPr>
                <w:sz w:val="20"/>
                <w:szCs w:val="20"/>
                <w:color w:val="auto"/>
              </w:rPr>
            </w:pPr>
            <w:r>
              <w:rPr>
                <w:rFonts w:ascii="Arial" w:cs="Arial" w:eastAsia="Arial" w:hAnsi="Arial"/>
                <w:sz w:val="18"/>
                <w:szCs w:val="18"/>
                <w:color w:val="auto"/>
                <w:w w:val="90"/>
              </w:rPr>
              <w:t>Excess between the fair value of the contracted vessels and the contractual cash consideration (Note</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5)</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35,689</w:t>
            </w:r>
          </w:p>
        </w:tc>
        <w:tc>
          <w:tcPr>
            <w:tcW w:w="32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Partnership’s units (Note 12)</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36,591</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(40,287)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15,602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$ 735,547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$ 121,412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$ 872,561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24"/>
                <w:szCs w:val="2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Unitholders</w:t>
            </w: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6"/>
              </w:rPr>
              <w:t>$</w:t>
            </w:r>
            <w:r>
              <w:rPr>
                <w:rFonts w:ascii="Arial" w:cs="Arial" w:eastAsia="Arial" w:hAnsi="Arial"/>
                <w:sz w:val="18"/>
                <w:szCs w:val="18"/>
                <w:b w:val="1"/>
                <w:bCs w:val="1"/>
                <w:color w:val="auto"/>
                <w:w w:val="76"/>
              </w:rPr>
              <w:t>15,602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$ 735,547</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$ 121,412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$ 872,561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of $0.94 per common and $0.87 per preferred</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(109,027)</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(11,521)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43,197</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240" w:type="dxa"/>
            <w:vAlign w:val="bottom"/>
          </w:tcPr>
          <w:p>
            <w:pPr>
              <w:spacing w:after="0"/>
              <w:rPr>
                <w:sz w:val="18"/>
                <w:szCs w:val="18"/>
                <w:color w:val="auto"/>
              </w:rPr>
            </w:pPr>
          </w:p>
        </w:tc>
        <w:tc>
          <w:tcPr>
            <w:tcW w:w="76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132,588</w:t>
            </w:r>
          </w:p>
        </w:tc>
        <w:tc>
          <w:tcPr>
            <w:tcW w:w="3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Conversion of Partnership’s units (Note 12)</w:t>
            </w: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7,900</w:t>
            </w:r>
          </w:p>
        </w:tc>
        <w:tc>
          <w:tcPr>
            <w:tcW w:w="3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(10,642)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16,998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$ 810,239</w:t>
            </w: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$ 110,583</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$ 937,820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5"/>
          </w:tcPr>
          <w:p>
            <w:pPr>
              <w:ind w:left="40"/>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24"/>
                <w:szCs w:val="2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5"/>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Unitholders</w:t>
            </w: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Unitholders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16,998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$ 810,239</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$ 110,583</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937,820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Distributions declared and paid (distributions of $0.46 per common and $0.86 per preferred</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unit) (Note 12)</w:t>
            </w:r>
          </w:p>
        </w:tc>
        <w:tc>
          <w:tcPr>
            <w:tcW w:w="1000" w:type="dxa"/>
            <w:vAlign w:val="bottom"/>
            <w:gridSpan w:val="6"/>
          </w:tcPr>
          <w:p>
            <w:pPr>
              <w:jc w:val="right"/>
              <w:ind w:right="100"/>
              <w:spacing w:after="0"/>
              <w:rPr>
                <w:sz w:val="20"/>
                <w:szCs w:val="20"/>
                <w:color w:val="auto"/>
              </w:rPr>
            </w:pPr>
            <w:r>
              <w:rPr>
                <w:rFonts w:ascii="Arial" w:cs="Arial" w:eastAsia="Arial" w:hAnsi="Arial"/>
                <w:sz w:val="18"/>
                <w:szCs w:val="18"/>
                <w:color w:val="auto"/>
              </w:rPr>
              <w:t>(1,131)</w:t>
            </w:r>
          </w:p>
        </w:tc>
        <w:tc>
          <w:tcPr>
            <w:tcW w:w="1200" w:type="dxa"/>
            <w:vAlign w:val="bottom"/>
            <w:gridSpan w:val="4"/>
          </w:tcPr>
          <w:p>
            <w:pPr>
              <w:jc w:val="right"/>
              <w:ind w:right="260"/>
              <w:spacing w:after="0"/>
              <w:rPr>
                <w:sz w:val="20"/>
                <w:szCs w:val="20"/>
                <w:color w:val="auto"/>
              </w:rPr>
            </w:pPr>
            <w:r>
              <w:rPr>
                <w:rFonts w:ascii="Arial" w:cs="Arial" w:eastAsia="Arial" w:hAnsi="Arial"/>
                <w:sz w:val="18"/>
                <w:szCs w:val="18"/>
                <w:color w:val="auto"/>
              </w:rPr>
              <w:t>(55,884)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(11,178)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40,570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240" w:type="dxa"/>
            <w:vAlign w:val="bottom"/>
          </w:tcPr>
          <w:p>
            <w:pPr>
              <w:spacing w:after="0"/>
              <w:rPr>
                <w:sz w:val="18"/>
                <w:szCs w:val="18"/>
                <w:color w:val="auto"/>
              </w:rPr>
            </w:pPr>
          </w:p>
        </w:tc>
        <w:tc>
          <w:tcPr>
            <w:tcW w:w="760" w:type="dxa"/>
            <w:vAlign w:val="bottom"/>
            <w:gridSpan w:val="5"/>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4,567</w:t>
            </w:r>
          </w:p>
        </w:tc>
        <w:tc>
          <w:tcPr>
            <w:tcW w:w="3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2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16,685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$ 800,566</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$ 110,506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927,757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52,489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55,410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71,897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62,707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 off of deferred financing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14,864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(6,059)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Dry docking costs paid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155,086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134,209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Vessel acquisitions and improvements including time charter agreements (Notes 5, 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(90,782)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(207,937)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Advances for vessels under construction – related party (Note 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(91,782)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(209,937)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(30,327)</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Partnership units (Note 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133,327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Expenses paid for issuance of Partnership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Repurchase from CMTC and cancellation of Partnership’s units (Note 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issuance of long-term debt (Note 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Payments of long-term debt (Note 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(17,354)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(121,299)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(Note 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(68,193)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(122,773)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(102,798)</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 provided by financing activities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(46,816)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16,488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(74,009)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100,227</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164,199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106,678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90,190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164,199</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Excess between the fair value of the contracted vessels and the contractual cash consideration (Note 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Capital expenditures included in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included in liabilities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Capitalized dry docking costs included in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Assumption of loan regarding the acquisition of the shares of Filonikis Product Carrier S.A. (“Filonikis”) (Notes 3, 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Units issued to acquire Filonikis (Note 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Capital Product Partners, L.P. was formed on January 16, 2007, under the laws of the Marshall Islands. The Partnership is an international shipping company. Its fleet of thirty six modern high specification vessels consists of four suezmax crude oil tankers, twenty-one modern medium range tankers, all of which are classed as IMO II/III chemical/product carriers, ten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58"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consolidated financial statements include Capital Product Partners, L.P. and the following vessel-owning companies and operating companies (collectively the “Partnership”) which were all incorporated or formed under the laws of the Marshall Islands and Liberia.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w:t>
            </w:r>
          </w:p>
        </w:tc>
        <w:tc>
          <w:tcPr>
            <w:tcW w:w="2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Name of Vessel Owned by</w:t>
            </w:r>
          </w:p>
        </w:tc>
        <w:tc>
          <w:tcPr>
            <w:tcW w:w="760" w:type="dxa"/>
            <w:vAlign w:val="bottom"/>
          </w:tcPr>
          <w:p>
            <w:pPr>
              <w:spacing w:after="0"/>
              <w:rPr>
                <w:sz w:val="14"/>
                <w:szCs w:val="14"/>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10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by the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380" w:type="dxa"/>
            <w:vAlign w:val="bottom"/>
          </w:tcPr>
          <w:p>
            <w:pPr>
              <w:ind w:left="400"/>
              <w:spacing w:after="0"/>
              <w:rPr>
                <w:sz w:val="20"/>
                <w:szCs w:val="20"/>
                <w:color w:val="auto"/>
              </w:rPr>
            </w:pPr>
            <w:r>
              <w:rPr>
                <w:rFonts w:ascii="Arial" w:cs="Arial" w:eastAsia="Arial" w:hAnsi="Arial"/>
                <w:sz w:val="14"/>
                <w:szCs w:val="14"/>
                <w:b w:val="1"/>
                <w:bCs w:val="1"/>
                <w:color w:val="auto"/>
              </w:rPr>
              <w:t>Incorporation</w:t>
            </w:r>
          </w:p>
        </w:tc>
        <w:tc>
          <w:tcPr>
            <w:tcW w:w="2000" w:type="dxa"/>
            <w:vAlign w:val="bottom"/>
          </w:tcPr>
          <w:p>
            <w:pPr>
              <w:ind w:left="680"/>
              <w:spacing w:after="0"/>
              <w:rPr>
                <w:sz w:val="20"/>
                <w:szCs w:val="20"/>
                <w:color w:val="auto"/>
              </w:rPr>
            </w:pPr>
            <w:r>
              <w:rPr>
                <w:rFonts w:ascii="Arial" w:cs="Arial" w:eastAsia="Arial" w:hAnsi="Arial"/>
                <w:sz w:val="14"/>
                <w:szCs w:val="14"/>
                <w:b w:val="1"/>
                <w:bCs w:val="1"/>
                <w:color w:val="auto"/>
              </w:rPr>
              <w:t>Subsidiary</w:t>
            </w: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DWT</w:t>
            </w: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rPr>
              <w:t>Partnership</w:t>
            </w: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LLC</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01/16/2007</w:t>
            </w:r>
          </w:p>
        </w:tc>
        <w:tc>
          <w:tcPr>
            <w:tcW w:w="2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Crude Carriers Corp.</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10/29/2009</w:t>
            </w:r>
          </w:p>
        </w:tc>
        <w:tc>
          <w:tcPr>
            <w:tcW w:w="2000" w:type="dxa"/>
            <w:vAlign w:val="bottom"/>
          </w:tcPr>
          <w:p>
            <w:pPr>
              <w:ind w:left="8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09/30/2011</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01/21/2010</w:t>
            </w:r>
          </w:p>
        </w:tc>
        <w:tc>
          <w:tcPr>
            <w:tcW w:w="2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09/30/2011</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Shipping Rider Co.</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09/16/2003</w:t>
            </w:r>
          </w:p>
        </w:tc>
        <w:tc>
          <w:tcPr>
            <w:tcW w:w="2000" w:type="dxa"/>
            <w:vAlign w:val="bottom"/>
          </w:tcPr>
          <w:p>
            <w:pPr>
              <w:ind w:left="100"/>
              <w:spacing w:after="0"/>
              <w:rPr>
                <w:sz w:val="20"/>
                <w:szCs w:val="20"/>
                <w:color w:val="auto"/>
              </w:rPr>
            </w:pPr>
            <w:r>
              <w:rPr>
                <w:rFonts w:ascii="Arial" w:cs="Arial" w:eastAsia="Arial" w:hAnsi="Arial"/>
                <w:sz w:val="18"/>
                <w:szCs w:val="18"/>
                <w:color w:val="auto"/>
              </w:rPr>
              <w:t>M/T Atlantas II</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36,760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Canvey Shipmanagement Co.</w:t>
            </w:r>
          </w:p>
        </w:tc>
        <w:tc>
          <w:tcPr>
            <w:tcW w:w="13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9"/>
              </w:rPr>
              <w:t>03/18/2004</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M/T Assos</w:t>
            </w:r>
          </w:p>
        </w:tc>
        <w:tc>
          <w:tcPr>
            <w:tcW w:w="7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47,872</w:t>
            </w:r>
          </w:p>
        </w:tc>
        <w:tc>
          <w:tcPr>
            <w:tcW w:w="108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08/16/2010</w:t>
            </w:r>
          </w:p>
        </w:tc>
        <w:tc>
          <w:tcPr>
            <w:tcW w:w="108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05/17/2006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Centurion Navigation Limited</w:t>
            </w:r>
          </w:p>
        </w:tc>
        <w:tc>
          <w:tcPr>
            <w:tcW w:w="1380" w:type="dxa"/>
            <w:vAlign w:val="bottom"/>
          </w:tcPr>
          <w:p>
            <w:pPr>
              <w:ind w:left="460"/>
              <w:spacing w:after="0" w:line="201" w:lineRule="exact"/>
              <w:rPr>
                <w:sz w:val="20"/>
                <w:szCs w:val="20"/>
                <w:color w:val="auto"/>
              </w:rPr>
            </w:pPr>
            <w:r>
              <w:rPr>
                <w:rFonts w:ascii="Arial" w:cs="Arial" w:eastAsia="Arial" w:hAnsi="Arial"/>
                <w:sz w:val="18"/>
                <w:szCs w:val="18"/>
                <w:color w:val="auto"/>
                <w:w w:val="99"/>
              </w:rPr>
              <w:t>08/27/2003</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M/T Aktoras</w:t>
            </w:r>
          </w:p>
        </w:tc>
        <w:tc>
          <w:tcPr>
            <w:tcW w:w="7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36,759</w:t>
            </w:r>
          </w:p>
        </w:tc>
        <w:tc>
          <w:tcPr>
            <w:tcW w:w="10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07/12/2006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(M/T British Envoy)</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10/10/2003</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Agisilaos</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36,760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08/16/2006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11/10/2003</w:t>
            </w:r>
          </w:p>
        </w:tc>
        <w:tc>
          <w:tcPr>
            <w:tcW w:w="2000" w:type="dxa"/>
            <w:vAlign w:val="bottom"/>
          </w:tcPr>
          <w:p>
            <w:pPr>
              <w:ind w:left="100"/>
              <w:spacing w:after="0"/>
              <w:rPr>
                <w:sz w:val="20"/>
                <w:szCs w:val="20"/>
                <w:color w:val="auto"/>
              </w:rPr>
            </w:pPr>
            <w:r>
              <w:rPr>
                <w:rFonts w:ascii="Arial" w:cs="Arial" w:eastAsia="Arial" w:hAnsi="Arial"/>
                <w:sz w:val="18"/>
                <w:szCs w:val="18"/>
                <w:color w:val="auto"/>
              </w:rPr>
              <w:t>M/T Arionas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36,725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02/10/2004</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Avax</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47,834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01/12/2007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Tempest Maritime Inc.</w:t>
            </w:r>
          </w:p>
        </w:tc>
        <w:tc>
          <w:tcPr>
            <w:tcW w:w="1380" w:type="dxa"/>
            <w:vAlign w:val="bottom"/>
          </w:tcPr>
          <w:p>
            <w:pPr>
              <w:ind w:left="460"/>
              <w:spacing w:after="0" w:line="201" w:lineRule="exact"/>
              <w:rPr>
                <w:sz w:val="20"/>
                <w:szCs w:val="20"/>
                <w:color w:val="auto"/>
              </w:rPr>
            </w:pPr>
            <w:r>
              <w:rPr>
                <w:rFonts w:ascii="Arial" w:cs="Arial" w:eastAsia="Arial" w:hAnsi="Arial"/>
                <w:sz w:val="18"/>
                <w:szCs w:val="18"/>
                <w:color w:val="auto"/>
                <w:w w:val="99"/>
              </w:rPr>
              <w:t>09/12/2003</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M/T Aiolos</w:t>
            </w:r>
          </w:p>
        </w:tc>
        <w:tc>
          <w:tcPr>
            <w:tcW w:w="7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36,725</w:t>
            </w:r>
          </w:p>
        </w:tc>
        <w:tc>
          <w:tcPr>
            <w:tcW w:w="10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04/04/2007</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03/02/2007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(M/T British Emissary)</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02/10/2004</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Axios</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47,872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04/04/2007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02/28/2007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Epicurus Shipping Company</w:t>
            </w:r>
          </w:p>
        </w:tc>
        <w:tc>
          <w:tcPr>
            <w:tcW w:w="1380" w:type="dxa"/>
            <w:vAlign w:val="bottom"/>
          </w:tcPr>
          <w:p>
            <w:pPr>
              <w:ind w:left="460"/>
              <w:spacing w:after="0" w:line="201" w:lineRule="exact"/>
              <w:rPr>
                <w:sz w:val="20"/>
                <w:szCs w:val="20"/>
                <w:color w:val="auto"/>
              </w:rPr>
            </w:pPr>
            <w:r>
              <w:rPr>
                <w:rFonts w:ascii="Arial" w:cs="Arial" w:eastAsia="Arial" w:hAnsi="Arial"/>
                <w:sz w:val="18"/>
                <w:szCs w:val="18"/>
                <w:color w:val="auto"/>
                <w:w w:val="99"/>
              </w:rPr>
              <w:t>02/11/2004</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M/T Atrotos</w:t>
            </w:r>
          </w:p>
        </w:tc>
        <w:tc>
          <w:tcPr>
            <w:tcW w:w="7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47,786</w:t>
            </w:r>
          </w:p>
        </w:tc>
        <w:tc>
          <w:tcPr>
            <w:tcW w:w="10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03/01/2010</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05/08/2007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05/08/2007</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02/03/2004</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Akeraios</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47,781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07/13/2007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05/26/2004</w:t>
            </w:r>
          </w:p>
        </w:tc>
        <w:tc>
          <w:tcPr>
            <w:tcW w:w="2000" w:type="dxa"/>
            <w:vAlign w:val="bottom"/>
          </w:tcPr>
          <w:p>
            <w:pPr>
              <w:ind w:left="100"/>
              <w:spacing w:after="0"/>
              <w:rPr>
                <w:sz w:val="20"/>
                <w:szCs w:val="20"/>
                <w:color w:val="auto"/>
              </w:rPr>
            </w:pPr>
            <w:r>
              <w:rPr>
                <w:rFonts w:ascii="Arial" w:cs="Arial" w:eastAsia="Arial" w:hAnsi="Arial"/>
                <w:sz w:val="18"/>
                <w:szCs w:val="18"/>
                <w:color w:val="auto"/>
              </w:rPr>
              <w:t>M/T Apostolos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47,782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09/20/2007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09/20/2007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07/08/2004</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Anemos I</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47,782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09/28/2007</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09/28/2007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12/29/2003</w:t>
            </w:r>
          </w:p>
        </w:tc>
        <w:tc>
          <w:tcPr>
            <w:tcW w:w="2000" w:type="dxa"/>
            <w:vAlign w:val="bottom"/>
          </w:tcPr>
          <w:p>
            <w:pPr>
              <w:ind w:left="100"/>
              <w:spacing w:after="0"/>
              <w:rPr>
                <w:sz w:val="20"/>
                <w:szCs w:val="20"/>
                <w:color w:val="auto"/>
              </w:rPr>
            </w:pPr>
            <w:r>
              <w:rPr>
                <w:rFonts w:ascii="Arial" w:cs="Arial" w:eastAsia="Arial" w:hAnsi="Arial"/>
                <w:sz w:val="18"/>
                <w:szCs w:val="18"/>
                <w:color w:val="auto"/>
              </w:rPr>
              <w:t>M/T Attikos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09/24/2007</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01/20/2005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Sorrel Shipmanagement Inc.</w:t>
            </w:r>
          </w:p>
        </w:tc>
        <w:tc>
          <w:tcPr>
            <w:tcW w:w="13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9"/>
              </w:rPr>
              <w:t>02/07/2006</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M/T Alexandros II</w:t>
            </w:r>
          </w:p>
        </w:tc>
        <w:tc>
          <w:tcPr>
            <w:tcW w:w="7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51,258</w:t>
            </w:r>
          </w:p>
        </w:tc>
        <w:tc>
          <w:tcPr>
            <w:tcW w:w="108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01/29/2008</w:t>
            </w:r>
          </w:p>
        </w:tc>
        <w:tc>
          <w:tcPr>
            <w:tcW w:w="108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01/29/2008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Overseas Serifos)</w:t>
            </w:r>
          </w:p>
        </w:tc>
        <w:tc>
          <w:tcPr>
            <w:tcW w:w="7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05/29/2007</w:t>
            </w:r>
          </w:p>
        </w:tc>
        <w:tc>
          <w:tcPr>
            <w:tcW w:w="2000" w:type="dxa"/>
            <w:vAlign w:val="bottom"/>
          </w:tcPr>
          <w:p>
            <w:pPr>
              <w:ind w:left="100"/>
              <w:spacing w:after="0"/>
              <w:rPr>
                <w:sz w:val="20"/>
                <w:szCs w:val="20"/>
                <w:color w:val="auto"/>
              </w:rPr>
            </w:pPr>
            <w:r>
              <w:rPr>
                <w:rFonts w:ascii="Arial" w:cs="Arial" w:eastAsia="Arial" w:hAnsi="Arial"/>
                <w:sz w:val="18"/>
                <w:szCs w:val="18"/>
                <w:color w:val="auto"/>
              </w:rPr>
              <w:t>M/T Amore Mio II</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159,982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03/27/2008</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07/31/2007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02/03/2004</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Aristofanis</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04/30/2008</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06/02/2005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Wind Dancer Shipping Inc.</w:t>
            </w:r>
          </w:p>
        </w:tc>
        <w:tc>
          <w:tcPr>
            <w:tcW w:w="1380" w:type="dxa"/>
            <w:vAlign w:val="bottom"/>
          </w:tcPr>
          <w:p>
            <w:pPr>
              <w:ind w:left="460"/>
              <w:spacing w:after="0" w:line="201" w:lineRule="exact"/>
              <w:rPr>
                <w:sz w:val="20"/>
                <w:szCs w:val="20"/>
                <w:color w:val="auto"/>
              </w:rPr>
            </w:pPr>
            <w:r>
              <w:rPr>
                <w:rFonts w:ascii="Arial" w:cs="Arial" w:eastAsia="Arial" w:hAnsi="Arial"/>
                <w:sz w:val="18"/>
                <w:szCs w:val="18"/>
                <w:color w:val="auto"/>
                <w:w w:val="99"/>
              </w:rPr>
              <w:t>02/07/2006</w:t>
            </w:r>
          </w:p>
        </w:tc>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M/T Aristotelis II</w:t>
            </w:r>
          </w:p>
        </w:tc>
        <w:tc>
          <w:tcPr>
            <w:tcW w:w="7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51,226</w:t>
            </w:r>
          </w:p>
        </w:tc>
        <w:tc>
          <w:tcPr>
            <w:tcW w:w="10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06/17/2008</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06/17/2008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(M/T Overseas Sifnos)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01/24/2006</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Aris II</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51,218</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08/20/2008</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08/20/2008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(M/T Overseas Kimolos)</w:t>
            </w:r>
          </w:p>
        </w:tc>
        <w:tc>
          <w:tcPr>
            <w:tcW w:w="7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Mango Finance Corp.</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07/14/2006</w:t>
            </w:r>
          </w:p>
        </w:tc>
        <w:tc>
          <w:tcPr>
            <w:tcW w:w="2000" w:type="dxa"/>
            <w:vAlign w:val="bottom"/>
          </w:tcPr>
          <w:p>
            <w:pPr>
              <w:ind w:left="100"/>
              <w:spacing w:after="0"/>
              <w:rPr>
                <w:sz w:val="20"/>
                <w:szCs w:val="20"/>
                <w:color w:val="auto"/>
              </w:rPr>
            </w:pPr>
            <w:r>
              <w:rPr>
                <w:rFonts w:ascii="Arial" w:cs="Arial" w:eastAsia="Arial" w:hAnsi="Arial"/>
                <w:sz w:val="18"/>
                <w:szCs w:val="18"/>
                <w:color w:val="auto"/>
              </w:rPr>
              <w:t>M/T Agamemnon II</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51,238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04/07/2009</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11/24/2008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07/14/2006</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Ayrton II</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51,260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04/13/2009</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04/10/2009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Adrian Shipholding Inc.</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06/22/2004</w:t>
            </w:r>
          </w:p>
        </w:tc>
        <w:tc>
          <w:tcPr>
            <w:tcW w:w="2000" w:type="dxa"/>
            <w:vAlign w:val="bottom"/>
          </w:tcPr>
          <w:p>
            <w:pPr>
              <w:ind w:left="100"/>
              <w:spacing w:after="0"/>
              <w:rPr>
                <w:sz w:val="20"/>
                <w:szCs w:val="20"/>
                <w:color w:val="auto"/>
              </w:rPr>
            </w:pPr>
            <w:r>
              <w:rPr>
                <w:rFonts w:ascii="Arial" w:cs="Arial" w:eastAsia="Arial" w:hAnsi="Arial"/>
                <w:sz w:val="18"/>
                <w:szCs w:val="18"/>
                <w:color w:val="auto"/>
              </w:rPr>
              <w:t>M/T Alkiviadis</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36,721</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06/30/2010</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03/29/2006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06/17/2008</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M/V Cape Agamemnon</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179,221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06/09/2011</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01/25/2011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9"/>
              </w:rPr>
              <w:t>Cooper Consultants Co. renamed to Miltiadis M II Carriers Corp.</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04/06/2006</w:t>
            </w:r>
          </w:p>
        </w:tc>
        <w:tc>
          <w:tcPr>
            <w:tcW w:w="2000" w:type="dxa"/>
            <w:vAlign w:val="bottom"/>
          </w:tcPr>
          <w:p>
            <w:pPr>
              <w:ind w:left="100"/>
              <w:spacing w:after="0"/>
              <w:rPr>
                <w:sz w:val="20"/>
                <w:szCs w:val="20"/>
                <w:color w:val="auto"/>
              </w:rPr>
            </w:pPr>
            <w:r>
              <w:rPr>
                <w:rFonts w:ascii="Arial" w:cs="Arial" w:eastAsia="Arial" w:hAnsi="Arial"/>
                <w:sz w:val="18"/>
                <w:szCs w:val="18"/>
                <w:color w:val="auto"/>
              </w:rPr>
              <w:t>M/T Miltiadis M II</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162,397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09/30/2011</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04/26/2006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18"/>
                <w:szCs w:val="18"/>
                <w:color w:val="auto"/>
              </w:rPr>
              <w:t>F-6</w:t>
            </w: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Date of</w:t>
            </w:r>
          </w:p>
        </w:tc>
        <w:tc>
          <w:tcPr>
            <w:tcW w:w="2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Name of Vessel Owned by</w:t>
            </w:r>
          </w:p>
        </w:tc>
        <w:tc>
          <w:tcPr>
            <w:tcW w:w="840" w:type="dxa"/>
            <w:vAlign w:val="bottom"/>
          </w:tcPr>
          <w:p>
            <w:pPr>
              <w:spacing w:after="0"/>
              <w:rPr>
                <w:sz w:val="14"/>
                <w:szCs w:val="1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b w:val="1"/>
                <w:bCs w:val="1"/>
                <w:color w:val="auto"/>
              </w:rPr>
              <w:t>Date acquired</w:t>
            </w:r>
          </w:p>
        </w:tc>
        <w:tc>
          <w:tcPr>
            <w:tcW w:w="11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by the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280" w:type="dxa"/>
            <w:vAlign w:val="bottom"/>
          </w:tcPr>
          <w:p>
            <w:pPr>
              <w:jc w:val="right"/>
              <w:ind w:right="52"/>
              <w:spacing w:after="0"/>
              <w:rPr>
                <w:sz w:val="20"/>
                <w:szCs w:val="20"/>
                <w:color w:val="auto"/>
              </w:rPr>
            </w:pPr>
            <w:r>
              <w:rPr>
                <w:rFonts w:ascii="Arial" w:cs="Arial" w:eastAsia="Arial" w:hAnsi="Arial"/>
                <w:sz w:val="14"/>
                <w:szCs w:val="14"/>
                <w:b w:val="1"/>
                <w:bCs w:val="1"/>
                <w:color w:val="auto"/>
              </w:rPr>
              <w:t>Incorporation</w:t>
            </w:r>
          </w:p>
        </w:tc>
        <w:tc>
          <w:tcPr>
            <w:tcW w:w="2080" w:type="dxa"/>
            <w:vAlign w:val="bottom"/>
          </w:tcPr>
          <w:p>
            <w:pPr>
              <w:ind w:left="720"/>
              <w:spacing w:after="0"/>
              <w:rPr>
                <w:sz w:val="20"/>
                <w:szCs w:val="20"/>
                <w:color w:val="auto"/>
              </w:rPr>
            </w:pPr>
            <w:r>
              <w:rPr>
                <w:rFonts w:ascii="Arial" w:cs="Arial" w:eastAsia="Arial" w:hAnsi="Arial"/>
                <w:sz w:val="14"/>
                <w:szCs w:val="14"/>
                <w:b w:val="1"/>
                <w:bCs w:val="1"/>
                <w:color w:val="auto"/>
              </w:rPr>
              <w:t>Subsidiary</w:t>
            </w: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DWT</w:t>
            </w:r>
          </w:p>
        </w:tc>
        <w:tc>
          <w:tcPr>
            <w:tcW w:w="1160" w:type="dxa"/>
            <w:vAlign w:val="bottom"/>
          </w:tcPr>
          <w:p>
            <w:pPr>
              <w:jc w:val="right"/>
              <w:ind w:right="133"/>
              <w:spacing w:after="0"/>
              <w:rPr>
                <w:sz w:val="20"/>
                <w:szCs w:val="20"/>
                <w:color w:val="auto"/>
              </w:rPr>
            </w:pPr>
            <w:r>
              <w:rPr>
                <w:rFonts w:ascii="Arial" w:cs="Arial" w:eastAsia="Arial" w:hAnsi="Arial"/>
                <w:sz w:val="14"/>
                <w:szCs w:val="14"/>
                <w:b w:val="1"/>
                <w:bCs w:val="1"/>
                <w:color w:val="auto"/>
              </w:rPr>
              <w:t>Partnership</w:t>
            </w: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04/14/2010</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 Amoureux</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149,993</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09/30/2011</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Aias Carriers Corp.</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04/14/2010</w:t>
            </w:r>
          </w:p>
        </w:tc>
        <w:tc>
          <w:tcPr>
            <w:tcW w:w="2080" w:type="dxa"/>
            <w:vAlign w:val="bottom"/>
          </w:tcPr>
          <w:p>
            <w:pPr>
              <w:ind w:left="120"/>
              <w:spacing w:after="0"/>
              <w:rPr>
                <w:sz w:val="20"/>
                <w:szCs w:val="20"/>
                <w:color w:val="auto"/>
              </w:rPr>
            </w:pPr>
            <w:r>
              <w:rPr>
                <w:rFonts w:ascii="Arial" w:cs="Arial" w:eastAsia="Arial" w:hAnsi="Arial"/>
                <w:sz w:val="18"/>
                <w:szCs w:val="18"/>
                <w:color w:val="auto"/>
              </w:rPr>
              <w:t>M/T Aias</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150,393</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09/30/2011</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04/19/2012</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M/V Agamemnon</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108,892</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12/22/2012</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06/28/2012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04/19/2012</w:t>
            </w:r>
          </w:p>
        </w:tc>
        <w:tc>
          <w:tcPr>
            <w:tcW w:w="2080" w:type="dxa"/>
            <w:vAlign w:val="bottom"/>
          </w:tcPr>
          <w:p>
            <w:pPr>
              <w:ind w:left="120"/>
              <w:spacing w:after="0"/>
              <w:rPr>
                <w:sz w:val="20"/>
                <w:szCs w:val="20"/>
                <w:color w:val="auto"/>
              </w:rPr>
            </w:pPr>
            <w:r>
              <w:rPr>
                <w:rFonts w:ascii="Arial" w:cs="Arial" w:eastAsia="Arial" w:hAnsi="Arial"/>
                <w:sz w:val="18"/>
                <w:szCs w:val="18"/>
                <w:color w:val="auto"/>
              </w:rPr>
              <w:t>M/V Archimidis</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108,892</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12/22/2012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06/22/2012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10/16/2013</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 Aristotelis</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51,604</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11/28/2013</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Anax Container Carrier S.A</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04/08/2011</w:t>
            </w:r>
          </w:p>
        </w:tc>
        <w:tc>
          <w:tcPr>
            <w:tcW w:w="2080" w:type="dxa"/>
            <w:vAlign w:val="bottom"/>
          </w:tcPr>
          <w:p>
            <w:pPr>
              <w:ind w:left="120"/>
              <w:spacing w:after="0"/>
              <w:rPr>
                <w:sz w:val="20"/>
                <w:szCs w:val="20"/>
                <w:color w:val="auto"/>
              </w:rPr>
            </w:pPr>
            <w:r>
              <w:rPr>
                <w:rFonts w:ascii="Arial" w:cs="Arial" w:eastAsia="Arial" w:hAnsi="Arial"/>
                <w:sz w:val="18"/>
                <w:szCs w:val="18"/>
                <w:color w:val="auto"/>
              </w:rPr>
              <w:t>M/V Hyundai Prestige</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63,010</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09/11/2013</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02/19/2013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Hercules Container Carrier S.A.</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04/08/2011</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M/V Hyundai Premium</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63,010</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03/20/2013</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03/11/2013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Iason Container Carrier S.A</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04/08/2011</w:t>
            </w:r>
          </w:p>
        </w:tc>
        <w:tc>
          <w:tcPr>
            <w:tcW w:w="2080" w:type="dxa"/>
            <w:vAlign w:val="bottom"/>
          </w:tcPr>
          <w:p>
            <w:pPr>
              <w:ind w:left="120"/>
              <w:spacing w:after="0"/>
              <w:rPr>
                <w:sz w:val="20"/>
                <w:szCs w:val="20"/>
                <w:color w:val="auto"/>
              </w:rPr>
            </w:pPr>
            <w:r>
              <w:rPr>
                <w:rFonts w:ascii="Arial" w:cs="Arial" w:eastAsia="Arial" w:hAnsi="Arial"/>
                <w:sz w:val="18"/>
                <w:szCs w:val="18"/>
                <w:color w:val="auto"/>
                <w:w w:val="98"/>
              </w:rPr>
              <w:t>M/V Hyundai Paramount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63,010</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03/27/2013</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03/27/2013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Thiseas Container Carrier S.A.</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04/08/2011</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M/V Hyundai Privilege</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63,010</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09/11/2013</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05/31/2013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Cronus Container Carrier S.A.</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07/19/2011</w:t>
            </w:r>
          </w:p>
        </w:tc>
        <w:tc>
          <w:tcPr>
            <w:tcW w:w="2080" w:type="dxa"/>
            <w:vAlign w:val="bottom"/>
          </w:tcPr>
          <w:p>
            <w:pPr>
              <w:ind w:left="120"/>
              <w:spacing w:after="0"/>
              <w:rPr>
                <w:sz w:val="20"/>
                <w:szCs w:val="20"/>
                <w:color w:val="auto"/>
              </w:rPr>
            </w:pPr>
            <w:r>
              <w:rPr>
                <w:rFonts w:ascii="Arial" w:cs="Arial" w:eastAsia="Arial" w:hAnsi="Arial"/>
                <w:sz w:val="18"/>
                <w:szCs w:val="18"/>
                <w:color w:val="auto"/>
              </w:rPr>
              <w:t>M/V Hyundai Platinum</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63,010</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09/11/2013</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06/14/2013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Miltiadis M II Corp.</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08/28/2012</w:t>
            </w:r>
          </w:p>
        </w:tc>
        <w:tc>
          <w:tcPr>
            <w:tcW w:w="2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Dias Container Carrier S.A</w:t>
            </w:r>
          </w:p>
        </w:tc>
        <w:tc>
          <w:tcPr>
            <w:tcW w:w="2280" w:type="dxa"/>
            <w:vAlign w:val="bottom"/>
          </w:tcPr>
          <w:p>
            <w:pPr>
              <w:jc w:val="right"/>
              <w:ind w:right="52"/>
              <w:spacing w:after="0" w:line="201" w:lineRule="exact"/>
              <w:rPr>
                <w:sz w:val="20"/>
                <w:szCs w:val="20"/>
                <w:color w:val="auto"/>
              </w:rPr>
            </w:pPr>
            <w:r>
              <w:rPr>
                <w:rFonts w:ascii="Arial" w:cs="Arial" w:eastAsia="Arial" w:hAnsi="Arial"/>
                <w:sz w:val="18"/>
                <w:szCs w:val="18"/>
                <w:color w:val="auto"/>
              </w:rPr>
              <w:t>05/16/2013</w:t>
            </w:r>
          </w:p>
        </w:tc>
        <w:tc>
          <w:tcPr>
            <w:tcW w:w="2080" w:type="dxa"/>
            <w:vAlign w:val="bottom"/>
          </w:tcPr>
          <w:p>
            <w:pPr>
              <w:ind w:left="120"/>
              <w:spacing w:after="0" w:line="201" w:lineRule="exact"/>
              <w:rPr>
                <w:sz w:val="20"/>
                <w:szCs w:val="20"/>
                <w:color w:val="auto"/>
              </w:rPr>
            </w:pPr>
            <w:r>
              <w:rPr>
                <w:rFonts w:ascii="Arial" w:cs="Arial" w:eastAsia="Arial" w:hAnsi="Arial"/>
                <w:sz w:val="18"/>
                <w:szCs w:val="18"/>
                <w:color w:val="auto"/>
              </w:rPr>
              <w:t>M/V Akadimos</w:t>
            </w:r>
          </w:p>
        </w:tc>
        <w:tc>
          <w:tcPr>
            <w:tcW w:w="8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115,145</w:t>
            </w:r>
          </w:p>
        </w:tc>
        <w:tc>
          <w:tcPr>
            <w:tcW w:w="1160" w:type="dxa"/>
            <w:vAlign w:val="bottom"/>
          </w:tcPr>
          <w:p>
            <w:pPr>
              <w:jc w:val="right"/>
              <w:ind w:right="53"/>
              <w:spacing w:after="0" w:line="201" w:lineRule="exact"/>
              <w:rPr>
                <w:sz w:val="20"/>
                <w:szCs w:val="20"/>
                <w:color w:val="auto"/>
              </w:rPr>
            </w:pPr>
            <w:r>
              <w:rPr>
                <w:rFonts w:ascii="Arial" w:cs="Arial" w:eastAsia="Arial" w:hAnsi="Arial"/>
                <w:sz w:val="18"/>
                <w:szCs w:val="18"/>
                <w:color w:val="auto"/>
              </w:rPr>
              <w:t>06/10/2015</w:t>
            </w:r>
          </w:p>
        </w:tc>
        <w:tc>
          <w:tcPr>
            <w:tcW w:w="11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06/10/2015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(renamed to “CMA</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CGM Amazon”) (1)</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Poseidon Container Carrier S.A</w:t>
            </w:r>
          </w:p>
        </w:tc>
        <w:tc>
          <w:tcPr>
            <w:tcW w:w="2280" w:type="dxa"/>
            <w:vAlign w:val="bottom"/>
            <w:shd w:val="clear" w:color="auto" w:fill="CCEEFF"/>
          </w:tcPr>
          <w:p>
            <w:pPr>
              <w:jc w:val="right"/>
              <w:ind w:right="52"/>
              <w:spacing w:after="0" w:line="201" w:lineRule="exact"/>
              <w:rPr>
                <w:sz w:val="20"/>
                <w:szCs w:val="20"/>
                <w:color w:val="auto"/>
              </w:rPr>
            </w:pPr>
            <w:r>
              <w:rPr>
                <w:rFonts w:ascii="Arial" w:cs="Arial" w:eastAsia="Arial" w:hAnsi="Arial"/>
                <w:sz w:val="18"/>
                <w:szCs w:val="18"/>
                <w:color w:val="auto"/>
              </w:rPr>
              <w:t>05/16/2013</w:t>
            </w:r>
          </w:p>
        </w:tc>
        <w:tc>
          <w:tcPr>
            <w:tcW w:w="2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M/V Adonis (renamed to</w:t>
            </w:r>
          </w:p>
        </w:tc>
        <w:tc>
          <w:tcPr>
            <w:tcW w:w="84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115,639</w:t>
            </w:r>
          </w:p>
        </w:tc>
        <w:tc>
          <w:tcPr>
            <w:tcW w:w="116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09/18/2015</w:t>
            </w:r>
          </w:p>
        </w:tc>
        <w:tc>
          <w:tcPr>
            <w:tcW w:w="110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09/18/2015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“CMA CGM</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Uruguay”) (1)</w:t>
            </w:r>
          </w:p>
        </w:tc>
        <w:tc>
          <w:tcPr>
            <w:tcW w:w="8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Isiodos Product Carrier S.A</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05/31/2013</w:t>
            </w:r>
          </w:p>
        </w:tc>
        <w:tc>
          <w:tcPr>
            <w:tcW w:w="2080" w:type="dxa"/>
            <w:vAlign w:val="bottom"/>
          </w:tcPr>
          <w:p>
            <w:pPr>
              <w:ind w:left="120"/>
              <w:spacing w:after="0"/>
              <w:rPr>
                <w:sz w:val="20"/>
                <w:szCs w:val="20"/>
                <w:color w:val="auto"/>
              </w:rPr>
            </w:pPr>
            <w:r>
              <w:rPr>
                <w:rFonts w:ascii="Arial" w:cs="Arial" w:eastAsia="Arial" w:hAnsi="Arial"/>
                <w:sz w:val="18"/>
                <w:szCs w:val="18"/>
                <w:color w:val="auto"/>
              </w:rPr>
              <w:t>M/T Active (1)</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50,136</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03/31/2015</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03/31/2015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Titanas Product Carrier S.A</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05/31/2013</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 Amadeus (1)</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50,108</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06/30/2015</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06/30/2015</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Atrotos Container Carrier S.A</w:t>
            </w:r>
          </w:p>
        </w:tc>
        <w:tc>
          <w:tcPr>
            <w:tcW w:w="2280" w:type="dxa"/>
            <w:vAlign w:val="bottom"/>
          </w:tcPr>
          <w:p>
            <w:pPr>
              <w:jc w:val="right"/>
              <w:ind w:right="52"/>
              <w:spacing w:after="0" w:line="201" w:lineRule="exact"/>
              <w:rPr>
                <w:sz w:val="20"/>
                <w:szCs w:val="20"/>
                <w:color w:val="auto"/>
              </w:rPr>
            </w:pPr>
            <w:r>
              <w:rPr>
                <w:rFonts w:ascii="Arial" w:cs="Arial" w:eastAsia="Arial" w:hAnsi="Arial"/>
                <w:sz w:val="18"/>
                <w:szCs w:val="18"/>
                <w:color w:val="auto"/>
              </w:rPr>
              <w:t>10/25/2013</w:t>
            </w:r>
          </w:p>
        </w:tc>
        <w:tc>
          <w:tcPr>
            <w:tcW w:w="2080" w:type="dxa"/>
            <w:vAlign w:val="bottom"/>
          </w:tcPr>
          <w:p>
            <w:pPr>
              <w:ind w:left="120"/>
              <w:spacing w:after="0" w:line="201" w:lineRule="exact"/>
              <w:rPr>
                <w:sz w:val="20"/>
                <w:szCs w:val="20"/>
                <w:color w:val="auto"/>
              </w:rPr>
            </w:pPr>
            <w:r>
              <w:rPr>
                <w:rFonts w:ascii="Arial" w:cs="Arial" w:eastAsia="Arial" w:hAnsi="Arial"/>
                <w:sz w:val="18"/>
                <w:szCs w:val="18"/>
                <w:color w:val="auto"/>
              </w:rPr>
              <w:t>M/V Anaxagoras</w:t>
            </w:r>
          </w:p>
        </w:tc>
        <w:tc>
          <w:tcPr>
            <w:tcW w:w="8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115,639</w:t>
            </w:r>
          </w:p>
        </w:tc>
        <w:tc>
          <w:tcPr>
            <w:tcW w:w="1160" w:type="dxa"/>
            <w:vAlign w:val="bottom"/>
          </w:tcPr>
          <w:p>
            <w:pPr>
              <w:jc w:val="right"/>
              <w:ind w:right="53"/>
              <w:spacing w:after="0" w:line="201" w:lineRule="exact"/>
              <w:rPr>
                <w:sz w:val="20"/>
                <w:szCs w:val="20"/>
                <w:color w:val="auto"/>
              </w:rPr>
            </w:pPr>
            <w:r>
              <w:rPr>
                <w:rFonts w:ascii="Arial" w:cs="Arial" w:eastAsia="Arial" w:hAnsi="Arial"/>
                <w:sz w:val="18"/>
                <w:szCs w:val="18"/>
                <w:color w:val="auto"/>
              </w:rPr>
              <w:t>02/26/2016</w:t>
            </w:r>
          </w:p>
        </w:tc>
        <w:tc>
          <w:tcPr>
            <w:tcW w:w="11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02/26/2016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(renamed to “CMA</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color w:val="auto"/>
              </w:rPr>
              <w:t>CGM Magdalena”) (1)</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Filonikis Product Carrier S.A</w:t>
            </w: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05/31/2013</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 Amor</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49,999</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10/24/2016</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09/30/2015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1460" w:hanging="5572"/>
        <w:spacing w:after="0" w:line="449" w:lineRule="auto"/>
        <w:tabs>
          <w:tab w:leader="none" w:pos="44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Vessels that were acquired according to the terms of the Master Vessel Acquisition Agreement (“Master Agreement”) (Notes 5, 12). F-7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1" w:lineRule="exact"/>
        <w:rPr>
          <w:sz w:val="20"/>
          <w:szCs w:val="20"/>
          <w:color w:val="auto"/>
        </w:rPr>
      </w:pPr>
    </w:p>
    <w:p>
      <w:pPr>
        <w:ind w:left="460" w:right="580" w:hanging="452"/>
        <w:spacing w:after="0" w:line="289" w:lineRule="auto"/>
        <w:tabs>
          <w:tab w:leader="none" w:pos="460" w:val="left"/>
        </w:tabs>
        <w:numPr>
          <w:ilvl w:val="0"/>
          <w:numId w:val="1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consolidated financial statements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(“U.S. GAAP”), and include the accounts of the legal entities comprising the Partnership as discussed in Note 1. Intra-group balances and transactions have been eliminated upon consolidation.</w:t>
      </w:r>
    </w:p>
    <w:p>
      <w:pPr>
        <w:spacing w:after="0" w:line="67" w:lineRule="exact"/>
        <w:rPr>
          <w:rFonts w:ascii="Arial" w:cs="Arial" w:eastAsia="Arial" w:hAnsi="Arial"/>
          <w:sz w:val="17"/>
          <w:szCs w:val="17"/>
          <w:b w:val="1"/>
          <w:bCs w:val="1"/>
          <w:i w:val="1"/>
          <w:iCs w:val="1"/>
          <w:color w:val="auto"/>
        </w:rPr>
      </w:pPr>
    </w:p>
    <w:p>
      <w:pPr>
        <w:ind w:left="460" w:right="320" w:hanging="452"/>
        <w:spacing w:after="0" w:line="312" w:lineRule="auto"/>
        <w:tabs>
          <w:tab w:leader="none" w:pos="460" w:val="left"/>
        </w:tabs>
        <w:numPr>
          <w:ilvl w:val="0"/>
          <w:numId w:val="1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52"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Accounting for Revenue, Voyage and Operating Expenses: </w:t>
      </w:r>
      <w:r>
        <w:rPr>
          <w:rFonts w:ascii="Arial" w:cs="Arial" w:eastAsia="Arial" w:hAnsi="Arial"/>
          <w:sz w:val="17"/>
          <w:szCs w:val="17"/>
          <w:color w:val="auto"/>
        </w:rPr>
        <w:t>The Partnership generates its revenues from charterers for the charter hire of its vessels.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charter is a contract, in which the vessel owner undertakes to transport a specific amount and type of cargo on a load port-to-discharge port basis, subject to various cargo handling terms. Under a typical voyage charter, the vessel owner is paid on the basis of moving cargo from a loading port to a discharge port. In voyage charters the vessel owner is generally responsible for paying both vessel operating costs and voyage expenses, and the charterer generally is responsible for any delay at the loading or discharging ports. A voyage is deemed to commence upon the later of the completion of discharge of the vessel’s previous cargo or upon vessel arrival to the agreed upon port, based on the terms of a voyage contract that is not cancellable and voyage is deemed to end upon the completion of discharge of the delivered cargo. Revenues under voyage charter agreements are recognized on a pro-rata basis.</w:t>
      </w:r>
    </w:p>
    <w:p>
      <w:pPr>
        <w:spacing w:after="0" w:line="79" w:lineRule="exact"/>
        <w:rPr>
          <w:rFonts w:ascii="Arial" w:cs="Arial" w:eastAsia="Arial" w:hAnsi="Arial"/>
          <w:sz w:val="17"/>
          <w:szCs w:val="17"/>
          <w:b w:val="1"/>
          <w:bCs w:val="1"/>
          <w:i w:val="1"/>
          <w:iCs w:val="1"/>
          <w:color w:val="auto"/>
        </w:rPr>
      </w:pPr>
    </w:p>
    <w:p>
      <w:pPr>
        <w:ind w:left="460" w:right="160"/>
        <w:spacing w:after="0" w:line="302" w:lineRule="auto"/>
        <w:rPr>
          <w:rFonts w:ascii="Arial" w:cs="Arial" w:eastAsia="Arial" w:hAnsi="Arial"/>
          <w:sz w:val="17"/>
          <w:szCs w:val="17"/>
          <w:b w:val="1"/>
          <w:bCs w:val="1"/>
          <w:i w:val="1"/>
          <w:iCs w:val="1"/>
          <w:color w:val="auto"/>
        </w:rPr>
      </w:pPr>
      <w:r>
        <w:rPr>
          <w:rFonts w:ascii="Arial" w:cs="Arial" w:eastAsia="Arial" w:hAnsi="Arial"/>
          <w:sz w:val="16"/>
          <w:szCs w:val="16"/>
          <w:color w:val="auto"/>
        </w:rPr>
        <w:t>Time, bareboat and voyage charter revenues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charter. Revenues from profit sharing arrangements in time charters represent a portion of time charter equivalent (voyage income less direct expenses, divided by operating days), that exceeds the agreed base rate and are recognized in the period earned.</w:t>
      </w:r>
    </w:p>
    <w:p>
      <w:pPr>
        <w:spacing w:after="0" w:line="46" w:lineRule="exact"/>
        <w:rPr>
          <w:rFonts w:ascii="Arial" w:cs="Arial" w:eastAsia="Arial" w:hAnsi="Arial"/>
          <w:sz w:val="17"/>
          <w:szCs w:val="17"/>
          <w:b w:val="1"/>
          <w:bCs w:val="1"/>
          <w:i w:val="1"/>
          <w:iCs w:val="1"/>
          <w:color w:val="auto"/>
        </w:rPr>
      </w:pPr>
    </w:p>
    <w:p>
      <w:pPr>
        <w:ind w:left="460" w:right="300"/>
        <w:spacing w:after="0" w:line="264" w:lineRule="auto"/>
        <w:rPr>
          <w:rFonts w:ascii="Arial" w:cs="Arial" w:eastAsia="Arial" w:hAnsi="Arial"/>
          <w:sz w:val="17"/>
          <w:szCs w:val="17"/>
          <w:b w:val="1"/>
          <w:bCs w:val="1"/>
          <w:i w:val="1"/>
          <w:iCs w:val="1"/>
          <w:color w:val="auto"/>
        </w:rPr>
      </w:pPr>
      <w:r>
        <w:rPr>
          <w:rFonts w:ascii="Arial" w:cs="Arial" w:eastAsia="Arial" w:hAnsi="Arial"/>
          <w:sz w:val="18"/>
          <w:szCs w:val="18"/>
          <w:color w:val="auto"/>
        </w:rPr>
        <w:t>Deferred revenue represents cash and other assets received in advance of being earned and deferred revenue resulting from straight-line revenue recognition in respect of charter agreements that provide for varying charter rates. The portion of the deferred revenue that will be earned within the next twelve months is classified as current liability and the rest as long-term liability.</w:t>
      </w:r>
    </w:p>
    <w:p>
      <w:pPr>
        <w:spacing w:after="0" w:line="73" w:lineRule="exact"/>
        <w:rPr>
          <w:rFonts w:ascii="Arial" w:cs="Arial" w:eastAsia="Arial" w:hAnsi="Arial"/>
          <w:sz w:val="17"/>
          <w:szCs w:val="17"/>
          <w:b w:val="1"/>
          <w:bCs w:val="1"/>
          <w:i w:val="1"/>
          <w:iCs w:val="1"/>
          <w:color w:val="auto"/>
        </w:rPr>
      </w:pPr>
    </w:p>
    <w:p>
      <w:pPr>
        <w:ind w:left="460" w:right="2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In general, under time and bareboat charter agreements, all voyages expenses, except commissions are assumed by the charterer. For voyage charters, all voyage expenses are paid by the Partnership.</w:t>
      </w:r>
    </w:p>
    <w:p>
      <w:pPr>
        <w:spacing w:after="0" w:line="78" w:lineRule="exact"/>
        <w:rPr>
          <w:rFonts w:ascii="Arial" w:cs="Arial" w:eastAsia="Arial" w:hAnsi="Arial"/>
          <w:sz w:val="17"/>
          <w:szCs w:val="17"/>
          <w:b w:val="1"/>
          <w:bCs w:val="1"/>
          <w:i w:val="1"/>
          <w:iCs w:val="1"/>
          <w:color w:val="auto"/>
        </w:rPr>
      </w:pPr>
    </w:p>
    <w:p>
      <w:pPr>
        <w:ind w:left="4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Vessel operating expenses presented in the consolidated financial statements mainly consist of:</w:t>
      </w:r>
    </w:p>
    <w:p>
      <w:pPr>
        <w:spacing w:after="0" w:line="130" w:lineRule="exact"/>
        <w:rPr>
          <w:rFonts w:ascii="Arial" w:cs="Arial" w:eastAsia="Arial" w:hAnsi="Arial"/>
          <w:sz w:val="17"/>
          <w:szCs w:val="17"/>
          <w:b w:val="1"/>
          <w:bCs w:val="1"/>
          <w:i w:val="1"/>
          <w:iCs w:val="1"/>
          <w:color w:val="auto"/>
        </w:rPr>
      </w:pPr>
    </w:p>
    <w:p>
      <w:pPr>
        <w:ind w:left="1460" w:right="100" w:hanging="547"/>
        <w:spacing w:after="0" w:line="277" w:lineRule="auto"/>
        <w:tabs>
          <w:tab w:leader="none" w:pos="14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Shipmanagement Corp. (the “Manager” or “CSM”) under three different types of Management agreements (Note 4); and</w:t>
      </w:r>
    </w:p>
    <w:p>
      <w:pPr>
        <w:spacing w:after="0" w:line="75" w:lineRule="exact"/>
        <w:rPr>
          <w:rFonts w:ascii="Arial" w:cs="Arial" w:eastAsia="Arial" w:hAnsi="Arial"/>
          <w:sz w:val="18"/>
          <w:szCs w:val="18"/>
          <w:color w:val="auto"/>
        </w:rPr>
      </w:pPr>
    </w:p>
    <w:p>
      <w:pPr>
        <w:ind w:left="460" w:right="160" w:firstLine="453"/>
        <w:spacing w:after="0" w:line="399" w:lineRule="auto"/>
        <w:tabs>
          <w:tab w:leader="none" w:pos="146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Actual operating expenses, such as crewing, repairs and maintenance, insurance, stores, spares, lubricants and other operating expenses. Vessel operating expenses are expensed as incurred.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hanging="452"/>
        <w:spacing w:after="0" w:line="273" w:lineRule="auto"/>
        <w:tabs>
          <w:tab w:leader="none" w:pos="460" w:val="left"/>
        </w:tabs>
        <w:numPr>
          <w:ilvl w:val="0"/>
          <w:numId w:val="16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in the accompanying consolidated statements of comprehensive income.</w:t>
      </w:r>
    </w:p>
    <w:p>
      <w:pPr>
        <w:spacing w:after="0" w:line="83" w:lineRule="exact"/>
        <w:rPr>
          <w:rFonts w:ascii="Arial" w:cs="Arial" w:eastAsia="Arial" w:hAnsi="Arial"/>
          <w:sz w:val="17"/>
          <w:szCs w:val="17"/>
          <w:b w:val="1"/>
          <w:bCs w:val="1"/>
          <w:i w:val="1"/>
          <w:iCs w:val="1"/>
          <w:color w:val="auto"/>
        </w:rPr>
      </w:pPr>
    </w:p>
    <w:p>
      <w:pPr>
        <w:ind w:left="460" w:right="380" w:hanging="452"/>
        <w:spacing w:after="0" w:line="277" w:lineRule="auto"/>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ind w:left="460" w:right="200" w:hanging="452"/>
        <w:spacing w:after="0" w:line="277" w:lineRule="auto"/>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considered by the Partnership to be restricted cash.</w:t>
      </w:r>
    </w:p>
    <w:p>
      <w:pPr>
        <w:spacing w:after="0" w:line="75" w:lineRule="exact"/>
        <w:rPr>
          <w:rFonts w:ascii="Arial" w:cs="Arial" w:eastAsia="Arial" w:hAnsi="Arial"/>
          <w:sz w:val="18"/>
          <w:szCs w:val="18"/>
          <w:b w:val="1"/>
          <w:bCs w:val="1"/>
          <w:i w:val="1"/>
          <w:iCs w:val="1"/>
          <w:color w:val="auto"/>
        </w:rPr>
      </w:pPr>
    </w:p>
    <w:p>
      <w:pPr>
        <w:jc w:val="both"/>
        <w:ind w:left="460" w:right="200" w:hanging="452"/>
        <w:spacing w:after="0" w:line="312" w:lineRule="auto"/>
        <w:tabs>
          <w:tab w:leader="none" w:pos="460" w:val="left"/>
        </w:tabs>
        <w:numPr>
          <w:ilvl w:val="0"/>
          <w:numId w:val="1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Trade Accounts Receivable, Net: </w:t>
      </w:r>
      <w:r>
        <w:rPr>
          <w:rFonts w:ascii="Arial" w:cs="Arial" w:eastAsia="Arial" w:hAnsi="Arial"/>
          <w:sz w:val="16"/>
          <w:szCs w:val="16"/>
          <w:color w:val="auto"/>
        </w:rPr>
        <w:t>The amount shown as trade accounts receivable primarily consists of earned revenue that has not been billed yet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it has been billed but not yet collected. At each balance sheet date all potentially uncollectible accounts are assessed individually for purposes of determining the appropriate write off. As of December 31, 2016 and 2015 the respective write off amounted to $0 and $22, respectively.</w:t>
      </w:r>
    </w:p>
    <w:p>
      <w:pPr>
        <w:spacing w:after="0" w:line="52" w:lineRule="exact"/>
        <w:rPr>
          <w:rFonts w:ascii="Arial" w:cs="Arial" w:eastAsia="Arial" w:hAnsi="Arial"/>
          <w:sz w:val="16"/>
          <w:szCs w:val="16"/>
          <w:b w:val="1"/>
          <w:bCs w:val="1"/>
          <w:i w:val="1"/>
          <w:iCs w:val="1"/>
          <w:color w:val="auto"/>
        </w:rPr>
      </w:pPr>
    </w:p>
    <w:p>
      <w:pPr>
        <w:ind w:left="460" w:right="320" w:hanging="452"/>
        <w:spacing w:after="0" w:line="277" w:lineRule="auto"/>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75" w:lineRule="exact"/>
        <w:rPr>
          <w:rFonts w:ascii="Arial" w:cs="Arial" w:eastAsia="Arial" w:hAnsi="Arial"/>
          <w:sz w:val="18"/>
          <w:szCs w:val="18"/>
          <w:b w:val="1"/>
          <w:bCs w:val="1"/>
          <w:i w:val="1"/>
          <w:iCs w:val="1"/>
          <w:color w:val="auto"/>
        </w:rPr>
      </w:pPr>
    </w:p>
    <w:p>
      <w:pPr>
        <w:ind w:left="460" w:right="160" w:hanging="452"/>
        <w:spacing w:after="0" w:line="293" w:lineRule="auto"/>
        <w:tabs>
          <w:tab w:leader="none" w:pos="460" w:val="left"/>
        </w:tabs>
        <w:numPr>
          <w:ilvl w:val="0"/>
          <w:numId w:val="1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70" w:lineRule="exact"/>
        <w:rPr>
          <w:rFonts w:ascii="Arial" w:cs="Arial" w:eastAsia="Arial" w:hAnsi="Arial"/>
          <w:sz w:val="16"/>
          <w:szCs w:val="16"/>
          <w:b w:val="1"/>
          <w:bCs w:val="1"/>
          <w:i w:val="1"/>
          <w:iCs w:val="1"/>
          <w:color w:val="auto"/>
        </w:rPr>
      </w:pPr>
    </w:p>
    <w:p>
      <w:pPr>
        <w:ind w:left="460" w:right="60" w:hanging="452"/>
        <w:spacing w:after="0" w:line="297" w:lineRule="auto"/>
        <w:tabs>
          <w:tab w:leader="none" w:pos="460" w:val="left"/>
        </w:tabs>
        <w:numPr>
          <w:ilvl w:val="0"/>
          <w:numId w:val="1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50" w:lineRule="exact"/>
        <w:rPr>
          <w:rFonts w:ascii="Arial" w:cs="Arial" w:eastAsia="Arial" w:hAnsi="Arial"/>
          <w:sz w:val="16"/>
          <w:szCs w:val="16"/>
          <w:b w:val="1"/>
          <w:bCs w:val="1"/>
          <w:i w:val="1"/>
          <w:iCs w:val="1"/>
          <w:color w:val="auto"/>
        </w:rPr>
      </w:pPr>
    </w:p>
    <w:p>
      <w:pPr>
        <w:ind w:left="460" w:right="40"/>
        <w:spacing w:after="0" w:line="289"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long-lived assets. The Partnership has performed an undiscounted cash flow test based on US GAAP as of December 31, 2016 and 2015, determining undiscounted projected net operating cash flows for the vessels and comparing them to the carrying values of the vessels, and any related intangible assets and liabilities.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and their related intangible assets and liabilities were not impaired as of December 31, 2016 and 2015.</w:t>
      </w:r>
    </w:p>
    <w:p>
      <w:pPr>
        <w:spacing w:after="0" w:line="72" w:lineRule="exact"/>
        <w:rPr>
          <w:rFonts w:ascii="Arial" w:cs="Arial" w:eastAsia="Arial" w:hAnsi="Arial"/>
          <w:sz w:val="16"/>
          <w:szCs w:val="16"/>
          <w:b w:val="1"/>
          <w:bCs w:val="1"/>
          <w:i w:val="1"/>
          <w:iCs w:val="1"/>
          <w:color w:val="auto"/>
        </w:rPr>
      </w:pPr>
    </w:p>
    <w:p>
      <w:pPr>
        <w:ind w:left="460" w:right="120" w:hanging="452"/>
        <w:spacing w:after="0" w:line="255" w:lineRule="auto"/>
        <w:tabs>
          <w:tab w:leader="none" w:pos="46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The Partnership records all identified tangible and intangible assets or any liabilities associated with the acquisition of a business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asset at fair value. When an asset or a business that owns a vessel is acquired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the straight line method as a reduction and increase, respectively, to revenues over the remaining term of the charters.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460" w:right="60" w:hanging="452"/>
        <w:spacing w:after="0" w:line="259" w:lineRule="auto"/>
        <w:tabs>
          <w:tab w:leader="none" w:pos="46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are comprised mainly of dry docking costs. The Partnership’s vessels are required to be dry docked every thirty to sixty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major repairs and maintenance that cannot be performed while the vessels are under operation. The Partnership has adopted the deferral method of accounting for dry docking activities whereby costs incurred are deferred and amortized on a straight line basis over the period until the next scheduled dry docking activity.</w:t>
      </w:r>
    </w:p>
    <w:p>
      <w:pPr>
        <w:spacing w:after="0" w:line="92" w:lineRule="exact"/>
        <w:rPr>
          <w:rFonts w:ascii="Arial" w:cs="Arial" w:eastAsia="Arial" w:hAnsi="Arial"/>
          <w:sz w:val="18"/>
          <w:szCs w:val="18"/>
          <w:b w:val="1"/>
          <w:bCs w:val="1"/>
          <w:i w:val="1"/>
          <w:iCs w:val="1"/>
          <w:color w:val="auto"/>
        </w:rPr>
      </w:pPr>
    </w:p>
    <w:p>
      <w:pPr>
        <w:ind w:left="460" w:right="20" w:hanging="452"/>
        <w:spacing w:after="0" w:line="279" w:lineRule="auto"/>
        <w:tabs>
          <w:tab w:leader="none" w:pos="460" w:val="left"/>
        </w:tabs>
        <w:numPr>
          <w:ilvl w:val="0"/>
          <w:numId w:val="1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Per Limited Partner Unit: </w:t>
      </w:r>
      <w:r>
        <w:rPr>
          <w:rFonts w:ascii="Arial" w:cs="Arial" w:eastAsia="Arial" w:hAnsi="Arial"/>
          <w:sz w:val="17"/>
          <w:szCs w:val="17"/>
          <w:color w:val="auto"/>
        </w:rPr>
        <w:t>Basic net income per limited partner unit is calculated by dividing the Partnership’s net income less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allocable to preferred unit holders, general partner’s interest in net income (including incentive distribution rights)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76" w:lineRule="exact"/>
        <w:rPr>
          <w:rFonts w:ascii="Arial" w:cs="Arial" w:eastAsia="Arial" w:hAnsi="Arial"/>
          <w:sz w:val="17"/>
          <w:szCs w:val="17"/>
          <w:b w:val="1"/>
          <w:bCs w:val="1"/>
          <w:i w:val="1"/>
          <w:iCs w:val="1"/>
          <w:color w:val="auto"/>
        </w:rPr>
      </w:pPr>
    </w:p>
    <w:p>
      <w:pPr>
        <w:ind w:left="460" w:hanging="452"/>
        <w:spacing w:after="0" w:line="272" w:lineRule="auto"/>
        <w:tabs>
          <w:tab w:leader="none" w:pos="460" w:val="left"/>
        </w:tabs>
        <w:numPr>
          <w:ilvl w:val="0"/>
          <w:numId w:val="1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type of vessel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83" w:lineRule="exact"/>
        <w:rPr>
          <w:rFonts w:ascii="Arial" w:cs="Arial" w:eastAsia="Arial" w:hAnsi="Arial"/>
          <w:sz w:val="17"/>
          <w:szCs w:val="17"/>
          <w:b w:val="1"/>
          <w:bCs w:val="1"/>
          <w:i w:val="1"/>
          <w:iCs w:val="1"/>
          <w:color w:val="auto"/>
        </w:rPr>
      </w:pPr>
    </w:p>
    <w:p>
      <w:pPr>
        <w:ind w:left="460" w:right="60" w:hanging="452"/>
        <w:spacing w:after="0" w:line="272" w:lineRule="auto"/>
        <w:tabs>
          <w:tab w:leader="none" w:pos="460" w:val="left"/>
        </w:tabs>
        <w:numPr>
          <w:ilvl w:val="0"/>
          <w:numId w:val="1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Omnibus Incentive Compensation Plan: </w:t>
      </w:r>
      <w:r>
        <w:rPr>
          <w:rFonts w:ascii="Arial" w:cs="Arial" w:eastAsia="Arial" w:hAnsi="Arial"/>
          <w:sz w:val="17"/>
          <w:szCs w:val="17"/>
          <w:color w:val="auto"/>
        </w:rPr>
        <w:t>Equity compensation expense represents vested and unvested units granted to employees and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non-employee directors, for their services as directors, as well as to non-employees and are included in general and administrative expenses in the consolidated statements of comprehensive income. Units granted to employees are measured at their fair value equal to the market value of the Partnership’s common units on the grant date. Unvested units granted to non-employees are initially and subsequently measured at their then current fair value as of the financial reporting dates. The units that contain a time-based service vesting condition are considered unvested units on the grant date and the total fair value of such units is recognized on a straight-line basis over the requisite service period. In addition, unvested awards granted to non-employees are measured at their then-current fair value as of the financial reporting dates (Note 13).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460" w:hanging="452"/>
        <w:spacing w:after="0" w:line="269" w:lineRule="auto"/>
        <w:tabs>
          <w:tab w:leader="none" w:pos="460" w:val="left"/>
        </w:tabs>
        <w:numPr>
          <w:ilvl w:val="0"/>
          <w:numId w:val="167"/>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In January 2017, the Financial Accounting Standards Board (“FASB”) issued the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(“ASU”) 2017-01 Business Combinations to clarify the definition of a business with the objective of adding guidance to assist entities with evaluating whether transactions should be accounted for as acquisition (or disposals) of assets or businesses. Under current implementation guidance the existence of an integrated set of acquired activities (inputs and processes that generate outputs) constitutes an acquisition of business. This ASU provides a screen to determine when a set of assets and activities does not constitute a business. The screen requires that when substantially all of the fair value of the gross assets acquired (or disposed of) is concentrated in a single identifiable asset or a group of similar identifiable assets, the set is not a business. This update is effective for public entities with reporting periods beginning after December 15, 2017, including interim periods within those years. The amendments of this ASU should be applied prospectively on or after the effective date. Early adoption is permitted, including adoption in an interim period 1) for transactions for which the acquisition date occurs before the issuance date or effective date of the ASU, only when the transaction has not been reported in financial statements that have been issued or made available for issuance and 2) for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Partnership is currently evaluating the impact, if any, of the adoption of this new standard.</w:t>
      </w:r>
    </w:p>
    <w:p>
      <w:pPr>
        <w:spacing w:after="0" w:line="72" w:lineRule="exact"/>
        <w:rPr>
          <w:rFonts w:ascii="Arial" w:cs="Arial" w:eastAsia="Arial" w:hAnsi="Arial"/>
          <w:sz w:val="17"/>
          <w:szCs w:val="17"/>
          <w:b w:val="1"/>
          <w:bCs w:val="1"/>
          <w:i w:val="1"/>
          <w:iCs w:val="1"/>
          <w:color w:val="auto"/>
        </w:rPr>
      </w:pPr>
    </w:p>
    <w:p>
      <w:pPr>
        <w:ind w:left="460" w:right="2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color w:val="auto"/>
        </w:rPr>
        <w:t>In November 2016 the FASB issued the ASU 2016-18 – Restricted cash. This ASU requires that a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 of period and end of period total amounts shown on the statement of cash flows. This update is effective for public entities with reporting periods beginning after December 15, 2017, including interim periods within those years. Early adoption is permitted, including adoption in an interim period. The implementation of this update affects disclosures only and has no impact on the Partnership’s balance sheet and statement of comprehensive income. The Partnership has not elected early adoption.</w:t>
      </w:r>
    </w:p>
    <w:p>
      <w:pPr>
        <w:spacing w:after="0" w:line="69" w:lineRule="exact"/>
        <w:rPr>
          <w:rFonts w:ascii="Arial" w:cs="Arial" w:eastAsia="Arial" w:hAnsi="Arial"/>
          <w:sz w:val="17"/>
          <w:szCs w:val="17"/>
          <w:b w:val="1"/>
          <w:bCs w:val="1"/>
          <w:i w:val="1"/>
          <w:iCs w:val="1"/>
          <w:color w:val="auto"/>
        </w:rPr>
      </w:pPr>
    </w:p>
    <w:p>
      <w:pPr>
        <w:ind w:left="460"/>
        <w:spacing w:after="0" w:line="255"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August 2016, the FASB issued the ASU 2016-15 – classification of certain cash payments and cash receipts. This ASU addresses certain cash flow issues with the objective of reducing the existing diversity in practice. This update is effective for public entities with reporting periods beginning after December 15, 2017, including interim periods within those years. Early adoption is permitted, including adoption in an interim period. It must be applied retrospectively to all periods presented but may be applied prospectively from the earliest date practicable, if retrospective application would be impracticable. The Partnership believes that the implementation of this update will not have any material impact on its financial statements and has not elected early adoption.</w:t>
      </w:r>
    </w:p>
    <w:p>
      <w:pPr>
        <w:spacing w:after="0" w:line="85" w:lineRule="exact"/>
        <w:rPr>
          <w:rFonts w:ascii="Arial" w:cs="Arial" w:eastAsia="Arial" w:hAnsi="Arial"/>
          <w:sz w:val="17"/>
          <w:szCs w:val="17"/>
          <w:b w:val="1"/>
          <w:bCs w:val="1"/>
          <w:i w:val="1"/>
          <w:iCs w:val="1"/>
          <w:color w:val="auto"/>
        </w:rPr>
      </w:pPr>
    </w:p>
    <w:p>
      <w:pPr>
        <w:ind w:left="460" w:right="80"/>
        <w:spacing w:after="0" w:line="312"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March 2016, the FASB issued the ASU No 2016-09, Stock Compensation, which is intended to simplify several aspects of the accounting for share-based payment award transactions. The guidance will be effective for the fiscal year beginning after December 15, 2016, including interim periods within that year. The Partnership believes that the implementation of this update will not have any material impact on its financial statements.</w:t>
      </w:r>
    </w:p>
    <w:p>
      <w:pPr>
        <w:spacing w:after="0" w:line="38" w:lineRule="exact"/>
        <w:rPr>
          <w:rFonts w:ascii="Arial" w:cs="Arial" w:eastAsia="Arial" w:hAnsi="Arial"/>
          <w:sz w:val="17"/>
          <w:szCs w:val="17"/>
          <w:b w:val="1"/>
          <w:bCs w:val="1"/>
          <w:i w:val="1"/>
          <w:iCs w:val="1"/>
          <w:color w:val="auto"/>
        </w:rPr>
      </w:pPr>
    </w:p>
    <w:p>
      <w:pPr>
        <w:ind w:left="460"/>
        <w:spacing w:after="0" w:line="255"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February 2016, the FASB issued the ASU 2016-02, Leases (Topic 842). The main provision of this ASU is the recognition of lease assets and lease liabilities by lessees for those leases classified as operating leases. The FASB decided to not fundamentally change lessor accounting. However, some changes have been made to lessor accounting to conform and align that guidance with the lessee guidance and other areas within U.S. GAAP. The new leases standard requires a modified retrospective transition approach for all leases existing at, or entered into after, the date of initial application, with an option to use certain transition relief. This update is effective for public entities with reporting periods beginning after December 15, 2018, including interim periods within those years. Early adoption is permitted. The Partnership is currently evaluating the impact, if any, of the adoption of this new standard.</w:t>
      </w:r>
    </w:p>
    <w:p>
      <w:pPr>
        <w:spacing w:after="0" w:line="81" w:lineRule="exact"/>
        <w:rPr>
          <w:rFonts w:ascii="Arial" w:cs="Arial" w:eastAsia="Arial" w:hAnsi="Arial"/>
          <w:sz w:val="17"/>
          <w:szCs w:val="17"/>
          <w:b w:val="1"/>
          <w:bCs w:val="1"/>
          <w:i w:val="1"/>
          <w:iCs w:val="1"/>
          <w:color w:val="auto"/>
        </w:rPr>
      </w:pPr>
    </w:p>
    <w:p>
      <w:pPr>
        <w:ind w:left="460"/>
        <w:spacing w:after="0" w:line="297"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July 2015, the FASB issued the ASU 2015-11, Simplifying the Measurement of Inventory to simplify the measurement of inventory using first-in, first out (FIFO) or average cost method. According to this ASU an entity should measure inventory at the lower of cost and net realizable value. Net realizable value is the estimated selling prices less reasonably predictable costs of completion, disposal and transportation. This update is effective for public entities with reporting periods beginning after December 15, 2016. Early adoption is permitted. The Partnership believes that the implementation of this update will not have any material impact on its financial statements and has not elected the early adoption.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28, 2014, the FASB issued the ASU No 2014-09 Revenue from Contracts with Customers. ASU 2014-09, as amended, outlines a single comprehensive model for entities to use in accounting for revenue arising from contracts with customers and supersedes most current revenue recognition guidance, including industry-specific guidance. This standard is effective for public entities with reporting periods beginning after December 15, 2017. Early application is permitted only as of annual reporting periods (including interim reporting periods within those periods) beginning after December 15, 2016. The Partnership believes that the implementation of this standard will not have a material impact on the financial statements since the revenues are generated largely from medium and long charters and has not elected early adoption.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Filonikis Product Carrier S.A. (M/T Amor)</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October 24, 2016, following the unanimous recommendation of the conflicts committee and the unanimous approval of the board of directors, the Partnership acquired the shares of Filonikis, the owning company of the M/T Amor from CMTC for a total consideration of $16,911. The Partnership also assumed, on the acquisition date, CMTC’s guarantee with respect to the outstanding balance of $15,750 of the loan that Filonikis had entered into and was arranged by CMTC (Note 7). The vessel at the time of her acquisition by the Partnership was fixed on a two year time charter with Cargill International S.A. (“Cargill”) ending October 2017, with the option to terminate 30 days earlier, and immediately thereafter with CMTC for a two-month period time charter.</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Partnership accounted for the acquisition of Filonikis as an acquisition of a business. All assets and liabilities of Filonikis except the vessel, necessary permits, the time charter agreements and the loan, were retained by CMTC. The purchase price of the acquisition has been allocated to the identifiable assets acquired and liabilities assumed.</w:t>
      </w:r>
    </w:p>
    <w:p>
      <w:pPr>
        <w:spacing w:after="0" w:line="330"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total purchase consideration of $16,911 was funded by $16,000 from the Partnership’s cash and the issuance of 283,696 new Partnership’s common units at a price of $3.21 per unit as quoted on the Nasdaq Stock Exchange on October 24, 2016 the day of the acquisition of Filonikis (Note 12).</w:t>
      </w:r>
    </w:p>
    <w:p>
      <w:pPr>
        <w:spacing w:after="0" w:line="272"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Acquisition related costs of $264 are included in general and administrative expenses in the Partnership’s consolidated statements of comprehensive income for the year ended December 31, 2016.</w:t>
      </w:r>
    </w:p>
    <w:p>
      <w:pPr>
        <w:spacing w:after="0" w:line="31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allocation of the purchase price to acquired identifiable assets and liabilities assumed was based on their estimated fair values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acquired and liabilities assumed of Filonikis was calculated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October 24,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Vessel</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Above market acquired time charters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Loan</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Partnership concluded that its measurements for the assets acquired appropriately reflect consideration of all available information that existed as of the acquisition date. The fair value of the vessel of $31,600 was quoted by independent ship brokers at the time of her acquisition by the Partnership and the fair value of the loan of $15,750 was determined to be its face value.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Filonikis Product Carrier S.A. (M/T Amor) - Continued</w:t>
      </w:r>
    </w:p>
    <w:p>
      <w:pPr>
        <w:spacing w:after="0" w:line="162"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on the purchase of Filonikis which is being amortized over its duration on a straight-line basis as a reduction of revenue: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Intangible</w:t>
            </w:r>
          </w:p>
        </w:tc>
        <w:tc>
          <w:tcPr>
            <w:tcW w:w="2940" w:type="dxa"/>
            <w:vAlign w:val="bottom"/>
          </w:tcPr>
          <w:p>
            <w:pPr>
              <w:jc w:val="center"/>
              <w:ind w:left="1404"/>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Pr>
          <w:p>
            <w:pPr>
              <w:jc w:val="center"/>
              <w:ind w:left="164"/>
              <w:spacing w:after="0"/>
              <w:rPr>
                <w:sz w:val="20"/>
                <w:szCs w:val="20"/>
                <w:color w:val="auto"/>
              </w:rPr>
            </w:pPr>
            <w:r>
              <w:rPr>
                <w:rFonts w:ascii="Arial" w:cs="Arial" w:eastAsia="Arial" w:hAnsi="Arial"/>
                <w:sz w:val="14"/>
                <w:szCs w:val="14"/>
                <w:b w:val="1"/>
                <w:bCs w:val="1"/>
                <w:color w:val="auto"/>
                <w:w w:val="96"/>
              </w:rPr>
              <w:t>Duration of</w:t>
            </w:r>
          </w:p>
        </w:tc>
        <w:tc>
          <w:tcPr>
            <w:tcW w:w="0" w:type="dxa"/>
            <w:vAlign w:val="bottom"/>
          </w:tcPr>
          <w:p>
            <w:pPr>
              <w:spacing w:after="0"/>
              <w:rPr>
                <w:sz w:val="1"/>
                <w:szCs w:val="1"/>
                <w:color w:val="auto"/>
              </w:rPr>
            </w:pPr>
          </w:p>
        </w:tc>
      </w:tr>
      <w:tr>
        <w:trPr>
          <w:trHeight w:val="149"/>
        </w:trPr>
        <w:tc>
          <w:tcPr>
            <w:tcW w:w="4460" w:type="dxa"/>
            <w:vAlign w:val="bottom"/>
            <w:vMerge w:val="continue"/>
          </w:tcPr>
          <w:p>
            <w:pPr>
              <w:spacing w:after="0"/>
              <w:rPr>
                <w:sz w:val="12"/>
                <w:szCs w:val="12"/>
                <w:color w:val="auto"/>
              </w:rPr>
            </w:pPr>
          </w:p>
        </w:tc>
        <w:tc>
          <w:tcPr>
            <w:tcW w:w="2940" w:type="dxa"/>
            <w:vAlign w:val="bottom"/>
          </w:tcPr>
          <w:p>
            <w:pPr>
              <w:jc w:val="center"/>
              <w:ind w:left="1404"/>
              <w:spacing w:after="0" w:line="149" w:lineRule="exact"/>
              <w:rPr>
                <w:sz w:val="20"/>
                <w:szCs w:val="20"/>
                <w:color w:val="auto"/>
              </w:rPr>
            </w:pPr>
            <w:r>
              <w:rPr>
                <w:rFonts w:ascii="Arial" w:cs="Arial" w:eastAsia="Arial" w:hAnsi="Arial"/>
                <w:sz w:val="14"/>
                <w:szCs w:val="14"/>
                <w:b w:val="1"/>
                <w:bCs w:val="1"/>
                <w:color w:val="auto"/>
                <w:w w:val="90"/>
              </w:rPr>
              <w:t>October 24,</w:t>
            </w:r>
          </w:p>
        </w:tc>
        <w:tc>
          <w:tcPr>
            <w:tcW w:w="128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3"/>
              </w:rPr>
              <w:t>time charters</w:t>
            </w:r>
          </w:p>
        </w:tc>
        <w:tc>
          <w:tcPr>
            <w:tcW w:w="0" w:type="dxa"/>
            <w:vAlign w:val="bottom"/>
          </w:tcPr>
          <w:p>
            <w:pPr>
              <w:spacing w:after="0"/>
              <w:rPr>
                <w:sz w:val="1"/>
                <w:szCs w:val="1"/>
                <w:color w:val="auto"/>
              </w:rPr>
            </w:pPr>
          </w:p>
        </w:tc>
      </w:tr>
      <w:tr>
        <w:trPr>
          <w:trHeight w:val="185"/>
        </w:trPr>
        <w:tc>
          <w:tcPr>
            <w:tcW w:w="44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9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128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294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   1,061</w:t>
            </w: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and the market rate for comparable charters as provided by independent ship brokers on the business combination date discounted at a WACC of approximately 7.5%.</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revenues and net income of Filonikis since its acquisition by the Partnership were $980 and $222 respectively and are included in the Partnership’s consolidated statements of comprehensive income for the year ended December 31, 2016.</w:t>
      </w:r>
    </w:p>
    <w:p>
      <w:pPr>
        <w:spacing w:after="0" w:line="31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years ended December 31, 2016 and 2015</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 forma results of operations of Filonikis for the period from the vessel’s delivery from the shipyard on September 30, 2015 (vessel inception) to December 31, 2015 and from January 1, 2016 to October 24, 2016 as if the vessel was operating under post acquisition revenue and cost structure.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Filonikis occurred on September 30, 2015 (vessel inception):</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160" w:type="dxa"/>
            <w:vAlign w:val="bottom"/>
            <w:gridSpan w:val="4"/>
          </w:tcPr>
          <w:p>
            <w:pPr>
              <w:ind w:left="1020"/>
              <w:spacing w:after="0"/>
              <w:rPr>
                <w:sz w:val="20"/>
                <w:szCs w:val="20"/>
                <w:color w:val="auto"/>
              </w:rPr>
            </w:pPr>
            <w:r>
              <w:rPr>
                <w:rFonts w:ascii="Arial" w:cs="Arial" w:eastAsia="Arial" w:hAnsi="Arial"/>
                <w:sz w:val="14"/>
                <w:szCs w:val="14"/>
                <w:b w:val="1"/>
                <w:bCs w:val="1"/>
                <w:color w:val="auto"/>
                <w:w w:val="96"/>
              </w:rPr>
              <w:t>For the year ended December, 31</w:t>
            </w:r>
          </w:p>
        </w:tc>
      </w:tr>
      <w:tr>
        <w:trPr>
          <w:trHeight w:val="171"/>
        </w:trPr>
        <w:tc>
          <w:tcPr>
            <w:tcW w:w="5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245,825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221,638</w:t>
            </w: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122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53,677</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55,430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11,101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22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850</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881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41,726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43,215</w:t>
            </w:r>
          </w:p>
        </w:tc>
      </w:t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income per common unit basic and diluted</w:t>
            </w:r>
          </w:p>
        </w:tc>
        <w:tc>
          <w:tcPr>
            <w:tcW w:w="1220" w:type="dxa"/>
            <w:vAlign w:val="bottom"/>
          </w:tcPr>
          <w:p>
            <w:pPr>
              <w:ind w:left="10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0.38</w:t>
            </w:r>
          </w:p>
        </w:tc>
      </w:tr>
      <w:tr>
        <w:trPr>
          <w:trHeight w:val="346"/>
        </w:trPr>
        <w:tc>
          <w:tcPr>
            <w:tcW w:w="5520" w:type="dxa"/>
            <w:vAlign w:val="bottom"/>
          </w:tcPr>
          <w:p>
            <w:pPr>
              <w:ind w:left="4160"/>
              <w:spacing w:after="0"/>
              <w:rPr>
                <w:sz w:val="20"/>
                <w:szCs w:val="20"/>
                <w:color w:val="auto"/>
              </w:rPr>
            </w:pPr>
            <w:r>
              <w:rPr>
                <w:rFonts w:ascii="Arial" w:cs="Arial" w:eastAsia="Arial" w:hAnsi="Arial"/>
                <w:sz w:val="18"/>
                <w:szCs w:val="18"/>
                <w:color w:val="auto"/>
              </w:rPr>
              <w:t>F-13</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Partnership and its subsidiaries have related party transactions with CMTC which is a related party unit holder. The Partnership and its subsidiaries have also related party transactions with the Manager, arising from certain terms of the following three different types of management agreements.</w:t>
      </w:r>
    </w:p>
    <w:p>
      <w:pPr>
        <w:spacing w:after="0" w:line="29" w:lineRule="exact"/>
        <w:rPr>
          <w:sz w:val="20"/>
          <w:szCs w:val="20"/>
          <w:color w:val="auto"/>
        </w:rPr>
      </w:pPr>
    </w:p>
    <w:p>
      <w:pPr>
        <w:ind w:left="900" w:right="20" w:hanging="446"/>
        <w:spacing w:after="0" w:line="270" w:lineRule="auto"/>
        <w:tabs>
          <w:tab w:leader="none" w:pos="90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Fixed fee management agreement: </w:t>
      </w:r>
      <w:r>
        <w:rPr>
          <w:rFonts w:ascii="Arial" w:cs="Arial" w:eastAsia="Arial" w:hAnsi="Arial"/>
          <w:sz w:val="17"/>
          <w:szCs w:val="17"/>
          <w:color w:val="auto"/>
        </w:rPr>
        <w:t>At the time of the completion of its Initial Public Offering (“IPO”), the Partnership entered into an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Manager, according 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The Partnership also pays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87" w:lineRule="exact"/>
        <w:rPr>
          <w:rFonts w:ascii="Arial" w:cs="Arial" w:eastAsia="Arial" w:hAnsi="Arial"/>
          <w:sz w:val="17"/>
          <w:szCs w:val="17"/>
          <w:b w:val="1"/>
          <w:bCs w:val="1"/>
          <w:color w:val="auto"/>
        </w:rPr>
      </w:pPr>
    </w:p>
    <w:p>
      <w:pPr>
        <w:ind w:left="900" w:right="40" w:hanging="446"/>
        <w:spacing w:after="0" w:line="273" w:lineRule="auto"/>
        <w:tabs>
          <w:tab w:leader="none" w:pos="90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Floating fee management agreement: </w:t>
      </w:r>
      <w:r>
        <w:rPr>
          <w:rFonts w:ascii="Arial" w:cs="Arial" w:eastAsia="Arial" w:hAnsi="Arial"/>
          <w:sz w:val="17"/>
          <w:szCs w:val="17"/>
          <w:color w:val="auto"/>
        </w:rPr>
        <w:t>On June 9, 2011, the Partnership entered into an agreement with its Manager based on actual expenses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managed vessel.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and</w:t>
      </w:r>
    </w:p>
    <w:p>
      <w:pPr>
        <w:spacing w:after="0" w:line="83" w:lineRule="exact"/>
        <w:rPr>
          <w:rFonts w:ascii="Arial" w:cs="Arial" w:eastAsia="Arial" w:hAnsi="Arial"/>
          <w:sz w:val="17"/>
          <w:szCs w:val="17"/>
          <w:b w:val="1"/>
          <w:bCs w:val="1"/>
          <w:color w:val="auto"/>
        </w:rPr>
      </w:pPr>
    </w:p>
    <w:p>
      <w:pPr>
        <w:ind w:left="900" w:right="80" w:hanging="446"/>
        <w:spacing w:after="0" w:line="293" w:lineRule="auto"/>
        <w:tabs>
          <w:tab w:leader="none" w:pos="90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Crude management agreement: </w:t>
      </w:r>
      <w:r>
        <w:rPr>
          <w:rFonts w:ascii="Arial" w:cs="Arial" w:eastAsia="Arial" w:hAnsi="Arial"/>
          <w:sz w:val="16"/>
          <w:szCs w:val="16"/>
          <w:color w:val="auto"/>
        </w:rPr>
        <w:t>On September 30, 2011, the Partnership completed the acquisition of Crude Carriers Corp. and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Three of the five crude tanker vessels that the Partnership acquired at the time of the completion of the merger with Crude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The Partnership also pays its Manager the following fees:</w:t>
      </w:r>
    </w:p>
    <w:p>
      <w:pPr>
        <w:spacing w:after="0" w:line="56" w:lineRule="exact"/>
        <w:rPr>
          <w:rFonts w:ascii="Arial" w:cs="Arial" w:eastAsia="Arial" w:hAnsi="Arial"/>
          <w:sz w:val="16"/>
          <w:szCs w:val="16"/>
          <w:b w:val="1"/>
          <w:bCs w:val="1"/>
          <w:color w:val="auto"/>
        </w:rPr>
      </w:pPr>
    </w:p>
    <w:p>
      <w:pPr>
        <w:ind w:left="1160" w:hanging="239"/>
        <w:spacing w:after="0"/>
        <w:tabs>
          <w:tab w:leader="none" w:pos="11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 daily technical management fee per managed vessel that is revised annually based on the United States Consumer Price Index;</w:t>
      </w:r>
    </w:p>
    <w:p>
      <w:pPr>
        <w:spacing w:after="0" w:line="128" w:lineRule="exact"/>
        <w:rPr>
          <w:rFonts w:ascii="Arial" w:cs="Arial" w:eastAsia="Arial" w:hAnsi="Arial"/>
          <w:sz w:val="17"/>
          <w:szCs w:val="17"/>
          <w:color w:val="auto"/>
        </w:rPr>
      </w:pPr>
    </w:p>
    <w:p>
      <w:pPr>
        <w:ind w:left="920" w:right="1020" w:firstLine="1"/>
        <w:spacing w:after="0" w:line="277" w:lineRule="auto"/>
        <w:tabs>
          <w:tab w:leader="none" w:pos="117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 commercial services fee equal to 1.25% of all gross charter revenues generated by each vessel for commercial services rendered.</w:t>
      </w:r>
    </w:p>
    <w:p>
      <w:pPr>
        <w:spacing w:after="0" w:line="129"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Manager has the right to terminate the Crude management agreement and, under certain circumstances, could receive substantial sums in connection with such termination. In March 2016 this termination fee was adjusted to $9,858 from $9,760.</w:t>
      </w:r>
    </w:p>
    <w:p>
      <w:pPr>
        <w:spacing w:after="0" w:line="62"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Effective from January 1, 2017 the Manager agreed to waive going forward (i) the sale and purchase fee equal to 1% of the gross purchase or sale price upon the consummation of any purchase or sale of the three vessels and (ii) the commercial services fee equal to 1.25% of all gross charter revenues generated by each of the three vessels for commercial services rendered.</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the above three agreements constitute the “Management Agreements” and the related management fees are included in “Vessel operating expenses – related party” in the accompanying consolidated statements of comprehensive income.</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Under the terms of the fixed fee management agreement, the Manager charges the Partnership for additional fees and costs, relating to insurances deductibles, vetting, and repairs and spares that related to unforeseen events. For the years ended December 31, 2016, 2015 and 2014 such fees amounted to $205, $489 and $840, respectively and are included in “Vessel operating expenses – related party” in the consolidated statements of comprehensive income.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has agreed to provide certain administrative management services to the Partnership such as accounting, auditing, legal, insurance, IT, clerical, and other administrative services. Also the Partnership reimburses the Manager and its general partner, Capital GP L.L.C. (the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and administrative expenses in the consolidated statements of comprehensive income. In 2015, as amended in 2016, the Partnership entered into an executive services agreement with CGP according to which CGP provides certain executive officers services for the management of the Partnership’s business as well as investor relation and corporate support services to the Partnership.</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2016 and 2015 such fees amounted to $1,688 and $1,624 and are included in “General and administrative expenses” in the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Balances and transactions with related parties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2200" w:type="dxa"/>
            <w:vAlign w:val="bottom"/>
            <w:gridSpan w:val="3"/>
          </w:tcPr>
          <w:p>
            <w:pPr>
              <w:ind w:left="1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4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3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Advances for vessels under construction Note (5a)</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 – payments on behalf of the Partnership (a)</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Management fee payable to CSM (b)</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to related parties</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Deferred revenue – current (e)</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For the 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Income</w:t>
            </w: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5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(c)</w:t>
            </w:r>
          </w:p>
        </w:tc>
        <w:tc>
          <w:tcPr>
            <w:tcW w:w="26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$36,026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$63,731</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$72,870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360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411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10,866</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11,708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13,315</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2,076</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2,569</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8"/>
        <w:spacing w:after="0" w:line="277" w:lineRule="auto"/>
        <w:tabs>
          <w:tab w:leader="none" w:pos="255"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Manager—Payments on Behalf of the Partnership: </w:t>
      </w:r>
      <w:r>
        <w:rPr>
          <w:rFonts w:ascii="Arial" w:cs="Arial" w:eastAsia="Arial" w:hAnsi="Arial"/>
          <w:sz w:val="18"/>
          <w:szCs w:val="18"/>
          <w:color w:val="auto"/>
        </w:rPr>
        <w:t>This line item represents the amount outstanding for payments for operating and voyage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by the Manager on behalf of the Partnership and its subsidiaries.</w:t>
      </w:r>
    </w:p>
    <w:p>
      <w:pPr>
        <w:spacing w:after="0" w:line="170" w:lineRule="exact"/>
        <w:rPr>
          <w:rFonts w:ascii="Arial" w:cs="Arial" w:eastAsia="Arial" w:hAnsi="Arial"/>
          <w:sz w:val="18"/>
          <w:szCs w:val="18"/>
          <w:b w:val="1"/>
          <w:bCs w:val="1"/>
          <w:i w:val="1"/>
          <w:iCs w:val="1"/>
          <w:color w:val="auto"/>
        </w:rPr>
      </w:pPr>
    </w:p>
    <w:p>
      <w:pPr>
        <w:ind w:firstLine="8"/>
        <w:spacing w:after="0" w:line="277" w:lineRule="auto"/>
        <w:tabs>
          <w:tab w:leader="none" w:pos="255"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CSM</w:t>
      </w:r>
      <w:r>
        <w:rPr>
          <w:rFonts w:ascii="Arial" w:cs="Arial" w:eastAsia="Arial" w:hAnsi="Arial"/>
          <w:sz w:val="18"/>
          <w:szCs w:val="18"/>
          <w:color w:val="auto"/>
        </w:rPr>
        <w:t>: The amount outstanding as of December 31, 2016 and 2015 represents the management fee payable to CSM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Management Agreements the Partnership entered into with the Manager.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ind w:right="60" w:firstLine="8"/>
        <w:spacing w:after="0" w:line="277" w:lineRule="auto"/>
        <w:tabs>
          <w:tab w:leader="none" w:pos="245" w:val="left"/>
        </w:tabs>
        <w:numPr>
          <w:ilvl w:val="0"/>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that were in place between the Partnership and CMTC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during 2016 and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Time</w:t>
            </w:r>
          </w:p>
        </w:tc>
        <w:tc>
          <w:tcPr>
            <w:tcW w:w="17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Commencement of</w:t>
            </w: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Termination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Gross (Net) Daily</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3780" w:type="dxa"/>
            <w:vAlign w:val="bottom"/>
            <w:vMerge w:val="restart"/>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Charter (TC)</w:t>
            </w:r>
          </w:p>
        </w:tc>
        <w:tc>
          <w:tcPr>
            <w:tcW w:w="1720" w:type="dxa"/>
            <w:vAlign w:val="bottom"/>
            <w:gridSpan w:val="2"/>
            <w:vMerge w:val="continue"/>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earliest expected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years</w:t>
            </w:r>
          </w:p>
        </w:tc>
        <w:tc>
          <w:tcPr>
            <w:tcW w:w="5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redelivery</w:t>
            </w:r>
          </w:p>
        </w:tc>
        <w:tc>
          <w:tcPr>
            <w:tcW w:w="5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Agisilaos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 TC</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$14.3 ($14.1)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06/2016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$14.5 ($14.3)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Axios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1.2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12/2014</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$15.0 ($14.8)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1 to 1.2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09/2015</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$27.0 ($26.7)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0.9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08/2016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 ($20.7)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09/2014</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Akeraios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1.5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07/2013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 ($14.8)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03/2015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04/2016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1.2 to 1.5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10/2013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 ($14.7)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$15.6 ($15.4)</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1.2 to 1.5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 ($14.7)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$17.3 ($17.0)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1.5 to 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Aristotelis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1.1 to 1.3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12/2016</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$19.0 ($18.8)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01/2014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 ($23.7)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12/2013</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02/2015</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$24.0 ($23.7)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Assos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Atrotos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05/2014</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05/2015</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 ($14.6)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1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$15.3 ($15.1)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Ayrton II</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02/2016</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01/2018</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$18.0 ($17.8)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0.6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09/2015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05/2016</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 ($34.6)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0.9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08/2016</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06/2017</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$25.0 ($24.7)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Active</w:t>
            </w: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7"/>
              </w:rPr>
              <w:t>2 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04/2015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M/T Amadeus</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2 TC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06/2015</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05/2017</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II</w:t>
            </w:r>
          </w:p>
        </w:tc>
        <w:tc>
          <w:tcPr>
            <w:tcW w:w="15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1TC</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10/2016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08/2017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 ($12.8)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This line item mainly includes fees relating to internal audit, investor relations and consultancy fees.</w:t>
      </w:r>
    </w:p>
    <w:p>
      <w:pPr>
        <w:spacing w:after="0" w:line="236" w:lineRule="exact"/>
        <w:rPr>
          <w:rFonts w:ascii="Arial" w:cs="Arial" w:eastAsia="Arial" w:hAnsi="Arial"/>
          <w:sz w:val="17"/>
          <w:szCs w:val="17"/>
          <w:b w:val="1"/>
          <w:bCs w:val="1"/>
          <w:i w:val="1"/>
          <w:iCs w:val="1"/>
          <w:color w:val="auto"/>
        </w:rPr>
      </w:pPr>
    </w:p>
    <w:p>
      <w:pPr>
        <w:ind w:right="60" w:firstLine="8"/>
        <w:spacing w:after="0" w:line="277" w:lineRule="auto"/>
        <w:tabs>
          <w:tab w:leader="none" w:pos="245"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Revenue: </w:t>
      </w:r>
      <w:r>
        <w:rPr>
          <w:rFonts w:ascii="Arial" w:cs="Arial" w:eastAsia="Arial" w:hAnsi="Arial"/>
          <w:sz w:val="18"/>
          <w:szCs w:val="18"/>
          <w:color w:val="auto"/>
        </w:rPr>
        <w:t>As of December 31, 2016 and 2015 the Partnership had received cash in advance for charter hire relating to revenue earned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 period from CMTC.</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60"/>
          </w:cols>
          <w:pgMar w:left="240" w:top="460" w:right="6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131"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Advances for vessels under construction – related party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advances for vessels under construction – related party is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Advances for vessels under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construction – related party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2015</w:t>
            </w:r>
          </w:p>
        </w:tc>
        <w:tc>
          <w:tcPr>
            <w:tcW w:w="23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Additions</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Transfer to vessels</w:t>
            </w:r>
          </w:p>
        </w:tc>
        <w:tc>
          <w:tcPr>
            <w:tcW w:w="1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(48,469)</w:t>
            </w: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2015</w:t>
            </w:r>
          </w:p>
        </w:tc>
        <w:tc>
          <w:tcPr>
            <w:tcW w:w="17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Transfer to vessels</w:t>
            </w: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2016</w:t>
            </w:r>
          </w:p>
        </w:tc>
        <w:tc>
          <w:tcPr>
            <w:tcW w:w="23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July 24, 2014, the Partnership entered into a Master Agreement with CMTC to acquire five companies that own five vessels under construction (the “new buildings”) with attached time charters, subject to the amendment of the partnership agreement to reset the target distributions to holders of the Incentive Distribution Rights (the “IDRs”) (Note 12). As the reset of the IDRs was a pre-condition for the acquisition of the vessels, the amount of $36,417, representing the difference between the fair value of $347,917 of the respective new buildings at the time of the approval of this transaction in August 2014 at the Partnership’s annual general meeting and the contractual cash consideration of $311,500, was considered to be the deemed equity contribution and thus the fair value of the reset of the IDRs. The fair value of the IDRs reset has been accounted for in Partner’s capital and is presented as “Excess between the fair value of the contracted vessels and the contractual cash consideration” in the consolidated statements of changes in partners’ capital in the Partnership’s consolidated balance sheet as of December 31, 2014. The fair value of the new buildings amounting to $347,917 was based on the average of three valuations obtained from three independent shipbrokers.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Two of these five vessels are 50,000 dwt product carriers and the remaining three are 9,100 TEU post-panamax container carriers.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2015 the Partnership acquired from CMTC the shares of four out of the five vessel owning companies. As a result, as of December 31, 2015, the amount of $18,172 consisted of advances totalling $7,921 that the Partnership paid to CMTC for the acquisition of the remaining vessel owning company and the fair value from the reset of the IDRs of $10,251 which was attributable to this vessel, and is presented as “Advances for vessels under construction– related party” in the Partnership’s consolidated balance sheet as of December 31, 2015. On February 26, 2016 the Partnership acquired the company owning the M/V CMA CGM Magdalena, which was the last out of the five vessel owning companies the Partnership agreed to acquire from CMTC according to the terms of the Master Agreement. As a result there were no “Advances for vessels under construction–related party” as of December 31, 2016.</w:t>
      </w:r>
    </w:p>
    <w:p>
      <w:pPr>
        <w:spacing w:after="0" w:line="309"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Vessels,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Vessel Cost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2015</w:t>
            </w: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1,396,735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(276,665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1,120,070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Acquisitions and improvements</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208,523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Advances for vessels under construction-related party</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48,469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(61,577)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(61,577)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2015</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1,653,727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(338,242)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1,315,485</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Acquisitions and improvements</w:t>
            </w:r>
          </w:p>
        </w:tc>
        <w:tc>
          <w:tcPr>
            <w:tcW w:w="7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103,790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Advances for vessels under construction-related party</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18,172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(69,716)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2016</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1,775,689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(407,958)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1,367,731</w:t>
            </w:r>
          </w:p>
        </w:tc>
        <w:tc>
          <w:tcPr>
            <w:tcW w:w="0" w:type="dxa"/>
            <w:vAlign w:val="bottom"/>
          </w:tcPr>
          <w:p>
            <w:pPr>
              <w:spacing w:after="0"/>
              <w:rPr>
                <w:sz w:val="1"/>
                <w:szCs w:val="1"/>
                <w:color w:val="auto"/>
              </w:rPr>
            </w:pPr>
          </w:p>
        </w:tc>
      </w:tr>
      <w:tr>
        <w:trPr>
          <w:trHeight w:val="372"/>
        </w:trPr>
        <w:tc>
          <w:tcPr>
            <w:tcW w:w="5740" w:type="dxa"/>
            <w:vAlign w:val="bottom"/>
          </w:tcPr>
          <w:p>
            <w:pPr>
              <w:ind w:left="4620"/>
              <w:spacing w:after="0"/>
              <w:rPr>
                <w:sz w:val="20"/>
                <w:szCs w:val="20"/>
                <w:color w:val="auto"/>
              </w:rPr>
            </w:pPr>
            <w:r>
              <w:rPr>
                <w:rFonts w:ascii="Arial" w:cs="Arial" w:eastAsia="Arial" w:hAnsi="Arial"/>
                <w:sz w:val="18"/>
                <w:szCs w:val="18"/>
                <w:color w:val="auto"/>
              </w:rPr>
              <w:t>F-17</w:t>
            </w:r>
          </w:p>
        </w:tc>
        <w:tc>
          <w:tcPr>
            <w:tcW w:w="7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 – Continued</w:t>
      </w:r>
    </w:p>
    <w:p>
      <w:pPr>
        <w:spacing w:after="0" w:line="158"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Vessels, net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2016 have been provided as collateral to secure the Partnership’s credit facilities.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October 24, 2016, the Partnership acquired the shares of the company owning the M/T Amor (Note 3). The Partnership accounted for this acquisition as an acquisition of business based on the existence of an integrated set of activities (inputs and processes that generate outputs). Therefore the vessel was recorded in the Partnership’s financial statements at its fair value of $31,600 as quoted by independent ship brokers at the time of her acquisition by the Partnership.</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26, 2016, the Partnership acquired the shares of the company owning the M/V CMA CGM Magdalena for a total consideration of $81,500 which was funded by loan drawdown of $35,000 from the Partnership’s 2013 credit facility (Note 7) and the remaining balance of $46,500 by the Partnership’s cash. The Partnership accounted for this transaction as acquisition of an asset based on the absence of processes attached to the inputs. Other than the new building and the attached time charter, no other inputs and no processes were acquired. The Partnership considered whether any value should be assigned to the attached charter party agreement acquired and concluded that the contracted daily charter rate was above the market rates on the transaction completion date and therefore, the total consideration was allocated to the vessel cost and the above market acquired charter. Thus the vessel was recorded in the Partnership’s financial statements at a cost of $88,545 and the above market acquired charter at a cost of $3,206 (Note 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 March 31, June 10, June 30 and September 18, 2015, the Partnership acquired the shares of the companies owning the M/T Active, the M/V CMA CGM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Amazon, the M/T Amadeus and the M/V CMA CGM Uruguay for a total consideration of $230,000 which was funded by loan drawdowns of $115,000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Partnership’s 2013 credit facility and the remaining balance of $115,000 through the Partnership’s cash. The Partnership accounted for the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companies owning the M/T Active, the M/V CMA CGM Amazon, the M/T Amadeus and the M/V CMA CGM Uruguay as acquisition of assets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absence of processes attached to the inputs. Other than the new buildings and the attached time charters, no other inputs and no processes were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considered whether any value should be assigned to the attached charter party agreements acquired and concluded that the contracted daily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charter rates approximated market rates on the transaction completion dates and therefore, the total consideration was allocated to vessel cost. Thus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vessels were recorded in the Partnership’s financial statements at their cost of $256,166. As of December 31, 2014 the Partnership had paid advances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$22,303 to CMTC for the acquisition of the shares of these vessel owning companies. The difference of $26,166 between the vessels’ cost of $256,166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total consideration of $230,000 was part of the excess of $36,417 that the Partnership had recorded in its financial statements in August 2014 upon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approval of the Master Agreement and the IDRs reset at the Partnership’s annual meeting.</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2016, the M/T Alkiviadis, the M/T Anemos I, the M/T Amore Mio II, the M/T Miltiadis M II and the M/T Arionas underwent improvements during their scheduled special survey respectively. In addition, during 2016 the M/V Archimidis underwent improvements. The costs of these improvements amounted to $1,817 and were capitalized as part of the vessels’ cost.</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2015, the M/T Agisilaos, the M/T Avax, the M/T Akeraios, the M/T Apostolos, the M/V Archimidis and the M/V Agamemnon underwent improvements during their scheduled special survey respectively. The costs of these improvements amounted to $826 and were capitalized as part of the vessels’ cost.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October, 24, 2016 the Partnership acquired the shares of the company owning the M/T Amor from CMTC with outstanding time charters to Cargill and CMTC. The time charter with Cargill was above the market rate for equivalent time charters prevailing at the time of acquisition. The present value of the above market acquired time charter was estimated by the Partnership at $1,061 and recorded as an asset in the consolidated balance sheet as of the acquisition date (Note 3). The time charter with CMTC was equal to the market rate for equivalent time charters prevailing at the time of acquisition.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26, 2016 the Partnership acquired the shares of the company owning the M/V CMA CGM Magdalena from CMTC with outstanding time charter to CMA-CGM S.A., which was above the market rate for equivalent time charters prevailing at the time of acquisition.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present value of the above market acquired time charter of $3,206 was determined as the difference between the time charter rate at which the vessel was fixed at and the market rate for comparable charters as provided by independent third parties on the acquisition date discounted at a WACC of approximately 7.5% and was recorded as an asset in the consolidated balance sheet as of the acquisition date.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2016, 2015 and 2014 revenues included a reduction of $14,542, $14,864 and $16,000 as amortization of the above market acquired charters,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Above market acquired charters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at January 1, 2015</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115,382</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(14,864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at December 31, 2015</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100,518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(14,542)</w:t>
            </w: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Carrying amount as at December 31, 2016</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2016 the remaining carrying amount of unamortized above market acquired time charters was $90,243 and will be amortized in future years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For the twelve month period</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ended December 31,</w:t>
            </w:r>
          </w:p>
        </w:tc>
        <w:tc>
          <w:tcPr>
            <w:tcW w:w="434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2018</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2020</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26,159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90,243</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440" w:type="dxa"/>
            <w:vAlign w:val="bottom"/>
            <w:gridSpan w:val="2"/>
          </w:tcPr>
          <w:p>
            <w:pPr>
              <w:jc w:val="right"/>
              <w:ind w:right="3036"/>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4"/>
                <w:szCs w:val="14"/>
                <w:color w:val="auto"/>
              </w:rPr>
            </w:pPr>
          </w:p>
        </w:tc>
      </w:tr>
      <w:tr>
        <w:trPr>
          <w:trHeight w:val="185"/>
        </w:trPr>
        <w:tc>
          <w:tcPr>
            <w:tcW w:w="440" w:type="dxa"/>
            <w:vAlign w:val="bottom"/>
          </w:tcPr>
          <w:p>
            <w:pPr>
              <w:spacing w:after="0"/>
              <w:rPr>
                <w:sz w:val="16"/>
                <w:szCs w:val="16"/>
                <w:color w:val="auto"/>
              </w:rPr>
            </w:pPr>
          </w:p>
        </w:tc>
        <w:tc>
          <w:tcPr>
            <w:tcW w:w="7040" w:type="dxa"/>
            <w:vAlign w:val="bottom"/>
          </w:tcPr>
          <w:p>
            <w:pPr>
              <w:ind w:left="180"/>
              <w:spacing w:after="0"/>
              <w:rPr>
                <w:sz w:val="20"/>
                <w:szCs w:val="20"/>
                <w:color w:val="auto"/>
              </w:rPr>
            </w:pPr>
            <w:r>
              <w:rPr>
                <w:rFonts w:ascii="Arial" w:cs="Arial" w:eastAsia="Arial" w:hAnsi="Arial"/>
                <w:sz w:val="14"/>
                <w:szCs w:val="14"/>
                <w:b w:val="1"/>
                <w:bCs w:val="1"/>
                <w:color w:val="auto"/>
              </w:rPr>
              <w:t>Bank loans</w:t>
            </w: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6"/>
                <w:szCs w:val="16"/>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Margin</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in March 2007 maturing in December 2019 (the “2007 credit facility”)</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185,975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185,975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7040" w:type="dxa"/>
            <w:vAlign w:val="bottom"/>
          </w:tcPr>
          <w:p>
            <w:pPr>
              <w:ind w:left="180"/>
              <w:spacing w:after="0"/>
              <w:rPr>
                <w:sz w:val="20"/>
                <w:szCs w:val="20"/>
                <w:color w:val="auto"/>
              </w:rPr>
            </w:pPr>
            <w:r>
              <w:rPr>
                <w:rFonts w:ascii="Arial" w:cs="Arial" w:eastAsia="Arial" w:hAnsi="Arial"/>
                <w:sz w:val="18"/>
                <w:szCs w:val="18"/>
                <w:color w:val="auto"/>
              </w:rPr>
              <w:t>Issued in March 2008 maturing in December 2019 (the “2008 credit facility”)</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181,641</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181,641</w:t>
            </w: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in June 2011 maturing in March 2018 (the “2011 credit facility”)</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7040" w:type="dxa"/>
            <w:vAlign w:val="bottom"/>
          </w:tcPr>
          <w:p>
            <w:pPr>
              <w:ind w:left="180"/>
              <w:spacing w:after="0"/>
              <w:rPr>
                <w:sz w:val="20"/>
                <w:szCs w:val="20"/>
                <w:color w:val="auto"/>
              </w:rPr>
            </w:pPr>
            <w:r>
              <w:rPr>
                <w:rFonts w:ascii="Arial" w:cs="Arial" w:eastAsia="Arial" w:hAnsi="Arial"/>
                <w:sz w:val="18"/>
                <w:szCs w:val="18"/>
                <w:color w:val="auto"/>
              </w:rPr>
              <w:t>Issued in September 2013 maturing in December 2020 (the “2013 credit facility”)</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207,646</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190,000</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in October 2016 maturing in November 2022 (the “2015 credit facility”)</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15,750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44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Total long-term debt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605,012</w:t>
            </w: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571,616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Deferred loan issuance costs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3,806</w:t>
            </w:r>
          </w:p>
        </w:tc>
        <w:tc>
          <w:tcPr>
            <w:tcW w:w="980" w:type="dxa"/>
            <w:vAlign w:val="bottom"/>
            <w:shd w:val="clear" w:color="auto" w:fill="CCEEFF"/>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Total long-term debt, net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602,187</w:t>
            </w: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567,810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40,534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12,957</w:t>
            </w:r>
          </w:p>
        </w:tc>
        <w:tc>
          <w:tcPr>
            <w:tcW w:w="9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Add: Current portion of deferred loan issuance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1,035</w:t>
            </w:r>
          </w:p>
        </w:tc>
        <w:tc>
          <w:tcPr>
            <w:tcW w:w="98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 net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562,619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555,888</w:t>
            </w:r>
          </w:p>
        </w:tc>
        <w:tc>
          <w:tcPr>
            <w:tcW w:w="98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October 24, 2016, upon the completion of the acquisition of the shares of the company owning the M/T Amor (Notes 3, 5), the Partnership assumed CMTC’s guarantee with respect to the outstanding balance of $15,750 under the term loan that was entered into on November 19, 2015 with ING Bank N.V. The term loan is payable in 17 consecutive equal quarterly instalments starting two years after the vessel’s acquisition plus a balloon payment with expected maturity date in November 2022. The term loan bears interest at LIBOR plus a margin of 2.50%.</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23, 2016, the Partnership drew the amount of $35,000 from its existing 2013 credit facility in order to partly finance the acquisition of the shares of the company owning the M/V CMA CGM Magdalena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2016, the Partnership repaid the amount of $17,354 in line with the amortization schedule of its 2013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2015, the Partnership entered into three amendments to its 2007, 2008 and 2011 credit facilities providing for:</w:t>
      </w:r>
    </w:p>
    <w:p>
      <w:pPr>
        <w:spacing w:after="0" w:line="131" w:lineRule="exact"/>
        <w:rPr>
          <w:sz w:val="20"/>
          <w:szCs w:val="20"/>
          <w:color w:val="auto"/>
        </w:rPr>
      </w:pPr>
    </w:p>
    <w:p>
      <w:pPr>
        <w:ind w:left="900" w:right="160" w:hanging="446"/>
        <w:spacing w:after="0" w:line="342"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prepayments made on April 30, 2015, and funded by the proceeds of the April 2015 offering of common units (Note 12), of the scheduled four quarterly amortization payments in 2016 and the first quarter of 2017 in the respective aggregate amounts of $64,875, $46,024 and $5,000;</w:t>
      </w:r>
    </w:p>
    <w:p>
      <w:pPr>
        <w:spacing w:after="0" w:line="29" w:lineRule="exact"/>
        <w:rPr>
          <w:rFonts w:ascii="Arial" w:cs="Arial" w:eastAsia="Arial" w:hAnsi="Arial"/>
          <w:sz w:val="16"/>
          <w:szCs w:val="16"/>
          <w:color w:val="auto"/>
        </w:rPr>
      </w:pPr>
    </w:p>
    <w:p>
      <w:pPr>
        <w:ind w:left="900" w:right="46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deferral, following the prepayments, of any further scheduled amortization payments until November 2017 for the 2007 and 2008 credit facilities and until December 2017 for the 2011 credit facility;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extension of the final maturity date to December 31, 2019 for the 2007 and 2008 credit facilities;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increase of the interest rate under the 2007 credit facility to 3.0% over LIBOR from 2.0% over LIBOR.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in our existing credit facilities remained unchanged.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2015, the Partnership drew down the amount of $115,000 from its 2013 credit facility in order to partly finance the acquisition of the shares of the companies owning the M/T Active, the M/V CMA CGM Amazon, the M/T Amadeus and the M/V CMA CGM Uruguay respectively (Note 5).</w:t>
      </w:r>
    </w:p>
    <w:p>
      <w:pPr>
        <w:spacing w:after="0" w:line="1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Partnership’s credit facilities contain customary ship finance covenants, including restrictions as to changes in management and ownership of the mortgaged vessels, the incurrence of additional indebtedness and the mortgaging of vessels and requirements such as, the ratio of EBITDA to Net Interest Expenses to be no less than 2:1, a minimum cash requirement of $500 per vessel, and the ratio of net Total Indebtedness to the aggregate Market Value of the fleet not to exceed 0.725:1. As of December 31, 2016 and 2015, restricted cash amounted to $18,000 and $17,000, respectively and is presented under other non-current assets. The credit facilities also contain a collateral maintenance requirement under which the aggregate fair market value of the collateral vessels should not be less than 120% for the 2015 credit facility and 125% for the other credit facilities,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2016 and 2015 the Partnership was in compliance with all financial covenants.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collateral vessel or vessels. Each also requires additional security, such as pledge and charge on current accounts and mortgage interest insurance.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2016 there were no undrawn amounts under the Partnership’s credit facilities. As of December 31, 2015 the Partnership had an undrawn amount of $35,000 under its 2013 credit facility.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the years ended December 31, 2016, 2015 and 2014, the Partnership recorded interest expense of $22,674, $17,856 and $16,480 respectively which is included in “Interest expense and finance cost” in the consolidated statements of comprehensive income. As of December 31, 2016 and 2015 the weighted average interest rate of the Partnership’s loan facilities was 4.01% and 3.65%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2016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2007 Credit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2008 Credit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2011 Credit</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2013 Credit</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2015 Credit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 (i)</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 (ii)</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Facility (iii)</w:t>
            </w:r>
          </w:p>
        </w:tc>
        <w:tc>
          <w:tcPr>
            <w:tcW w:w="1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 (iv)</w:t>
            </w:r>
          </w:p>
        </w:tc>
        <w:tc>
          <w:tcPr>
            <w:tcW w:w="1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 (v)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51,900</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36,819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121,100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135,617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155,584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185,975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181,641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14,000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207,646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15,750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605,012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F-21</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4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carrying value of cash and cash equivalents and restricted cash, which are considered Level 1 items as they represent liquid assets with short-term maturities, trade receivables, amounts due from related parties and due to related parties, trade accounts payable and accrued liabilities approximates their fair value. The fair values of long-term variable rate bank loans approximate the recorded values, due to their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2016. LIBOR rates are observable at commonly quoted intervals for the full terms of the loans and hence bank loans are considered Level 2 items in accordance with the fair value hierarchy.</w:t>
      </w:r>
    </w:p>
    <w:p>
      <w:pPr>
        <w:spacing w:after="0" w:line="26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Concentration of credit risk</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creditworthy financial institutions rated by qualified rating agencies. A limited number of financial institutions hold the Partnership’s cash. Most of the Partnership’s revenues were derived from a few charterers. For the year ended December 31, 2016 Hyundai Merchant Marine Co Ltd (“HMM”), Petroleo Brasileiro S.A, CMA CGM and CMTC accounted for 19%, 18%, 17% and 15% of the Partnership’s total revenue, respectively. For the year ended December 31, 2015 CMTC and HMM accounted for 29% and 21% of the Partnership’s total revenue, respectively. For the year ended December 31, 2014 CMTC, HMM and A.P. Moller-Maersk A.S. (“Maersk”) accounted for 38%, 24% and 12% of the Partnership’s total revenue, respectively. The Partnership does not obtain rights of collateral from its charterers to reduce its credit risk.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2016</w:t>
            </w: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3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7,861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7,872</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F-22</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Vessel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Voyage expenses and vessel operating expenses consist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71"/>
        </w:trPr>
        <w:tc>
          <w:tcPr>
            <w:tcW w:w="51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Commissions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Port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6,245</w:t>
            </w:r>
          </w:p>
        </w:tc>
        <w:tc>
          <w:tcPr>
            <w:tcW w:w="10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37,342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31,788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28,945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Management fees (Note 4)</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12,475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2,022</w:t>
            </w:r>
          </w:p>
        </w:tc>
      </w:tr>
      <w:tr>
        <w:trPr>
          <w:trHeight w:val="27"/>
        </w:trPr>
        <w:tc>
          <w:tcPr>
            <w:tcW w:w="5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77,503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70,333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62,029</w:t>
            </w:r>
          </w:p>
        </w:tc>
      </w:tr>
      <w:tr>
        <w:trPr>
          <w:trHeight w:val="20"/>
        </w:trPr>
        <w:tc>
          <w:tcPr>
            <w:tcW w:w="5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laws of the Marshall Islands and Liberia,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income.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jurisdictions where the Partnership’s vessel-owning subsidiaries are incorporated each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2016, 2015 and 2014 and the ship-owning subsidiaries are exempt from United States federal income taxation with respect to U.S.-source shipping income.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131"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53" w:lineRule="exact"/>
        <w:rPr>
          <w:rFonts w:ascii="Arial" w:cs="Arial" w:eastAsia="Arial" w:hAnsi="Arial"/>
          <w:sz w:val="16"/>
          <w:szCs w:val="16"/>
          <w:color w:val="auto"/>
        </w:rPr>
      </w:pPr>
    </w:p>
    <w:p>
      <w:pPr>
        <w:ind w:left="900" w:hanging="446"/>
        <w:spacing w:after="0" w:line="312"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limited partnership agreement.</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IDRs: </w:t>
      </w:r>
      <w:r>
        <w:rPr>
          <w:rFonts w:ascii="Arial" w:cs="Arial" w:eastAsia="Arial" w:hAnsi="Arial"/>
          <w:sz w:val="18"/>
          <w:szCs w:val="18"/>
          <w:color w:val="auto"/>
        </w:rPr>
        <w:t>The general partner has a 1.96% interest in the Partnership and holds the IDRs. In accordance with Section 5.2(b)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agreement, upon the issuance of additional units by the Partnership, the general partner may elect to make a contribution to the Partnership to maintain its general partner interest.</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IDRs represent the right to receive an increasing percentage of quarterly distributions of available cash from operating surplus after the minimum quarterly distribution and the target distribution levels have been achieved. The Partnership’s general partner as of December 31, 2016, 2015 and 2014 holds the IDRs.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According to the partnership agreement 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incentive distribution rights.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6"/>
              </w:rPr>
              <w:t>Total Quarterly</w:t>
            </w:r>
          </w:p>
        </w:tc>
        <w:tc>
          <w:tcPr>
            <w:tcW w:w="72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5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7"/>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Distribution Target Amount per</w:t>
            </w: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Unitholders</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6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6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up to $0.4313</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above $0.4313 up to $0.4688</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above $0.4688 up to $0.5625</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above $0.5625</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4540" w:type="dxa"/>
            <w:vAlign w:val="bottom"/>
          </w:tcPr>
          <w:p>
            <w:pPr>
              <w:spacing w:after="0"/>
              <w:rPr>
                <w:sz w:val="24"/>
                <w:szCs w:val="24"/>
                <w:color w:val="auto"/>
              </w:rPr>
            </w:pPr>
          </w:p>
        </w:tc>
        <w:tc>
          <w:tcPr>
            <w:tcW w:w="2760" w:type="dxa"/>
            <w:vAlign w:val="bottom"/>
            <w:gridSpan w:val="2"/>
          </w:tcPr>
          <w:p>
            <w:pPr>
              <w:ind w:left="80"/>
              <w:spacing w:after="0"/>
              <w:rPr>
                <w:sz w:val="20"/>
                <w:szCs w:val="20"/>
                <w:color w:val="auto"/>
              </w:rPr>
            </w:pPr>
            <w:r>
              <w:rPr>
                <w:rFonts w:ascii="Arial" w:cs="Arial" w:eastAsia="Arial" w:hAnsi="Arial"/>
                <w:sz w:val="18"/>
                <w:szCs w:val="18"/>
                <w:color w:val="auto"/>
              </w:rPr>
              <w:t>F-24</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 and IDRs – Continued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21, 2014, the Fourth Amendment to the Second Amended and Restated Agreement of Limited Partnership of the Partnership was approved by the Partnership’s annual general meeting, so as to revise the target distributions to holders of IDRs.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Amendment resets the thresholds for the IDRs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6"/>
              </w:rPr>
              <w:t>Total Quarterly</w:t>
            </w:r>
          </w:p>
        </w:tc>
        <w:tc>
          <w:tcPr>
            <w:tcW w:w="72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15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7"/>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Distribution Target Amount per</w:t>
            </w: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Unitholders</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6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$0.2325</w:t>
            </w:r>
          </w:p>
        </w:tc>
        <w:tc>
          <w:tcPr>
            <w:tcW w:w="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6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up to $0.2425</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9"/>
              </w:rPr>
              <w:t>above $0.2425 up to $0.2675</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above $0.2675 up to $0.2925</w:t>
            </w:r>
          </w:p>
        </w:tc>
        <w:tc>
          <w:tcPr>
            <w:tcW w:w="1580" w:type="dxa"/>
            <w:vAlign w:val="bottom"/>
            <w:gridSpan w:val="2"/>
          </w:tcPr>
          <w:p>
            <w:pPr>
              <w:ind w:left="54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above $0.2925</w:t>
            </w:r>
          </w:p>
        </w:tc>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the annual general meeting, CMTC unilaterally notified the Partnership that it has decided to waive its rights to receive quarterly incentive distributions between $0.2425 and $0.25. This waiver effectively increases the First Threshold and the lower band of the Second Threshold (as referenced in the table above) from $0.2425 to $0.25.</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w:t>
      </w:r>
      <w:r>
        <w:rPr>
          <w:rFonts w:ascii="Arial" w:cs="Arial" w:eastAsia="Arial" w:hAnsi="Arial"/>
          <w:sz w:val="18"/>
          <w:szCs w:val="18"/>
          <w:color w:val="auto"/>
        </w:rPr>
        <w:t>Our partnership agreement requires that we will make distributions of available cash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surplus for any quarter after the subordination period in the following manner:</w:t>
      </w:r>
    </w:p>
    <w:p>
      <w:pPr>
        <w:spacing w:after="0" w:line="76" w:lineRule="exact"/>
        <w:rPr>
          <w:sz w:val="20"/>
          <w:szCs w:val="20"/>
          <w:color w:val="auto"/>
        </w:rPr>
      </w:pPr>
    </w:p>
    <w:p>
      <w:pPr>
        <w:ind w:left="900" w:right="620" w:hanging="446"/>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2012 and 2013 the Partnership issued in total 24,655,554 Class B Convertible Preferred Units to a group of investors including CMTC according to two separate Class B Convertible Preferred Unit Subscription Agreements (the “Agreements”) that the Partnership had entered with this group of investors in 2012 and 2013.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described in the limited partnership agreement.</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the Agreements in cash. The minimum quarterly Class B Convertible Preferred Unit Distribution Rate shall be payable quarterly which is generally expected to be February 10, May 10, August 10 and November 10, or, if any such date is not a business day, the next succeeding business day.</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however, that the holder of a converted Class B Convertible Preferred Unit shall remain entitled to receive any accrued but unpaid distributions due with respect to such Unit on or as of the prior Class B Convertible Preferred Unit distribution payment date; and provided, further, that if the Partnership exercises the Partnership Mandatory Conversion Right to convert the Class B Convertible Preferred Units pursuant to this Agreements then the holders’ rights with respect to the distribution for the Quarter in which the Partnership Mandatory Conversion Notice is received is as set forth in the limited partnership agreement.</w:t>
      </w:r>
    </w:p>
    <w:p>
      <w:pPr>
        <w:spacing w:after="0" w:line="16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2015 and 2014 various holders of Class B Convertible Preferred Units including CMTC converted 1,240,404 and 4,698,484 Class B Convertible Preferred Units into common units respectively. As a result in the Partnership’s Consolidated Statements of Changes in Partners’ Capital, the Partnership’s Limited Partners-Preferred Unitholders decreased by $10,642 and $40,287 and Partnership’s Limited Partners-Common Unitholders, increased by $10,642 and $40,287, respectively for the years ended December 31, 2015, and 2014. The conversion rate was one common unit per one Class B Convertible Preferred Unit. During 2016 no such conversion occurred.</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2015 and 2014 CMTC converted 315,908 and 358,624 common units into general partner units respectively, in order for CGP to maintain its 2% interest in the Partnership. As a result in the Partnership’s Consolidated Statements of Changes in Partners’ Capital the Partnership’s Limited Partners-Common Unitholders decreased by $2,742 and $3,696 and General Partner increased by $2,742 and $3,696, respectively for the years ended December 31, 2015 and 2014. During 2016 CMTC did not convert any common units into general partners units.</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October 24, 2016, the Partnership issued 283,696 common units according to the terms of the share purchase agreement that the Partnership entered into with CMTC in order to partly finance the acquisition of the shares of the vessel owning company of M/T Amor (Notes 3, 5).</w:t>
      </w:r>
    </w:p>
    <w:p>
      <w:pPr>
        <w:spacing w:after="0" w:line="14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$50,000 (the “ATM offering”). The equity distribution agreement provides that UBS, when it is acting as the Partnership’s sales agent, will be entitled to compensation of up to 2% of the gross sales price of the common units sold through UBS from time to time. Since the launch of the ATM offering until December 31, 2016, the Partnership issued 1,401,481 new common units resulting in net proceeds of $4,546 after the payment of commission to the sales agent, but before offering expenses. For the year ended December 31, 2016, the Partnership recognized offering expenses of $890 in connection with the ATM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Partnership issued 850,000 common units under its Omnibus Incentive Compensation Plan (Note 13).</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April 2015, the Partnership completed successfully a follow-on equity offering of 14,555,000 common units, including 1,100,000 common units sold to CMTC and 1,755,000 common units representing the overallotment option at a net price of $9.53 per common unit, receiving proceeds of $133,327 after the deduction of the underwriters’ commissions. After the deduction of expenses relating to this equity offering, the net proceeds amounted to $132,588.</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2014, the Partnership completed successfully a follow-on equity offering of 17,250,000 common units, including 2,250,000 common units representing the overallotment option which was fully exercised, at a net price of $10.53 per common unit, receiving proceeds of $173,932 after the deduction of the underwriters’ commissions. After the deduction of expenses relating to this equity offering the net proceeds of this offering amounted to $173,504. The Partnership used an amount of $60,000 of the net proceeds to acquire common units from CMTC at a price per unit equal to the offering price (net of underwriting discount). The number of units acquired was equal to an aggregate of 5,950,610 common units which were cancelled immediately, in accordance with the terms of the offering. Furthermore, the Partnership used an additional amount of $30,224 of the net proceeds of the offering as an advance payment to CMTC in connection with the acquisition of the five new buildings described in the Master Agreement (Note 5). The remaining balance of the net proceeds of the offering was used by the Partnership to partly finance the acquisition cost of $311,500 of the new buildings from CMTC and for general Partnership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our partners’ capital included the following units: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920" w:type="dxa"/>
            <w:vAlign w:val="bottom"/>
            <w:gridSpan w:val="3"/>
          </w:tcPr>
          <w:p>
            <w:pPr>
              <w:ind w:left="620"/>
              <w:spacing w:after="0"/>
              <w:rPr>
                <w:sz w:val="20"/>
                <w:szCs w:val="20"/>
                <w:color w:val="auto"/>
              </w:rPr>
            </w:pPr>
            <w:r>
              <w:rPr>
                <w:rFonts w:ascii="Arial" w:cs="Arial" w:eastAsia="Arial" w:hAnsi="Arial"/>
                <w:sz w:val="14"/>
                <w:szCs w:val="14"/>
                <w:b w:val="1"/>
                <w:bCs w:val="1"/>
                <w:color w:val="auto"/>
                <w:w w:val="98"/>
              </w:rPr>
              <w:t>As of December 31,</w:t>
            </w:r>
          </w:p>
        </w:tc>
      </w:tr>
      <w:tr>
        <w:trPr>
          <w:trHeight w:val="176"/>
        </w:trPr>
        <w:tc>
          <w:tcPr>
            <w:tcW w:w="3660" w:type="dxa"/>
            <w:vAlign w:val="bottom"/>
          </w:tcPr>
          <w:p>
            <w:pPr>
              <w:spacing w:after="0"/>
              <w:rPr>
                <w:sz w:val="15"/>
                <w:szCs w:val="15"/>
                <w:color w:val="auto"/>
              </w:rPr>
            </w:pPr>
          </w:p>
        </w:tc>
        <w:tc>
          <w:tcPr>
            <w:tcW w:w="31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122,094,633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120,409,456</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partner units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2,439,989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2,439,989</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10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partnership units</w:t>
            </w:r>
          </w:p>
        </w:tc>
        <w:tc>
          <w:tcPr>
            <w:tcW w:w="19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137,517,955</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135,832,778</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April 29, 2008, the board of directors approved the Partnership’s Plan according to which the Partnership may issue a limited number of awards, not to exceed 500,000 units. The Plan was amended on July 22, 2010 increasing the aggregate number of restricted units issuable under the Plan to 800,000 which was then increased to 1,650,000 common units on August 21, 2014, at the annual general meeting of the Partnership’s unit holders.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and officers of the general partner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December 23, 2015 the Partnership awarded 240,000 and 610,000 unvested units to Employees and Non-Employees, respectively. Awards granted to certain Employees and Non Employees will vest in three equal annual instalments. The remaining awards will vest on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unvested units are conditional upon the grantee’s continued service as Employee and/or Non-Employee until the applicable vesting date.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unvested units accrued distributions as declared and paid which are retained by the custodian of the Plan until the vesting date at which time they are payable to the grantee. As unvested unit grantees accrued distributions on awards that are expected to vest, such distributions are charged to Partner’s capital. As of December 31, 2016 the unvested units accrued $324 of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of our plan: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860" w:type="dxa"/>
            <w:vAlign w:val="bottom"/>
            <w:gridSpan w:val="6"/>
          </w:tcPr>
          <w:p>
            <w:pPr>
              <w:ind w:left="180"/>
              <w:spacing w:after="0"/>
              <w:rPr>
                <w:sz w:val="20"/>
                <w:szCs w:val="20"/>
                <w:color w:val="auto"/>
              </w:rPr>
            </w:pPr>
            <w:r>
              <w:rPr>
                <w:rFonts w:ascii="Arial" w:cs="Arial" w:eastAsia="Arial" w:hAnsi="Arial"/>
                <w:sz w:val="14"/>
                <w:szCs w:val="14"/>
                <w:b w:val="1"/>
                <w:bCs w:val="1"/>
                <w:color w:val="auto"/>
              </w:rPr>
              <w:t>Employee equity compensation</w:t>
            </w:r>
          </w:p>
        </w:tc>
        <w:tc>
          <w:tcPr>
            <w:tcW w:w="2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Non-Employee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Grant-date fair</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value</w:t>
            </w:r>
          </w:p>
        </w:tc>
        <w:tc>
          <w:tcPr>
            <w:tcW w:w="1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Unvested on</w:t>
            </w:r>
          </w:p>
        </w:tc>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680" w:type="dxa"/>
            <w:vAlign w:val="bottom"/>
          </w:tcPr>
          <w:p>
            <w:pPr>
              <w:jc w:val="right"/>
              <w:spacing w:after="0"/>
              <w:rPr>
                <w:sz w:val="20"/>
                <w:szCs w:val="20"/>
                <w:color w:val="auto"/>
              </w:rPr>
            </w:pPr>
            <w:r>
              <w:rPr>
                <w:rFonts w:ascii="Arial" w:cs="Arial" w:eastAsia="Arial" w:hAnsi="Arial"/>
                <w:sz w:val="18"/>
                <w:szCs w:val="18"/>
                <w:color w:val="auto"/>
              </w:rPr>
              <w:t>33,332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184</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117,500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1,141</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rPr>
              <w:t>F-27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Compensation Plan - Continued</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the years ended December 31, 2016, 2015, and 2014 the equity compensation expense that has been charged in the consolidated statements of comprehensive income was $439, $10 and $0 for the Employee awards and $635, $24 and $0 for the Non-Employee awards, respectively. This expense has been included in general and administrative expenses in the consolidated statements of comprehensive income for each respective year.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the total compensation cost related to non vested awards is $2,157 and is expected to be recognized over a weighted average period of two years. The Partnership uses the straight-line method to recognize the cost of the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Unit</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guidance also considers whether the partnership agreement contains any contractual limitations concerning distributions to the IDRs that would impact the amount of earnings to allocate to the IDRs for each reporting period.</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the partnership agreement, the holder of the IDRs in the Partnership, which is currently CGP, assuming that there are no cumulative arrearages on common unit distributions, has the right to receive an increasing percentage of cash distributions (Note 12). The Partnership excluded the effect of the 12,983,333, 12,983,333 and 14,223,737 Class B Convertible Preferred Units in calculating dilutive EPU as of December 31, 2016, 2015 and 2014, respectively as they were anti-dilutive.</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2016 and 2015 the Partnership excluded the effect of 699,168 and 850,000 non-vested unit awards in calculating dilutive EPU for its common unitholders as they were anti-dilutive. As of December 31, 2014 there were no non-vested units. The non-vested units are participating securities because they received distributions from the Partnership and these distributions do not have to be returned to the Partnership if the non-vested units are forfeited by the grantee.</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Partnership’s net income for the years ended December 31, 2016, 2015 and 2014 did not exceed the First Target Distribution Level, and as a result, the assumed distribution of net income did not result in the use of increasing percentages to calculate CGP’s interest in net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two class method used to calculate EPU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BASIC AND DILUTED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76"/>
        </w:trPr>
        <w:tc>
          <w:tcPr>
            <w:tcW w:w="9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Numerators</w:t>
            </w: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Partnership’s net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52,489</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55,410</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44,012</w:t>
            </w: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w w:val="94"/>
              </w:rPr>
              <w:t>Preferred unit holders’ interest in Partnership’s net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14,042</w:t>
            </w: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Partnership’s net income allocable to unvested units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Common unit holders’ interest in Partnership’s net income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40,285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43,189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29,377</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Denominators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common units outstanding,</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119,803,329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115,030,879</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93,353,168</w:t>
            </w: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Net income per common unit:</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0.31</w:t>
            </w:r>
          </w:p>
        </w:tc>
      </w:tr>
      <w:tr>
        <w:trPr>
          <w:trHeight w:val="372"/>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F-28</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Hyundai Merchant Marine Co. Ltd (“HMM”) charters restructuring</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HMM, the charterer of five of the Partnership’s vessels, namely Hyundai Prestige, Hyundai Premium, Hyundai Paramount, Hyundai Privilege and Hyundai Platinum (the “HMM Vessels”), each under time charter expiring in 2024 and 2025, has experienced financial difficulties and has pursued a financial restructuring involving various creditors and vessel owners.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part of the various agreements that HMM reached with its creditors and vessel owners under its voluntary debt restructuring, the owning companies of the HMM Vessels entered into a Charter Restructuring Agreement on July 15, 2016. This agreement provides for the reduction of the gross charter rate payable under the respective charter parties by 20% to $23.5 per day from $29.4, for a three and a half year period starting in July 2016 and ending in December 2019 (the “Charter Reduction Period”). As compensation the Partnership received 4,398,910 HMM common shares on August 4, 2016, which the Partnership recognized as a “Trading asset” at the amount of $29,706 being the fair value of the shares with a corresponding “Deferred revenue, current” and “Deferred revenue” to be amortized within revenue over the remaining duration of each time charter. The shares were immediately sold on the Stock Market Division of the Korean Exchange for aggregate cash consideration of $29,706. The Charter Restructuring Agreement further provides that at the end of the Charter Reduction Period, the charter rate under the respective charter parties will be restored to the original daily rate of $29.4 until the expiry of each charter in 2024 and 2025.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42" w:lineRule="exact"/>
        <w:rPr>
          <w:sz w:val="20"/>
          <w:szCs w:val="20"/>
          <w:color w:val="auto"/>
        </w:rPr>
      </w:pPr>
    </w:p>
    <w:p>
      <w:pPr>
        <w:ind w:left="900" w:hanging="446"/>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252" w:lineRule="exact"/>
        <w:rPr>
          <w:sz w:val="20"/>
          <w:szCs w:val="20"/>
          <w:color w:val="auto"/>
        </w:rPr>
      </w:pPr>
    </w:p>
    <w:p>
      <w:pPr>
        <w:ind w:left="900" w:right="240" w:hanging="446"/>
        <w:spacing w:after="0" w:line="277" w:lineRule="auto"/>
        <w:tabs>
          <w:tab w:leader="none" w:pos="900"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Future minimum charter hire receipts, excluding any profit share revenue that may arise, based on non-cancellable long-term time and bareboat charter contracts, as of December 31, 2016 were: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40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2018</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141,801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89,965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766,526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35" w:lineRule="exact"/>
        <w:rPr>
          <w:sz w:val="20"/>
          <w:szCs w:val="20"/>
          <w:color w:val="auto"/>
        </w:rPr>
      </w:pPr>
    </w:p>
    <w:p>
      <w:pPr>
        <w:ind w:left="460" w:right="160" w:hanging="452"/>
        <w:spacing w:after="0" w:line="342" w:lineRule="auto"/>
        <w:tabs>
          <w:tab w:leader="none" w:pos="460" w:val="left"/>
        </w:tabs>
        <w:numPr>
          <w:ilvl w:val="0"/>
          <w:numId w:val="18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On January 18, 2017, the board of directors of the Partnership declared a cash distribution of $0.08 per common unit for the fourth quarter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2016. The fourth quarter common unit cash distribution will be paid on February 15, 2017, to unit holders of record on February 6, 2017.</w:t>
      </w:r>
    </w:p>
    <w:p>
      <w:pPr>
        <w:spacing w:after="0" w:line="29" w:lineRule="exact"/>
        <w:rPr>
          <w:rFonts w:ascii="Arial" w:cs="Arial" w:eastAsia="Arial" w:hAnsi="Arial"/>
          <w:sz w:val="16"/>
          <w:szCs w:val="16"/>
          <w:b w:val="1"/>
          <w:bCs w:val="1"/>
          <w:i w:val="1"/>
          <w:iCs w:val="1"/>
          <w:color w:val="auto"/>
        </w:rPr>
      </w:pPr>
    </w:p>
    <w:p>
      <w:pPr>
        <w:ind w:left="460" w:right="520" w:hanging="452"/>
        <w:spacing w:after="0" w:line="308" w:lineRule="auto"/>
        <w:tabs>
          <w:tab w:leader="none" w:pos="460" w:val="left"/>
        </w:tabs>
        <w:numPr>
          <w:ilvl w:val="0"/>
          <w:numId w:val="1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On January 18, 2017, the board of directors of the Partnership declared a cash distribution of $0.21375 per Class B unit for the fourth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2016. The cash distribution will be paid on February 10, 2017, to Class B unit holders of record on February 3, 2017.</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4.22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19 November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FILONIKIS PRODUCT CARRIER S.A.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HELIOS PRODUCT CARRIER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HERCULES PRODUCT CARRIER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IASON PRODUCT CARRIER S.A. </w:t>
      </w: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ARCHON PRODUCT CARRIER 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Borrowers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ING BANK N.V., LONDON BRANCH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Facility Agent and Security Trustee</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ING BANK N.V.</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ind w:left="1460" w:right="2660"/>
        <w:spacing w:after="0" w:line="271" w:lineRule="auto"/>
        <w:rPr>
          <w:sz w:val="20"/>
          <w:szCs w:val="20"/>
          <w:color w:val="auto"/>
        </w:rPr>
      </w:pPr>
      <w:r>
        <w:rPr>
          <w:rFonts w:ascii="Arial" w:cs="Arial" w:eastAsia="Arial" w:hAnsi="Arial"/>
          <w:sz w:val="17"/>
          <w:szCs w:val="17"/>
          <w:color w:val="auto"/>
        </w:rPr>
        <w:t>relating to a pre-and post-delivery secured term loan facility of up to US$97,830,000 to refinance in part and to finance part of the construction and acquisition cost of five product oil/chemical tankers being constructed by</w:t>
      </w:r>
    </w:p>
    <w:p>
      <w:pPr>
        <w:ind w:left="1720"/>
        <w:spacing w:after="0"/>
        <w:rPr>
          <w:sz w:val="20"/>
          <w:szCs w:val="20"/>
          <w:color w:val="auto"/>
        </w:rPr>
      </w:pPr>
      <w:r>
        <w:rPr>
          <w:rFonts w:ascii="Arial" w:cs="Arial" w:eastAsia="Arial" w:hAnsi="Arial"/>
          <w:sz w:val="18"/>
          <w:szCs w:val="18"/>
          <w:color w:val="auto"/>
        </w:rPr>
        <w:t>Samsung Heavy Industries (Ningbo) Co. Ltd., the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160020</wp:posOffset>
            </wp:positionV>
            <wp:extent cx="763270" cy="274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3270" cy="27432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940" w:type="dxa"/>
            <w:vAlign w:val="bottom"/>
          </w:tcPr>
          <w:p>
            <w:pPr>
              <w:jc w:val="right"/>
              <w:ind w:right="5291"/>
              <w:spacing w:after="0"/>
              <w:rPr>
                <w:sz w:val="20"/>
                <w:szCs w:val="20"/>
                <w:color w:val="auto"/>
              </w:rPr>
            </w:pPr>
            <w:r>
              <w:rPr>
                <w:rFonts w:ascii="Arial" w:cs="Arial" w:eastAsia="Arial" w:hAnsi="Arial"/>
                <w:sz w:val="18"/>
                <w:szCs w:val="18"/>
                <w:b w:val="1"/>
                <w:bCs w:val="1"/>
                <w:color w:val="auto"/>
              </w:rPr>
              <w:t>Index</w:t>
            </w:r>
          </w:p>
        </w:tc>
      </w:tr>
      <w:tr>
        <w:trPr>
          <w:trHeight w:val="407"/>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Clause</w:t>
            </w:r>
          </w:p>
        </w:tc>
        <w:tc>
          <w:tcPr>
            <w:tcW w:w="4880" w:type="dxa"/>
            <w:vAlign w:val="bottom"/>
          </w:tcPr>
          <w:p>
            <w:pPr>
              <w:spacing w:after="0"/>
              <w:rPr>
                <w:sz w:val="24"/>
                <w:szCs w:val="24"/>
                <w:color w:val="auto"/>
              </w:rPr>
            </w:pPr>
          </w:p>
        </w:tc>
        <w:tc>
          <w:tcPr>
            <w:tcW w:w="5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88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5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880" w:type="dxa"/>
            <w:vAlign w:val="bottom"/>
          </w:tcPr>
          <w:p>
            <w:pPr>
              <w:ind w:left="40"/>
              <w:spacing w:after="0"/>
              <w:rPr>
                <w:sz w:val="20"/>
                <w:szCs w:val="20"/>
                <w:color w:val="auto"/>
              </w:rPr>
            </w:pPr>
            <w:r>
              <w:rPr>
                <w:rFonts w:ascii="Arial" w:cs="Arial" w:eastAsia="Arial" w:hAnsi="Arial"/>
                <w:sz w:val="18"/>
                <w:szCs w:val="18"/>
                <w:color w:val="auto"/>
              </w:rPr>
              <w:t>Facility</w:t>
            </w:r>
          </w:p>
        </w:tc>
        <w:tc>
          <w:tcPr>
            <w:tcW w:w="5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880" w:type="dxa"/>
            <w:vAlign w:val="bottom"/>
          </w:tcPr>
          <w:p>
            <w:pPr>
              <w:ind w:left="40"/>
              <w:spacing w:after="0"/>
              <w:rPr>
                <w:sz w:val="20"/>
                <w:szCs w:val="20"/>
                <w:color w:val="auto"/>
              </w:rPr>
            </w:pPr>
            <w:r>
              <w:rPr>
                <w:rFonts w:ascii="Arial" w:cs="Arial" w:eastAsia="Arial" w:hAnsi="Arial"/>
                <w:sz w:val="18"/>
                <w:szCs w:val="18"/>
                <w:color w:val="auto"/>
                <w:w w:val="92"/>
              </w:rPr>
              <w:t>Position of the Lenders, the Swap Bank and the Majority Lenders</w:t>
            </w:r>
          </w:p>
        </w:tc>
        <w:tc>
          <w:tcPr>
            <w:tcW w:w="5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880" w:type="dxa"/>
            <w:vAlign w:val="bottom"/>
          </w:tcPr>
          <w:p>
            <w:pPr>
              <w:ind w:left="40"/>
              <w:spacing w:after="0"/>
              <w:rPr>
                <w:sz w:val="20"/>
                <w:szCs w:val="20"/>
                <w:color w:val="auto"/>
              </w:rPr>
            </w:pPr>
            <w:r>
              <w:rPr>
                <w:rFonts w:ascii="Arial" w:cs="Arial" w:eastAsia="Arial" w:hAnsi="Arial"/>
                <w:sz w:val="18"/>
                <w:szCs w:val="18"/>
                <w:color w:val="auto"/>
              </w:rPr>
              <w:t>Drawdown and Dropdown Option</w:t>
            </w:r>
          </w:p>
        </w:tc>
        <w:tc>
          <w:tcPr>
            <w:tcW w:w="5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880" w:type="dxa"/>
            <w:vAlign w:val="bottom"/>
          </w:tcPr>
          <w:p>
            <w:pPr>
              <w:ind w:left="40"/>
              <w:spacing w:after="0"/>
              <w:rPr>
                <w:sz w:val="20"/>
                <w:szCs w:val="20"/>
                <w:color w:val="auto"/>
              </w:rPr>
            </w:pPr>
            <w:r>
              <w:rPr>
                <w:rFonts w:ascii="Arial" w:cs="Arial" w:eastAsia="Arial" w:hAnsi="Arial"/>
                <w:sz w:val="18"/>
                <w:szCs w:val="18"/>
                <w:color w:val="auto"/>
              </w:rPr>
              <w:t>Interest</w:t>
            </w:r>
          </w:p>
        </w:tc>
        <w:tc>
          <w:tcPr>
            <w:tcW w:w="5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880" w:type="dxa"/>
            <w:vAlign w:val="bottom"/>
          </w:tcPr>
          <w:p>
            <w:pPr>
              <w:ind w:left="40"/>
              <w:spacing w:after="0"/>
              <w:rPr>
                <w:sz w:val="20"/>
                <w:szCs w:val="20"/>
                <w:color w:val="auto"/>
              </w:rPr>
            </w:pPr>
            <w:r>
              <w:rPr>
                <w:rFonts w:ascii="Arial" w:cs="Arial" w:eastAsia="Arial" w:hAnsi="Arial"/>
                <w:sz w:val="18"/>
                <w:szCs w:val="18"/>
                <w:color w:val="auto"/>
              </w:rPr>
              <w:t>Interest Periods</w:t>
            </w:r>
          </w:p>
        </w:tc>
        <w:tc>
          <w:tcPr>
            <w:tcW w:w="5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880" w:type="dxa"/>
            <w:vAlign w:val="bottom"/>
          </w:tcPr>
          <w:p>
            <w:pPr>
              <w:ind w:left="40"/>
              <w:spacing w:after="0"/>
              <w:rPr>
                <w:sz w:val="20"/>
                <w:szCs w:val="20"/>
                <w:color w:val="auto"/>
              </w:rPr>
            </w:pPr>
            <w:r>
              <w:rPr>
                <w:rFonts w:ascii="Arial" w:cs="Arial" w:eastAsia="Arial" w:hAnsi="Arial"/>
                <w:sz w:val="18"/>
                <w:szCs w:val="18"/>
                <w:color w:val="auto"/>
              </w:rPr>
              <w:t>Default Interest</w:t>
            </w:r>
          </w:p>
        </w:tc>
        <w:tc>
          <w:tcPr>
            <w:tcW w:w="5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880" w:type="dxa"/>
            <w:vAlign w:val="bottom"/>
          </w:tcPr>
          <w:p>
            <w:pPr>
              <w:ind w:left="40"/>
              <w:spacing w:after="0"/>
              <w:rPr>
                <w:sz w:val="20"/>
                <w:szCs w:val="20"/>
                <w:color w:val="auto"/>
              </w:rPr>
            </w:pPr>
            <w:r>
              <w:rPr>
                <w:rFonts w:ascii="Arial" w:cs="Arial" w:eastAsia="Arial" w:hAnsi="Arial"/>
                <w:sz w:val="18"/>
                <w:szCs w:val="18"/>
                <w:color w:val="auto"/>
              </w:rPr>
              <w:t>Repayment and Prepayment</w:t>
            </w:r>
          </w:p>
        </w:tc>
        <w:tc>
          <w:tcPr>
            <w:tcW w:w="5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880" w:type="dxa"/>
            <w:vAlign w:val="bottom"/>
          </w:tcPr>
          <w:p>
            <w:pPr>
              <w:ind w:left="40"/>
              <w:spacing w:after="0"/>
              <w:rPr>
                <w:sz w:val="20"/>
                <w:szCs w:val="20"/>
                <w:color w:val="auto"/>
              </w:rPr>
            </w:pPr>
            <w:r>
              <w:rPr>
                <w:rFonts w:ascii="Arial" w:cs="Arial" w:eastAsia="Arial" w:hAnsi="Arial"/>
                <w:sz w:val="18"/>
                <w:szCs w:val="18"/>
                <w:color w:val="auto"/>
              </w:rPr>
              <w:t>Conditions Precedent /Subsequent</w:t>
            </w:r>
          </w:p>
        </w:tc>
        <w:tc>
          <w:tcPr>
            <w:tcW w:w="5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88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5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880" w:type="dxa"/>
            <w:vAlign w:val="bottom"/>
          </w:tcPr>
          <w:p>
            <w:pPr>
              <w:ind w:left="40"/>
              <w:spacing w:after="0"/>
              <w:rPr>
                <w:sz w:val="20"/>
                <w:szCs w:val="20"/>
                <w:color w:val="auto"/>
              </w:rPr>
            </w:pPr>
            <w:r>
              <w:rPr>
                <w:rFonts w:ascii="Arial" w:cs="Arial" w:eastAsia="Arial" w:hAnsi="Arial"/>
                <w:sz w:val="18"/>
                <w:szCs w:val="18"/>
                <w:color w:val="auto"/>
              </w:rPr>
              <w:t>General Undertakings</w:t>
            </w:r>
          </w:p>
        </w:tc>
        <w:tc>
          <w:tcPr>
            <w:tcW w:w="5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880" w:type="dxa"/>
            <w:vAlign w:val="bottom"/>
          </w:tcPr>
          <w:p>
            <w:pPr>
              <w:ind w:left="40"/>
              <w:spacing w:after="0"/>
              <w:rPr>
                <w:sz w:val="20"/>
                <w:szCs w:val="20"/>
                <w:color w:val="auto"/>
              </w:rPr>
            </w:pPr>
            <w:r>
              <w:rPr>
                <w:rFonts w:ascii="Arial" w:cs="Arial" w:eastAsia="Arial" w:hAnsi="Arial"/>
                <w:sz w:val="18"/>
                <w:szCs w:val="18"/>
                <w:color w:val="auto"/>
              </w:rPr>
              <w:t>Corporate Undertakings</w:t>
            </w:r>
          </w:p>
        </w:tc>
        <w:tc>
          <w:tcPr>
            <w:tcW w:w="5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8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5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880" w:type="dxa"/>
            <w:vAlign w:val="bottom"/>
          </w:tcPr>
          <w:p>
            <w:pPr>
              <w:ind w:left="40"/>
              <w:spacing w:after="0"/>
              <w:rPr>
                <w:sz w:val="20"/>
                <w:szCs w:val="20"/>
                <w:color w:val="auto"/>
              </w:rPr>
            </w:pPr>
            <w:r>
              <w:rPr>
                <w:rFonts w:ascii="Arial" w:cs="Arial" w:eastAsia="Arial" w:hAnsi="Arial"/>
                <w:sz w:val="18"/>
                <w:szCs w:val="18"/>
                <w:color w:val="auto"/>
              </w:rPr>
              <w:t>Ship covenants</w:t>
            </w:r>
          </w:p>
        </w:tc>
        <w:tc>
          <w:tcPr>
            <w:tcW w:w="5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880" w:type="dxa"/>
            <w:vAlign w:val="bottom"/>
          </w:tcPr>
          <w:p>
            <w:pPr>
              <w:ind w:left="40"/>
              <w:spacing w:after="0"/>
              <w:rPr>
                <w:sz w:val="20"/>
                <w:szCs w:val="20"/>
                <w:color w:val="auto"/>
              </w:rPr>
            </w:pPr>
            <w:r>
              <w:rPr>
                <w:rFonts w:ascii="Arial" w:cs="Arial" w:eastAsia="Arial" w:hAnsi="Arial"/>
                <w:sz w:val="18"/>
                <w:szCs w:val="18"/>
                <w:color w:val="auto"/>
              </w:rPr>
              <w:t>Security Cover</w:t>
            </w:r>
          </w:p>
        </w:tc>
        <w:tc>
          <w:tcPr>
            <w:tcW w:w="5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880" w:type="dxa"/>
            <w:vAlign w:val="bottom"/>
          </w:tcPr>
          <w:p>
            <w:pPr>
              <w:ind w:left="40"/>
              <w:spacing w:after="0"/>
              <w:rPr>
                <w:sz w:val="20"/>
                <w:szCs w:val="20"/>
                <w:color w:val="auto"/>
              </w:rPr>
            </w:pPr>
            <w:r>
              <w:rPr>
                <w:rFonts w:ascii="Arial" w:cs="Arial" w:eastAsia="Arial" w:hAnsi="Arial"/>
                <w:sz w:val="18"/>
                <w:szCs w:val="18"/>
                <w:color w:val="auto"/>
              </w:rPr>
              <w:t>Payments and Calculations</w:t>
            </w:r>
          </w:p>
        </w:tc>
        <w:tc>
          <w:tcPr>
            <w:tcW w:w="5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880" w:type="dxa"/>
            <w:vAlign w:val="bottom"/>
          </w:tcPr>
          <w:p>
            <w:pPr>
              <w:ind w:left="40"/>
              <w:spacing w:after="0"/>
              <w:rPr>
                <w:sz w:val="20"/>
                <w:szCs w:val="20"/>
                <w:color w:val="auto"/>
              </w:rPr>
            </w:pPr>
            <w:r>
              <w:rPr>
                <w:rFonts w:ascii="Arial" w:cs="Arial" w:eastAsia="Arial" w:hAnsi="Arial"/>
                <w:sz w:val="18"/>
                <w:szCs w:val="18"/>
                <w:color w:val="auto"/>
              </w:rPr>
              <w:t>Application of Receipts</w:t>
            </w:r>
          </w:p>
        </w:tc>
        <w:tc>
          <w:tcPr>
            <w:tcW w:w="5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880" w:type="dxa"/>
            <w:vAlign w:val="bottom"/>
          </w:tcPr>
          <w:p>
            <w:pPr>
              <w:ind w:left="40"/>
              <w:spacing w:after="0"/>
              <w:rPr>
                <w:sz w:val="20"/>
                <w:szCs w:val="20"/>
                <w:color w:val="auto"/>
              </w:rPr>
            </w:pPr>
            <w:r>
              <w:rPr>
                <w:rFonts w:ascii="Arial" w:cs="Arial" w:eastAsia="Arial" w:hAnsi="Arial"/>
                <w:sz w:val="18"/>
                <w:szCs w:val="18"/>
                <w:color w:val="auto"/>
              </w:rPr>
              <w:t>Application of Earnings</w:t>
            </w:r>
          </w:p>
        </w:tc>
        <w:tc>
          <w:tcPr>
            <w:tcW w:w="5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4880" w:type="dxa"/>
            <w:vAlign w:val="bottom"/>
          </w:tcPr>
          <w:p>
            <w:pPr>
              <w:ind w:left="40"/>
              <w:spacing w:after="0"/>
              <w:rPr>
                <w:sz w:val="20"/>
                <w:szCs w:val="20"/>
                <w:color w:val="auto"/>
              </w:rPr>
            </w:pPr>
            <w:r>
              <w:rPr>
                <w:rFonts w:ascii="Arial" w:cs="Arial" w:eastAsia="Arial" w:hAnsi="Arial"/>
                <w:sz w:val="18"/>
                <w:szCs w:val="18"/>
                <w:color w:val="auto"/>
              </w:rPr>
              <w:t>Event of Default</w:t>
            </w:r>
          </w:p>
        </w:tc>
        <w:tc>
          <w:tcPr>
            <w:tcW w:w="5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488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5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880" w:type="dxa"/>
            <w:vAlign w:val="bottom"/>
          </w:tcPr>
          <w:p>
            <w:pPr>
              <w:ind w:left="40"/>
              <w:spacing w:after="0"/>
              <w:rPr>
                <w:sz w:val="20"/>
                <w:szCs w:val="20"/>
                <w:color w:val="auto"/>
              </w:rPr>
            </w:pPr>
            <w:r>
              <w:rPr>
                <w:rFonts w:ascii="Arial" w:cs="Arial" w:eastAsia="Arial" w:hAnsi="Arial"/>
                <w:sz w:val="18"/>
                <w:szCs w:val="18"/>
                <w:color w:val="auto"/>
              </w:rPr>
              <w:t>Indemnities</w:t>
            </w:r>
          </w:p>
        </w:tc>
        <w:tc>
          <w:tcPr>
            <w:tcW w:w="5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880" w:type="dxa"/>
            <w:vAlign w:val="bottom"/>
          </w:tcPr>
          <w:p>
            <w:pPr>
              <w:ind w:left="40"/>
              <w:spacing w:after="0"/>
              <w:rPr>
                <w:sz w:val="20"/>
                <w:szCs w:val="20"/>
                <w:color w:val="auto"/>
              </w:rPr>
            </w:pPr>
            <w:r>
              <w:rPr>
                <w:rFonts w:ascii="Arial" w:cs="Arial" w:eastAsia="Arial" w:hAnsi="Arial"/>
                <w:sz w:val="18"/>
                <w:szCs w:val="18"/>
                <w:color w:val="auto"/>
              </w:rPr>
              <w:t>No Set-Off or Tax Deduction</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880" w:type="dxa"/>
            <w:vAlign w:val="bottom"/>
          </w:tcPr>
          <w:p>
            <w:pPr>
              <w:ind w:left="40"/>
              <w:spacing w:after="0"/>
              <w:rPr>
                <w:sz w:val="20"/>
                <w:szCs w:val="20"/>
                <w:color w:val="auto"/>
              </w:rPr>
            </w:pPr>
            <w:r>
              <w:rPr>
                <w:rFonts w:ascii="Arial" w:cs="Arial" w:eastAsia="Arial" w:hAnsi="Arial"/>
                <w:sz w:val="18"/>
                <w:szCs w:val="18"/>
                <w:color w:val="auto"/>
              </w:rPr>
              <w:t>Illegality, etc</w:t>
            </w:r>
          </w:p>
        </w:tc>
        <w:tc>
          <w:tcPr>
            <w:tcW w:w="5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88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5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880" w:type="dxa"/>
            <w:vAlign w:val="bottom"/>
          </w:tcPr>
          <w:p>
            <w:pPr>
              <w:ind w:left="40"/>
              <w:spacing w:after="0"/>
              <w:rPr>
                <w:sz w:val="20"/>
                <w:szCs w:val="20"/>
                <w:color w:val="auto"/>
              </w:rPr>
            </w:pPr>
            <w:r>
              <w:rPr>
                <w:rFonts w:ascii="Arial" w:cs="Arial" w:eastAsia="Arial" w:hAnsi="Arial"/>
                <w:sz w:val="18"/>
                <w:szCs w:val="18"/>
                <w:color w:val="auto"/>
              </w:rPr>
              <w:t>Set-Off</w:t>
            </w:r>
          </w:p>
        </w:tc>
        <w:tc>
          <w:tcPr>
            <w:tcW w:w="5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880" w:type="dxa"/>
            <w:vAlign w:val="bottom"/>
          </w:tcPr>
          <w:p>
            <w:pPr>
              <w:ind w:left="40"/>
              <w:spacing w:after="0"/>
              <w:rPr>
                <w:sz w:val="20"/>
                <w:szCs w:val="20"/>
                <w:color w:val="auto"/>
              </w:rPr>
            </w:pPr>
            <w:r>
              <w:rPr>
                <w:rFonts w:ascii="Arial" w:cs="Arial" w:eastAsia="Arial" w:hAnsi="Arial"/>
                <w:sz w:val="18"/>
                <w:szCs w:val="18"/>
                <w:color w:val="auto"/>
              </w:rPr>
              <w:t>Transfers and Changes in Lending Offices</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880" w:type="dxa"/>
            <w:vAlign w:val="bottom"/>
          </w:tcPr>
          <w:p>
            <w:pPr>
              <w:ind w:left="40"/>
              <w:spacing w:after="0"/>
              <w:rPr>
                <w:sz w:val="20"/>
                <w:szCs w:val="20"/>
                <w:color w:val="auto"/>
              </w:rPr>
            </w:pPr>
            <w:r>
              <w:rPr>
                <w:rFonts w:ascii="Arial" w:cs="Arial" w:eastAsia="Arial" w:hAnsi="Arial"/>
                <w:sz w:val="18"/>
                <w:szCs w:val="18"/>
                <w:color w:val="auto"/>
              </w:rPr>
              <w:t>Variations and Waivers</w:t>
            </w:r>
          </w:p>
        </w:tc>
        <w:tc>
          <w:tcPr>
            <w:tcW w:w="5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4880" w:type="dxa"/>
            <w:vAlign w:val="bottom"/>
          </w:tcPr>
          <w:p>
            <w:pPr>
              <w:ind w:left="40"/>
              <w:spacing w:after="0"/>
              <w:rPr>
                <w:sz w:val="20"/>
                <w:szCs w:val="20"/>
                <w:color w:val="auto"/>
              </w:rPr>
            </w:pPr>
            <w:r>
              <w:rPr>
                <w:rFonts w:ascii="Arial" w:cs="Arial" w:eastAsia="Arial" w:hAnsi="Arial"/>
                <w:sz w:val="18"/>
                <w:szCs w:val="18"/>
                <w:color w:val="auto"/>
              </w:rPr>
              <w:t>Notices</w:t>
            </w:r>
          </w:p>
        </w:tc>
        <w:tc>
          <w:tcPr>
            <w:tcW w:w="5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4880" w:type="dxa"/>
            <w:vAlign w:val="bottom"/>
          </w:tcPr>
          <w:p>
            <w:pPr>
              <w:ind w:left="40"/>
              <w:spacing w:after="0"/>
              <w:rPr>
                <w:sz w:val="20"/>
                <w:szCs w:val="20"/>
                <w:color w:val="auto"/>
              </w:rPr>
            </w:pPr>
            <w:r>
              <w:rPr>
                <w:rFonts w:ascii="Arial" w:cs="Arial" w:eastAsia="Arial" w:hAnsi="Arial"/>
                <w:sz w:val="18"/>
                <w:szCs w:val="18"/>
                <w:color w:val="auto"/>
              </w:rPr>
              <w:t>Joint and Several Liability</w:t>
            </w:r>
          </w:p>
        </w:tc>
        <w:tc>
          <w:tcPr>
            <w:tcW w:w="5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488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5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880" w:type="dxa"/>
            <w:vAlign w:val="bottom"/>
          </w:tcPr>
          <w:p>
            <w:pPr>
              <w:ind w:left="40"/>
              <w:spacing w:after="0"/>
              <w:rPr>
                <w:sz w:val="20"/>
                <w:szCs w:val="20"/>
                <w:color w:val="auto"/>
              </w:rPr>
            </w:pPr>
            <w:r>
              <w:rPr>
                <w:rFonts w:ascii="Arial" w:cs="Arial" w:eastAsia="Arial" w:hAnsi="Arial"/>
                <w:sz w:val="18"/>
                <w:szCs w:val="18"/>
                <w:color w:val="auto"/>
              </w:rPr>
              <w:t>Supplemental</w:t>
            </w:r>
          </w:p>
        </w:tc>
        <w:tc>
          <w:tcPr>
            <w:tcW w:w="5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880" w:type="dxa"/>
            <w:vAlign w:val="bottom"/>
          </w:tcPr>
          <w:p>
            <w:pPr>
              <w:ind w:left="40"/>
              <w:spacing w:after="0"/>
              <w:rPr>
                <w:sz w:val="20"/>
                <w:szCs w:val="20"/>
                <w:color w:val="auto"/>
              </w:rPr>
            </w:pPr>
            <w:r>
              <w:rPr>
                <w:rFonts w:ascii="Arial" w:cs="Arial" w:eastAsia="Arial" w:hAnsi="Arial"/>
                <w:sz w:val="18"/>
                <w:szCs w:val="18"/>
                <w:color w:val="auto"/>
              </w:rPr>
              <w:t>Law and Jurisdiction</w:t>
            </w:r>
          </w:p>
        </w:tc>
        <w:tc>
          <w:tcPr>
            <w:tcW w:w="5940" w:type="dxa"/>
            <w:vAlign w:val="bottom"/>
          </w:tcPr>
          <w:p>
            <w:pPr>
              <w:jc w:val="right"/>
              <w:spacing w:after="0"/>
              <w:rPr>
                <w:sz w:val="20"/>
                <w:szCs w:val="20"/>
                <w:color w:val="auto"/>
              </w:rPr>
            </w:pPr>
            <w:r>
              <w:rPr>
                <w:rFonts w:ascii="Arial" w:cs="Arial" w:eastAsia="Arial" w:hAnsi="Arial"/>
                <w:sz w:val="18"/>
                <w:szCs w:val="18"/>
                <w:color w:val="auto"/>
              </w:rPr>
              <w:t>100</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4" w:name="page175"/>
    <w:bookmarkEnd w:id="17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LOAN AGREEMENT </w:t>
      </w:r>
      <w:r>
        <w:rPr>
          <w:rFonts w:ascii="Arial" w:cs="Arial" w:eastAsia="Arial" w:hAnsi="Arial"/>
          <w:sz w:val="20"/>
          <w:szCs w:val="20"/>
          <w:color w:val="auto"/>
        </w:rPr>
        <w:t>is made on 19 November 2015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31" w:lineRule="exact"/>
        <w:rPr>
          <w:sz w:val="20"/>
          <w:szCs w:val="20"/>
          <w:color w:val="auto"/>
        </w:rPr>
      </w:pPr>
    </w:p>
    <w:p>
      <w:pPr>
        <w:ind w:left="920" w:hanging="912"/>
        <w:spacing w:after="0" w:line="266" w:lineRule="auto"/>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FILONIKIS PRODUCT CARRIER S.A.</w:t>
      </w:r>
      <w:r>
        <w:rPr>
          <w:rFonts w:ascii="Arial" w:cs="Arial" w:eastAsia="Arial" w:hAnsi="Arial"/>
          <w:sz w:val="18"/>
          <w:szCs w:val="18"/>
          <w:color w:val="auto"/>
        </w:rPr>
        <w:t>,</w:t>
      </w:r>
      <w:r>
        <w:rPr>
          <w:rFonts w:ascii="Arial" w:cs="Arial" w:eastAsia="Arial" w:hAnsi="Arial"/>
          <w:sz w:val="18"/>
          <w:szCs w:val="18"/>
          <w:b w:val="1"/>
          <w:bCs w:val="1"/>
          <w:color w:val="auto"/>
        </w:rPr>
        <w:t xml:space="preserve"> HELIOS PRODUCT CARRIER S.A.</w:t>
      </w:r>
      <w:r>
        <w:rPr>
          <w:rFonts w:ascii="Arial" w:cs="Arial" w:eastAsia="Arial" w:hAnsi="Arial"/>
          <w:sz w:val="18"/>
          <w:szCs w:val="18"/>
          <w:color w:val="auto"/>
        </w:rPr>
        <w:t>,</w:t>
      </w:r>
      <w:r>
        <w:rPr>
          <w:rFonts w:ascii="Arial" w:cs="Arial" w:eastAsia="Arial" w:hAnsi="Arial"/>
          <w:sz w:val="18"/>
          <w:szCs w:val="18"/>
          <w:b w:val="1"/>
          <w:bCs w:val="1"/>
          <w:color w:val="auto"/>
        </w:rPr>
        <w:t xml:space="preserve"> HERCULES PRODUCT CARRIER S.A.</w:t>
      </w:r>
      <w:r>
        <w:rPr>
          <w:rFonts w:ascii="Arial" w:cs="Arial" w:eastAsia="Arial" w:hAnsi="Arial"/>
          <w:sz w:val="18"/>
          <w:szCs w:val="18"/>
          <w:color w:val="auto"/>
        </w:rPr>
        <w:t>,</w:t>
      </w:r>
      <w:r>
        <w:rPr>
          <w:rFonts w:ascii="Arial" w:cs="Arial" w:eastAsia="Arial" w:hAnsi="Arial"/>
          <w:sz w:val="18"/>
          <w:szCs w:val="18"/>
          <w:b w:val="1"/>
          <w:bCs w:val="1"/>
          <w:color w:val="auto"/>
        </w:rPr>
        <w:t xml:space="preserve"> IASON PRODUCT CARRIER S.A. </w:t>
      </w:r>
      <w:r>
        <w:rPr>
          <w:rFonts w:ascii="Arial" w:cs="Arial" w:eastAsia="Arial" w:hAnsi="Arial"/>
          <w:sz w:val="18"/>
          <w:szCs w:val="18"/>
          <w:color w:val="auto"/>
        </w:rPr>
        <w:t>and</w:t>
      </w:r>
      <w:r>
        <w:rPr>
          <w:rFonts w:ascii="Arial" w:cs="Arial" w:eastAsia="Arial" w:hAnsi="Arial"/>
          <w:sz w:val="18"/>
          <w:szCs w:val="18"/>
          <w:b w:val="1"/>
          <w:bCs w:val="1"/>
          <w:color w:val="auto"/>
        </w:rPr>
        <w:t xml:space="preserve"> ARCHON PRODUCT CARRIER S.A.</w:t>
      </w:r>
      <w:r>
        <w:rPr>
          <w:rFonts w:ascii="Arial" w:cs="Arial" w:eastAsia="Arial" w:hAnsi="Arial"/>
          <w:sz w:val="18"/>
          <w:szCs w:val="18"/>
          <w:color w:val="auto"/>
        </w:rPr>
        <w:t>, each being a corporation in the Republic of Liberia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80 Broad Street, Monrovia, Liberia (together, the “</w:t>
      </w:r>
      <w:r>
        <w:rPr>
          <w:rFonts w:ascii="Arial" w:cs="Arial" w:eastAsia="Arial" w:hAnsi="Arial"/>
          <w:sz w:val="18"/>
          <w:szCs w:val="18"/>
          <w:b w:val="1"/>
          <w:bCs w:val="1"/>
          <w:color w:val="auto"/>
        </w:rPr>
        <w:t>Borrowers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920" w:hanging="912"/>
        <w:spacing w:after="0"/>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ING BANK N.V. </w:t>
      </w:r>
      <w:r>
        <w:rPr>
          <w:rFonts w:ascii="Arial" w:cs="Arial" w:eastAsia="Arial" w:hAnsi="Arial"/>
          <w:sz w:val="18"/>
          <w:szCs w:val="18"/>
          <w:color w:val="auto"/>
        </w:rPr>
        <w:t>as</w:t>
      </w:r>
      <w:r>
        <w:rPr>
          <w:rFonts w:ascii="Arial" w:cs="Arial" w:eastAsia="Arial" w:hAnsi="Arial"/>
          <w:sz w:val="18"/>
          <w:szCs w:val="18"/>
          <w:b w:val="1"/>
          <w:bCs w:val="1"/>
          <w:color w:val="auto"/>
        </w:rPr>
        <w:t xml:space="preserve"> Swap Bank.</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ING BANK N.V.,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Facility Agent </w:t>
      </w:r>
      <w:r>
        <w:rPr>
          <w:rFonts w:ascii="Arial" w:cs="Arial" w:eastAsia="Arial" w:hAnsi="Arial"/>
          <w:sz w:val="18"/>
          <w:szCs w:val="18"/>
          <w:color w:val="auto"/>
        </w:rPr>
        <w:t>and</w:t>
      </w:r>
      <w:r>
        <w:rPr>
          <w:rFonts w:ascii="Arial" w:cs="Arial" w:eastAsia="Arial" w:hAnsi="Arial"/>
          <w:sz w:val="18"/>
          <w:szCs w:val="18"/>
          <w:b w:val="1"/>
          <w:bCs w:val="1"/>
          <w:color w:val="auto"/>
        </w:rPr>
        <w:t xml:space="preserve"> Security Trustee.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jc w:val="both"/>
        <w:ind w:left="920" w:right="200" w:hanging="912"/>
        <w:spacing w:after="0" w:line="264" w:lineRule="auto"/>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Lenders have agreed to make available to the Borrowers, or, following a Dropdown (as defined below), to the Borrowers that are members of the relevant Group, a pre- and post-delivery secured term loan facility (divided into 5 tranches) of up to US$97,830,000 in aggregate for the purpose of:</w:t>
      </w:r>
    </w:p>
    <w:p>
      <w:pPr>
        <w:spacing w:after="0" w:line="86" w:lineRule="exact"/>
        <w:rPr>
          <w:rFonts w:ascii="Arial" w:cs="Arial" w:eastAsia="Arial" w:hAnsi="Arial"/>
          <w:sz w:val="18"/>
          <w:szCs w:val="18"/>
          <w:color w:val="auto"/>
        </w:rPr>
      </w:pPr>
    </w:p>
    <w:p>
      <w:pPr>
        <w:ind w:left="1700" w:right="120" w:hanging="787"/>
        <w:spacing w:after="0" w:line="264" w:lineRule="auto"/>
        <w:tabs>
          <w:tab w:leader="none" w:pos="17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Tranche A (as defined below), being in an amount of up to the lower of (i) $19,530,000 and (ii) 60 per cent. of the market value of m.t. “AMOR”, a 2015 -built medium range product tanker, and to be made available in one advance to refinance part of the acquisition cost of such ship;</w:t>
      </w:r>
    </w:p>
    <w:p>
      <w:pPr>
        <w:spacing w:after="0" w:line="86" w:lineRule="exact"/>
        <w:rPr>
          <w:rFonts w:ascii="Arial" w:cs="Arial" w:eastAsia="Arial" w:hAnsi="Arial"/>
          <w:sz w:val="18"/>
          <w:szCs w:val="18"/>
          <w:color w:val="auto"/>
        </w:rPr>
      </w:pPr>
    </w:p>
    <w:p>
      <w:pPr>
        <w:ind w:left="1700" w:right="220" w:hanging="787"/>
        <w:spacing w:after="0" w:line="259" w:lineRule="auto"/>
        <w:tabs>
          <w:tab w:leader="none" w:pos="17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Tranche B (as defined below), being in an amount of up to the lower of (i) $19,530,000 and (ii) 60 per cent. of the market value of one product oil/chemical tanker with Builder’s Hull No. 104 (ex Hull No. 030) on its delivery date and to be made available in one advance to finance the delivery instalment in connection with the acquisition cost of such ship and, as the case may be, refinance certain pre-delivery instalments;</w:t>
      </w:r>
    </w:p>
    <w:p>
      <w:pPr>
        <w:spacing w:after="0" w:line="92" w:lineRule="exact"/>
        <w:rPr>
          <w:rFonts w:ascii="Arial" w:cs="Arial" w:eastAsia="Arial" w:hAnsi="Arial"/>
          <w:sz w:val="18"/>
          <w:szCs w:val="18"/>
          <w:color w:val="auto"/>
        </w:rPr>
      </w:pPr>
    </w:p>
    <w:p>
      <w:pPr>
        <w:ind w:left="1700" w:right="440" w:hanging="787"/>
        <w:spacing w:after="0" w:line="259" w:lineRule="auto"/>
        <w:tabs>
          <w:tab w:leader="none" w:pos="17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Tranche C (as defined below), being in an amount of up to the lower of (i) $19,530,000 and (ii) 60 per cent. of the market value of one product oil/chemical tanker with Builder’s Hull No. 105 on its delivery date and to be made available in one advance to finance the delivery instalment in connection with the acquisition cost of such ship and, as the case may be, refinance certain pre-delivery instalments;</w:t>
      </w:r>
    </w:p>
    <w:p>
      <w:pPr>
        <w:spacing w:after="0" w:line="92" w:lineRule="exact"/>
        <w:rPr>
          <w:rFonts w:ascii="Arial" w:cs="Arial" w:eastAsia="Arial" w:hAnsi="Arial"/>
          <w:sz w:val="18"/>
          <w:szCs w:val="18"/>
          <w:color w:val="auto"/>
        </w:rPr>
      </w:pPr>
    </w:p>
    <w:p>
      <w:pPr>
        <w:ind w:left="1700" w:right="80" w:hanging="787"/>
        <w:spacing w:after="0" w:line="279" w:lineRule="auto"/>
        <w:tabs>
          <w:tab w:leader="none" w:pos="17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in the case of Tranche D (as defined below), being in an amount of up to the lower of (i) $19,530,000 and (ii) 60 per cent. of the market value of one product oil/chemical tanker with Builder’s Hull No. 106 on its delivery date and to be made available in one advance or, as the case may be, in multiple advances to finance the delivery instalment in connection with the acquisition cost of such ship and to finance or, as the case may be, refinance certain pre-delivery instalments; and</w:t>
      </w:r>
    </w:p>
    <w:p>
      <w:pPr>
        <w:spacing w:after="0" w:line="76" w:lineRule="exact"/>
        <w:rPr>
          <w:rFonts w:ascii="Arial" w:cs="Arial" w:eastAsia="Arial" w:hAnsi="Arial"/>
          <w:sz w:val="17"/>
          <w:szCs w:val="17"/>
          <w:color w:val="auto"/>
        </w:rPr>
      </w:pPr>
    </w:p>
    <w:p>
      <w:pPr>
        <w:ind w:left="1700" w:right="80" w:hanging="787"/>
        <w:spacing w:after="0" w:line="259" w:lineRule="auto"/>
        <w:tabs>
          <w:tab w:leader="none" w:pos="17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Tranche E (as defined below), being in an amount of up to the lower of (i) $19,710,000 and (ii) 60 per cent. of the market value of one product oil/chemical tanker with Builder’s Hull No. 107 on its delivery date and to be made available in one advance or, as the case may be, in multiple advances to finance the delivery instalment in connection with the acquisition cost of such ship and to finance or, as the case may be, refinance certain pre-delivery instalments.</w:t>
      </w:r>
    </w:p>
    <w:p>
      <w:pPr>
        <w:spacing w:after="0" w:line="92"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Swap Bank may agree to enter into interest rate swap transactions with each Borrower from time to time to hedge that Borrower’s exposure under this Agreement to interest rate fluctuations.</w:t>
      </w:r>
    </w:p>
    <w:p>
      <w:pPr>
        <w:sectPr>
          <w:pgSz w:w="11900" w:h="16838" w:orient="portrait"/>
          <w:cols w:equalWidth="0" w:num="1">
            <w:col w:w="11420"/>
          </w:cols>
          <w:pgMar w:left="240" w:top="266" w:right="239" w:bottom="1440" w:gutter="0" w:footer="0" w:header="0"/>
        </w:sectPr>
      </w:pPr>
    </w:p>
    <w:bookmarkStart w:id="175" w:name="page176"/>
    <w:bookmarkEnd w:id="175"/>
    <w:p>
      <w:pPr>
        <w:ind w:left="920" w:right="240" w:hanging="912"/>
        <w:spacing w:after="0" w:line="277" w:lineRule="auto"/>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Lenders and the Swap Bank have agreed to share in the security to be granted to the Security Trustee pursuant to this Agreement with the obligations of the Borrowers to the Swap Bank being subordinated to those of the Borrowers to the Lenders.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920" w:hanging="912"/>
        <w:spacing w:after="0"/>
        <w:tabs>
          <w:tab w:leader="none" w:pos="9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Subject to Clause 1.5, in this Agreement:</w:t>
      </w:r>
    </w:p>
    <w:p>
      <w:pPr>
        <w:spacing w:after="0" w:line="113" w:lineRule="exact"/>
        <w:rPr>
          <w:sz w:val="20"/>
          <w:szCs w:val="20"/>
          <w:color w:val="auto"/>
        </w:rPr>
      </w:pPr>
    </w:p>
    <w:p>
      <w:pPr>
        <w:ind w:left="920" w:right="5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Acceptable Bank</w:t>
      </w:r>
      <w:r>
        <w:rPr>
          <w:rFonts w:ascii="Arial" w:cs="Arial" w:eastAsia="Arial" w:hAnsi="Arial"/>
          <w:sz w:val="16"/>
          <w:szCs w:val="16"/>
          <w:color w:val="auto"/>
        </w:rPr>
        <w:t>” means a bank or financial institution which has a rating for its long-term unsecured and non credit-enhanced debt obligations of BBB+ or higher by Standard &amp; Poor’s Rating Services or Fitch Ratings Ltd or Baa1 or higher by Moody’s Investor Service Limited or a comparable rating from an internationally recognised credit rating agency which is approved by the Majority Lenders;</w:t>
      </w:r>
    </w:p>
    <w:p>
      <w:pPr>
        <w:spacing w:after="0" w:line="34"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Pledge</w:t>
      </w:r>
      <w:r>
        <w:rPr>
          <w:rFonts w:ascii="Arial" w:cs="Arial" w:eastAsia="Arial" w:hAnsi="Arial"/>
          <w:sz w:val="18"/>
          <w:szCs w:val="18"/>
          <w:color w:val="auto"/>
        </w:rPr>
        <w:t>” means, in respect of each Earnings Account, a pledge agreement creating security in respect of that Earnings Account, in the Agreed Form, and in the plural means all of them;</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the principal amount of each borrowing by the Borrowers (or any of them) under this Agreement;</w:t>
      </w:r>
    </w:p>
    <w:p>
      <w:pPr>
        <w:spacing w:after="0" w:line="117"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Borrower</w:t>
      </w:r>
      <w:r>
        <w:rPr>
          <w:rFonts w:ascii="Arial" w:cs="Arial" w:eastAsia="Arial" w:hAnsi="Arial"/>
          <w:sz w:val="18"/>
          <w:szCs w:val="18"/>
          <w:color w:val="auto"/>
        </w:rPr>
        <w:t>” means a Borrower that is the subject of a Dropdown and in respect of which the conditions stated in paragraphs (a) to (f) of Clause 4.9 have been satisfied and in the plural means all of them;</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Clauses</w:t>
      </w:r>
      <w:r>
        <w:rPr>
          <w:rFonts w:ascii="Arial" w:cs="Arial" w:eastAsia="Arial" w:hAnsi="Arial"/>
          <w:sz w:val="18"/>
          <w:szCs w:val="18"/>
          <w:color w:val="auto"/>
        </w:rPr>
        <w:t>” has the meaning given in Clause 29.2;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5.6;</w:t>
      </w:r>
    </w:p>
    <w:p>
      <w:pPr>
        <w:spacing w:after="0" w:line="117" w:lineRule="exact"/>
        <w:rPr>
          <w:sz w:val="20"/>
          <w:szCs w:val="20"/>
          <w:color w:val="auto"/>
        </w:rPr>
      </w:pPr>
    </w:p>
    <w:p>
      <w:pPr>
        <w:ind w:left="920" w:right="200"/>
        <w:spacing w:after="0" w:line="282" w:lineRule="auto"/>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means, in relation to a Ship at any time, the number of whole years having elapsed from the year in which the construction of that Ship</w:t>
      </w:r>
      <w:r>
        <w:rPr>
          <w:rFonts w:ascii="Arial" w:cs="Arial" w:eastAsia="Arial" w:hAnsi="Arial"/>
          <w:sz w:val="18"/>
          <w:szCs w:val="18"/>
          <w:b w:val="1"/>
          <w:bCs w:val="1"/>
          <w:color w:val="auto"/>
        </w:rPr>
        <w:t xml:space="preserve"> </w:t>
      </w:r>
      <w:r>
        <w:rPr>
          <w:rFonts w:ascii="Arial" w:cs="Arial" w:eastAsia="Arial" w:hAnsi="Arial"/>
          <w:sz w:val="18"/>
          <w:szCs w:val="18"/>
          <w:color w:val="auto"/>
        </w:rPr>
        <w:t>was completed;</w:t>
      </w:r>
    </w:p>
    <w:p>
      <w:pPr>
        <w:spacing w:after="0" w:line="54" w:lineRule="exact"/>
        <w:rPr>
          <w:sz w:val="20"/>
          <w:szCs w:val="20"/>
          <w:color w:val="auto"/>
        </w:rPr>
      </w:pPr>
    </w:p>
    <w:p>
      <w:pPr>
        <w:ind w:left="9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Agreement</w:t>
      </w:r>
      <w:r>
        <w:rPr>
          <w:rFonts w:ascii="Arial" w:cs="Arial" w:eastAsia="Arial" w:hAnsi="Arial"/>
          <w:sz w:val="18"/>
          <w:szCs w:val="18"/>
          <w:color w:val="auto"/>
        </w:rPr>
        <w:t>” means the agency and trust agreement executed or to be executed between the Borrowers, the Lenders, the Swap Bank and the Security Trustee in the Agreed Form;</w:t>
      </w:r>
    </w:p>
    <w:p>
      <w:pPr>
        <w:spacing w:after="0" w:line="54" w:lineRule="exact"/>
        <w:rPr>
          <w:sz w:val="20"/>
          <w:szCs w:val="20"/>
          <w:color w:val="auto"/>
        </w:rPr>
      </w:pPr>
    </w:p>
    <w:p>
      <w:pPr>
        <w:ind w:left="920"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Facility Agent acting reasonably (acting on the instructions of the Majority Lenders) or as otherwise approved in accordance with any other approval procedure specified in any relevant provision of any Finance Document;</w:t>
      </w:r>
    </w:p>
    <w:p>
      <w:pPr>
        <w:spacing w:after="0" w:line="68" w:lineRule="exact"/>
        <w:rPr>
          <w:sz w:val="20"/>
          <w:szCs w:val="20"/>
          <w:color w:val="auto"/>
        </w:rPr>
      </w:pPr>
    </w:p>
    <w:p>
      <w:pPr>
        <w:ind w:left="92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Broker</w:t>
      </w:r>
      <w:r>
        <w:rPr>
          <w:rFonts w:ascii="Arial" w:cs="Arial" w:eastAsia="Arial" w:hAnsi="Arial"/>
          <w:sz w:val="18"/>
          <w:szCs w:val="18"/>
          <w:color w:val="auto"/>
        </w:rPr>
        <w:t>” means each of ACM Braemar, Arrow Valuations (London), H. Clarksons &amp; Co. Ltd., Barry Rogliano Sales, Maersk Brokers K/S, Howe Robinson &amp; Co. Ltd Shipbrokers and SSY Valuation Services Ltd. or any other brokers approved by the Majority Lenders and in the plural means all of them;</w:t>
      </w:r>
    </w:p>
    <w:p>
      <w:pPr>
        <w:spacing w:after="0" w:line="68" w:lineRule="exact"/>
        <w:rPr>
          <w:sz w:val="20"/>
          <w:szCs w:val="20"/>
          <w:color w:val="auto"/>
        </w:rPr>
      </w:pPr>
    </w:p>
    <w:p>
      <w:pPr>
        <w:jc w:val="both"/>
        <w:ind w:left="920"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Charterer</w:t>
      </w:r>
      <w:r>
        <w:rPr>
          <w:rFonts w:ascii="Arial" w:cs="Arial" w:eastAsia="Arial" w:hAnsi="Arial"/>
          <w:sz w:val="16"/>
          <w:szCs w:val="16"/>
          <w:color w:val="auto"/>
        </w:rPr>
        <w:t xml:space="preserve">” means a charterer acceptable in all respects to the Lenders such acceptance not to be unreasonably withheld, delayed or conditioned and to be deemed given in respect of the Guarantor or any of its wholly-owned subsidiaries (subject to a full performance guarantee of the Guarantor)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no more than three Ships are chartered to the Guarantor or such subsidiaries at any time;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76" w:name="page177"/>
    <w:bookmarkEnd w:id="176"/>
    <w:p>
      <w:pPr>
        <w:ind w:left="7" w:right="4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Approved Flag</w:t>
      </w:r>
      <w:r>
        <w:rPr>
          <w:rFonts w:ascii="Arial" w:cs="Arial" w:eastAsia="Arial" w:hAnsi="Arial"/>
          <w:sz w:val="16"/>
          <w:szCs w:val="16"/>
          <w:color w:val="auto"/>
        </w:rPr>
        <w:t>” means the Liberia or Marshall Islands or Panama or Cyprus or Malta flag or such flag as the Facility Agent may, with the authorisation of all the Lenders, approve as the flag on which a Ship shall be registered, such approval not to be unreasonably withheld;</w:t>
      </w:r>
    </w:p>
    <w:p>
      <w:pPr>
        <w:spacing w:after="0" w:line="8" w:lineRule="exact"/>
        <w:rPr>
          <w:sz w:val="20"/>
          <w:szCs w:val="20"/>
          <w:color w:val="auto"/>
        </w:rPr>
      </w:pPr>
    </w:p>
    <w:p>
      <w:pPr>
        <w:ind w:left="7"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 State</w:t>
      </w:r>
      <w:r>
        <w:rPr>
          <w:rFonts w:ascii="Arial" w:cs="Arial" w:eastAsia="Arial" w:hAnsi="Arial"/>
          <w:sz w:val="18"/>
          <w:szCs w:val="18"/>
          <w:color w:val="auto"/>
        </w:rPr>
        <w:t>” means any country in which the Facility Agent may with the authorisation of all the Lenders, approve that a Ship be registered, such approval not to be unreasonably withheld;</w:t>
      </w:r>
    </w:p>
    <w:p>
      <w:pPr>
        <w:spacing w:after="0" w:line="54" w:lineRule="exact"/>
        <w:rPr>
          <w:sz w:val="20"/>
          <w:szCs w:val="20"/>
          <w:color w:val="auto"/>
        </w:rPr>
      </w:pPr>
    </w:p>
    <w:p>
      <w:pPr>
        <w:ind w:left="7"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w:t>
      </w:r>
      <w:r>
        <w:rPr>
          <w:rFonts w:ascii="Arial" w:cs="Arial" w:eastAsia="Arial" w:hAnsi="Arial"/>
          <w:sz w:val="18"/>
          <w:szCs w:val="18"/>
          <w:color w:val="auto"/>
        </w:rPr>
        <w:t>” means, in relation to a Ship, Capital Ship Management Corp., a company incorporated in Panama having its registered office at Hong Kong Bank Building, 6th floor, Samuel Lewis Avenue, Panama, Republic of Panama, or any other company which the Lenders may approve (such approval not to be unreasonably withheld) from time to time as the commercial, technical and/or operational manager of that Ship;</w:t>
      </w:r>
    </w:p>
    <w:p>
      <w:pPr>
        <w:spacing w:after="0" w:line="72" w:lineRule="exact"/>
        <w:rPr>
          <w:sz w:val="20"/>
          <w:szCs w:val="20"/>
          <w:color w:val="auto"/>
        </w:rPr>
      </w:pPr>
    </w:p>
    <w:p>
      <w:pPr>
        <w:ind w:left="7" w:right="1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Manager’s Undertaking</w:t>
      </w:r>
      <w:r>
        <w:rPr>
          <w:rFonts w:ascii="Arial" w:cs="Arial" w:eastAsia="Arial" w:hAnsi="Arial"/>
          <w:sz w:val="16"/>
          <w:szCs w:val="16"/>
          <w:color w:val="auto"/>
        </w:rPr>
        <w:t>” means, in relation to each Ship, a letter of undertaking executed or to be executed by the Approved Manager in favour of the Security Trustee in the terms required by the Security Trustee agreeing certain matters in relation to the Approved Manager serving as the manager of the Ship and subordinating the rights of the Approved Manager against such Ship and the Borrower which is the owner thereof to the rights of the Creditor Parties under the Finance Documents, in the Agreed Form and in the plural means all of them;</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commencing on the date of this Agreement and ending in respect of:</w:t>
      </w:r>
    </w:p>
    <w:p>
      <w:pPr>
        <w:spacing w:after="0" w:line="135" w:lineRule="exact"/>
        <w:rPr>
          <w:sz w:val="20"/>
          <w:szCs w:val="20"/>
          <w:color w:val="auto"/>
        </w:rPr>
      </w:pPr>
    </w:p>
    <w:p>
      <w:pPr>
        <w:ind w:left="787" w:hanging="787"/>
        <w:spacing w:after="0"/>
        <w:tabs>
          <w:tab w:leader="none" w:pos="78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Tranche A, 31 December 2015; and</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other Tranche, on the earlier of:</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Delivery Date of the Ship to which that Tranche relates; and</w:t>
      </w:r>
    </w:p>
    <w:p>
      <w:pPr>
        <w:spacing w:after="0" w:line="130" w:lineRule="exact"/>
        <w:rPr>
          <w:rFonts w:ascii="Arial" w:cs="Arial" w:eastAsia="Arial" w:hAnsi="Arial"/>
          <w:sz w:val="18"/>
          <w:szCs w:val="18"/>
          <w:color w:val="auto"/>
        </w:rPr>
      </w:pPr>
    </w:p>
    <w:p>
      <w:pPr>
        <w:ind w:left="1467" w:right="280" w:hanging="670"/>
        <w:spacing w:after="0" w:line="264" w:lineRule="auto"/>
        <w:tabs>
          <w:tab w:leader="none" w:pos="146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latest delivery date permitted under the Shipbuilding Contract to which that Tranche relates (being the earliest date on which the Borrower which is a party to that Shipbuilding Contract may cancel, rescind or terminate the Shipbuilding Contract for delay);</w:t>
      </w:r>
    </w:p>
    <w:p>
      <w:pPr>
        <w:spacing w:after="0" w:line="69" w:lineRule="exact"/>
        <w:rPr>
          <w:sz w:val="20"/>
          <w:szCs w:val="20"/>
          <w:color w:val="auto"/>
        </w:rPr>
      </w:pPr>
    </w:p>
    <w:p>
      <w:pPr>
        <w:ind w:left="7" w:right="488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to that term in Clause 8.1(b)(ii); “</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2" w:lineRule="exact"/>
        <w:rPr>
          <w:sz w:val="20"/>
          <w:szCs w:val="20"/>
          <w:color w:val="auto"/>
        </w:rPr>
      </w:pPr>
    </w:p>
    <w:p>
      <w:pPr>
        <w:ind w:left="787" w:hanging="787"/>
        <w:spacing w:after="0"/>
        <w:tabs>
          <w:tab w:leader="none" w:pos="78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34" w:lineRule="exact"/>
        <w:rPr>
          <w:rFonts w:ascii="Arial" w:cs="Arial" w:eastAsia="Arial" w:hAnsi="Arial"/>
          <w:sz w:val="17"/>
          <w:szCs w:val="17"/>
          <w:color w:val="auto"/>
        </w:rPr>
      </w:pPr>
    </w:p>
    <w:p>
      <w:pPr>
        <w:ind w:left="787" w:right="100"/>
        <w:spacing w:after="0" w:line="277" w:lineRule="auto"/>
        <w:rPr>
          <w:rFonts w:ascii="Arial" w:cs="Arial" w:eastAsia="Arial" w:hAnsi="Arial"/>
          <w:sz w:val="17"/>
          <w:szCs w:val="17"/>
          <w:color w:val="auto"/>
        </w:rPr>
      </w:pPr>
      <w:r>
        <w:rPr>
          <w:rFonts w:ascii="Arial" w:cs="Arial" w:eastAsia="Arial" w:hAnsi="Arial"/>
          <w:sz w:val="17"/>
          <w:szCs w:val="17"/>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78" w:lineRule="exact"/>
        <w:rPr>
          <w:rFonts w:ascii="Arial" w:cs="Arial" w:eastAsia="Arial" w:hAnsi="Arial"/>
          <w:sz w:val="17"/>
          <w:szCs w:val="17"/>
          <w:color w:val="auto"/>
        </w:rPr>
      </w:pPr>
    </w:p>
    <w:p>
      <w:pPr>
        <w:ind w:left="787" w:hanging="787"/>
        <w:spacing w:after="0"/>
        <w:tabs>
          <w:tab w:leader="none" w:pos="7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each of Borrower A, Borrower B, Borrower C, Borrower D and Borrower E, and in the plural, means all of them;</w:t>
      </w:r>
    </w:p>
    <w:p>
      <w:pPr>
        <w:spacing w:after="0" w:line="117" w:lineRule="exact"/>
        <w:rPr>
          <w:sz w:val="20"/>
          <w:szCs w:val="20"/>
          <w:color w:val="auto"/>
        </w:rPr>
      </w:pPr>
    </w:p>
    <w:p>
      <w:pPr>
        <w:ind w:left="7"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w:t>
      </w:r>
      <w:r>
        <w:rPr>
          <w:rFonts w:ascii="Arial" w:cs="Arial" w:eastAsia="Arial" w:hAnsi="Arial"/>
          <w:sz w:val="18"/>
          <w:szCs w:val="18"/>
          <w:color w:val="auto"/>
        </w:rPr>
        <w:t>” means Filonikis Product Carrier S.A., a corporation incorporated in Liberia, whose registered office is at 80 Broad Street, Monrovia, Liberia;</w:t>
      </w:r>
    </w:p>
    <w:p>
      <w:pPr>
        <w:spacing w:after="0" w:line="54"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B</w:t>
      </w:r>
      <w:r>
        <w:rPr>
          <w:rFonts w:ascii="Arial" w:cs="Arial" w:eastAsia="Arial" w:hAnsi="Arial"/>
          <w:sz w:val="18"/>
          <w:szCs w:val="18"/>
          <w:color w:val="auto"/>
        </w:rPr>
        <w:t>” means Helios Product Carrier S.A., a corporation incorporated in Liberia, whose registered office is at 80 Broad Street, Monrovia, Liberia;</w:t>
      </w:r>
    </w:p>
    <w:p>
      <w:pPr>
        <w:spacing w:after="0" w:line="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7"/>
          </w:cols>
          <w:pgMar w:left="1153" w:top="270" w:right="239" w:bottom="1440" w:gutter="0" w:footer="0" w:header="0"/>
        </w:sectPr>
      </w:pPr>
    </w:p>
    <w:bookmarkStart w:id="177" w:name="page178"/>
    <w:bookmarkEnd w:id="177"/>
    <w:p>
      <w:pPr>
        <w:ind w:left="7" w:right="6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Borrower C</w:t>
      </w:r>
      <w:r>
        <w:rPr>
          <w:rFonts w:ascii="Arial" w:cs="Arial" w:eastAsia="Arial" w:hAnsi="Arial"/>
          <w:sz w:val="18"/>
          <w:szCs w:val="18"/>
          <w:color w:val="auto"/>
        </w:rPr>
        <w:t>” means Hercules Product Carrier S.A., a corporation incorporated in Liberia, whose registered office is at 80 Broad Street, Monrovia, Liberia;</w:t>
      </w:r>
    </w:p>
    <w:p>
      <w:pPr>
        <w:spacing w:after="0" w:line="54" w:lineRule="exact"/>
        <w:rPr>
          <w:sz w:val="20"/>
          <w:szCs w:val="20"/>
          <w:color w:val="auto"/>
        </w:rPr>
      </w:pPr>
    </w:p>
    <w:p>
      <w:pPr>
        <w:ind w:left="7"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D</w:t>
      </w:r>
      <w:r>
        <w:rPr>
          <w:rFonts w:ascii="Arial" w:cs="Arial" w:eastAsia="Arial" w:hAnsi="Arial"/>
          <w:sz w:val="18"/>
          <w:szCs w:val="18"/>
          <w:color w:val="auto"/>
        </w:rPr>
        <w:t>” means Iason Product Carrier S.A., corporation incorporated in the Republic of Liberia, whose registered office is at 80 Broad Street, Monrovia, Liberia;</w:t>
      </w:r>
    </w:p>
    <w:p>
      <w:pPr>
        <w:spacing w:after="0" w:line="54" w:lineRule="exact"/>
        <w:rPr>
          <w:sz w:val="20"/>
          <w:szCs w:val="20"/>
          <w:color w:val="auto"/>
        </w:rPr>
      </w:pPr>
    </w:p>
    <w:p>
      <w:pPr>
        <w:ind w:left="7" w:right="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E</w:t>
      </w:r>
      <w:r>
        <w:rPr>
          <w:rFonts w:ascii="Arial" w:cs="Arial" w:eastAsia="Arial" w:hAnsi="Arial"/>
          <w:sz w:val="18"/>
          <w:szCs w:val="18"/>
          <w:color w:val="auto"/>
        </w:rPr>
        <w:t>” means Archon Product Carrier S.A., a corporation incorporated in Liberia, whose registered office is at 80 Broad Street, Monrovia, Liberia;</w:t>
      </w:r>
    </w:p>
    <w:p>
      <w:pPr>
        <w:spacing w:after="0" w:line="54"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Builder</w:t>
      </w:r>
      <w:r>
        <w:rPr>
          <w:rFonts w:ascii="Arial" w:cs="Arial" w:eastAsia="Arial" w:hAnsi="Arial"/>
          <w:sz w:val="18"/>
          <w:szCs w:val="18"/>
          <w:color w:val="auto"/>
        </w:rPr>
        <w:t>” means Samsung Heavy Industries (Ningbo) Co. Ltd., a corporation organised and existing under the laws of the People’s Republic of China whose principal office is at No.18 Haven Road, Beilun District, Ningbo, the People’s Republic of China;</w:t>
      </w:r>
    </w:p>
    <w:p>
      <w:pPr>
        <w:spacing w:after="0" w:line="54" w:lineRule="exact"/>
        <w:rPr>
          <w:sz w:val="20"/>
          <w:szCs w:val="20"/>
          <w:color w:val="auto"/>
        </w:rPr>
      </w:pPr>
    </w:p>
    <w:p>
      <w:pPr>
        <w:ind w:left="7"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Builder’s Parent</w:t>
      </w:r>
      <w:r>
        <w:rPr>
          <w:rFonts w:ascii="Arial" w:cs="Arial" w:eastAsia="Arial" w:hAnsi="Arial"/>
          <w:sz w:val="18"/>
          <w:szCs w:val="18"/>
          <w:color w:val="auto"/>
        </w:rPr>
        <w:t>” means Samsung Heavy Industries Co., Ltd., a corporation organised and existing under the laws of South Korea whose registered office is at Samsung Life Seocho Tower 1321-14, Seocho-Dong, Seocho-GU, Seoul, South Korea;</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has the meaning given in Clause 21.2;</w:t>
      </w:r>
    </w:p>
    <w:p>
      <w:pPr>
        <w:spacing w:after="0" w:line="117" w:lineRule="exact"/>
        <w:rPr>
          <w:sz w:val="20"/>
          <w:szCs w:val="20"/>
          <w:color w:val="auto"/>
        </w:rPr>
      </w:pPr>
    </w:p>
    <w:p>
      <w:pPr>
        <w:ind w:left="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in London, Athens and Piraeus and in respect of a day on which a payment is required to be made under a Finance Document, also in New York City;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Chartered Ship</w:t>
      </w:r>
      <w:r>
        <w:rPr>
          <w:rFonts w:ascii="Arial" w:cs="Arial" w:eastAsia="Arial" w:hAnsi="Arial"/>
          <w:sz w:val="18"/>
          <w:szCs w:val="18"/>
          <w:color w:val="auto"/>
        </w:rPr>
        <w:t>” has the meaning given in Clause 4.9;</w:t>
      </w:r>
    </w:p>
    <w:p>
      <w:pPr>
        <w:spacing w:after="0" w:line="117" w:lineRule="exact"/>
        <w:rPr>
          <w:sz w:val="20"/>
          <w:szCs w:val="20"/>
          <w:color w:val="auto"/>
        </w:rPr>
      </w:pPr>
    </w:p>
    <w:p>
      <w:pPr>
        <w:ind w:left="7"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w:t>
      </w:r>
      <w:r>
        <w:rPr>
          <w:rFonts w:ascii="Arial" w:cs="Arial" w:eastAsia="Arial" w:hAnsi="Arial"/>
          <w:sz w:val="18"/>
          <w:szCs w:val="18"/>
          <w:color w:val="auto"/>
        </w:rPr>
        <w:t>” means any bareboat charterparty or any time charterparty in respect of a Ship having a duration of at least 12 months or more (excluding options to extend contained therein), made with an Approved Charterer and at a monthly hire rate which is sufficient, in the Facility Agent’s reasonable opinion, acting on instruction of the Lenders, to allow the Tranche relative to that Chartered Ship to be repaid in full in accordance with Clause 8.1(b) and in all other respects on terms acceptable in all respects to the Lenders, such acceptance not to be unreasonably withheld;</w:t>
      </w:r>
    </w:p>
    <w:p>
      <w:pPr>
        <w:spacing w:after="0" w:line="76" w:lineRule="exact"/>
        <w:rPr>
          <w:sz w:val="20"/>
          <w:szCs w:val="20"/>
          <w:color w:val="auto"/>
        </w:rPr>
      </w:pPr>
    </w:p>
    <w:p>
      <w:pPr>
        <w:ind w:left="7" w:right="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Charterparty Assignment</w:t>
      </w:r>
      <w:r>
        <w:rPr>
          <w:rFonts w:ascii="Arial" w:cs="Arial" w:eastAsia="Arial" w:hAnsi="Arial"/>
          <w:sz w:val="17"/>
          <w:szCs w:val="17"/>
          <w:color w:val="auto"/>
        </w:rPr>
        <w:t>” means, in relation to a Ship, an assignment of the rights of the Borrower which is the owner of that Ship under the Charterparty relative to that Ship executed or to be executed by the relevant Borrower in favour of the Security Trustee and notified to and acknowledged (on a best efforts basis) by an Approved Charterer in the Agreed Form and, in the plural, means all of them;</w:t>
      </w:r>
    </w:p>
    <w:p>
      <w:pPr>
        <w:spacing w:after="0" w:line="50"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CMTC Group</w:t>
      </w:r>
      <w:r>
        <w:rPr>
          <w:rFonts w:ascii="Arial" w:cs="Arial" w:eastAsia="Arial" w:hAnsi="Arial"/>
          <w:sz w:val="18"/>
          <w:szCs w:val="18"/>
          <w:color w:val="auto"/>
        </w:rPr>
        <w:t>” means the Guarantor and its subsidiaries (whether direct or indirect and including but not limited to, each Borrower (other than an Affected Borrower)) from time to time during the Security Period.</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7"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relation to a Lender, the amount set opposite its name in Schedule 1, or, as the case may require, the amount specified in the relevant Transfer Certificate as that amount may be reduced, cancelled or terminated in accordance with this Agreement (and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w:t>
      </w:r>
      <w:r>
        <w:rPr>
          <w:rFonts w:ascii="Arial" w:cs="Arial" w:eastAsia="Arial" w:hAnsi="Arial"/>
          <w:sz w:val="18"/>
          <w:szCs w:val="18"/>
          <w:color w:val="auto"/>
        </w:rPr>
        <w:t>” means the aggregate of the Commitments of all the Lenders);</w:t>
      </w:r>
    </w:p>
    <w:p>
      <w:pPr>
        <w:spacing w:after="0" w:line="68" w:lineRule="exact"/>
        <w:rPr>
          <w:sz w:val="20"/>
          <w:szCs w:val="20"/>
          <w:color w:val="auto"/>
        </w:rPr>
      </w:pPr>
    </w:p>
    <w:p>
      <w:pPr>
        <w:ind w:left="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a Borrower, any Security Party, any Group, the Finance Documents or the Loan of which a Creditor Party becomes aware in its capacity as, or for the purpose of becoming, a Creditor Party or which is received by a Creditor Party in relation to, or for the purpose of becoming a Creditor Party under, the Finance Documents or the Loan from either:</w:t>
      </w:r>
    </w:p>
    <w:p>
      <w:pPr>
        <w:spacing w:after="0" w:line="68" w:lineRule="exact"/>
        <w:rPr>
          <w:sz w:val="20"/>
          <w:szCs w:val="20"/>
          <w:color w:val="auto"/>
        </w:rPr>
      </w:pPr>
    </w:p>
    <w:p>
      <w:pPr>
        <w:ind w:left="787" w:hanging="787"/>
        <w:spacing w:after="0"/>
        <w:tabs>
          <w:tab w:leader="none" w:pos="7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member of any Group or any of its advisers; or</w:t>
      </w:r>
    </w:p>
    <w:p>
      <w:pPr>
        <w:spacing w:after="0" w:line="15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70" w:right="259" w:bottom="1440" w:gutter="0" w:footer="0" w:header="0"/>
        </w:sectPr>
      </w:pPr>
    </w:p>
    <w:bookmarkStart w:id="178" w:name="page179"/>
    <w:bookmarkEnd w:id="178"/>
    <w:p>
      <w:pPr>
        <w:ind w:left="787" w:right="40" w:hanging="787"/>
        <w:spacing w:after="0" w:line="277" w:lineRule="auto"/>
        <w:tabs>
          <w:tab w:leader="none" w:pos="787"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another Creditor Party, if the information was obtained by that Creditor Party directly or indirectly from any member of any Group or any of its advisers,</w:t>
      </w:r>
    </w:p>
    <w:p>
      <w:pPr>
        <w:spacing w:after="0" w:line="62" w:lineRule="exact"/>
        <w:rPr>
          <w:rFonts w:ascii="Arial" w:cs="Arial" w:eastAsia="Arial" w:hAnsi="Arial"/>
          <w:sz w:val="18"/>
          <w:szCs w:val="18"/>
          <w:color w:val="auto"/>
        </w:rPr>
      </w:pPr>
    </w:p>
    <w:p>
      <w:pPr>
        <w:ind w:left="807" w:right="560"/>
        <w:spacing w:after="0" w:line="277" w:lineRule="auto"/>
        <w:rPr>
          <w:rFonts w:ascii="Arial" w:cs="Arial" w:eastAsia="Arial" w:hAnsi="Arial"/>
          <w:sz w:val="18"/>
          <w:szCs w:val="18"/>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75" w:lineRule="exact"/>
        <w:rPr>
          <w:rFonts w:ascii="Arial" w:cs="Arial" w:eastAsia="Arial" w:hAnsi="Arial"/>
          <w:sz w:val="18"/>
          <w:szCs w:val="18"/>
          <w:color w:val="auto"/>
        </w:rPr>
      </w:pPr>
    </w:p>
    <w:p>
      <w:pPr>
        <w:ind w:left="1467" w:hanging="670"/>
        <w:spacing w:after="0"/>
        <w:tabs>
          <w:tab w:leader="none" w:pos="146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2287" w:right="180" w:hanging="802"/>
        <w:spacing w:after="0" w:line="277" w:lineRule="auto"/>
        <w:tabs>
          <w:tab w:leader="none" w:pos="22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Creditor Party of Clause 30; or</w:t>
      </w:r>
    </w:p>
    <w:p>
      <w:pPr>
        <w:spacing w:after="0" w:line="75" w:lineRule="exact"/>
        <w:rPr>
          <w:rFonts w:ascii="Arial" w:cs="Arial" w:eastAsia="Arial" w:hAnsi="Arial"/>
          <w:sz w:val="18"/>
          <w:szCs w:val="18"/>
          <w:color w:val="auto"/>
        </w:rPr>
      </w:pPr>
    </w:p>
    <w:p>
      <w:pPr>
        <w:ind w:left="2287" w:right="600" w:hanging="802"/>
        <w:spacing w:after="0" w:line="277" w:lineRule="auto"/>
        <w:tabs>
          <w:tab w:leader="none" w:pos="22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a Group or any of its advisers; or</w:t>
      </w:r>
    </w:p>
    <w:p>
      <w:pPr>
        <w:spacing w:after="0" w:line="75" w:lineRule="exact"/>
        <w:rPr>
          <w:rFonts w:ascii="Arial" w:cs="Arial" w:eastAsia="Arial" w:hAnsi="Arial"/>
          <w:sz w:val="18"/>
          <w:szCs w:val="18"/>
          <w:color w:val="auto"/>
        </w:rPr>
      </w:pPr>
    </w:p>
    <w:p>
      <w:pPr>
        <w:ind w:left="2287" w:hanging="802"/>
        <w:spacing w:after="0"/>
        <w:tabs>
          <w:tab w:leader="none" w:pos="2287"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is known by that Creditor Party before the date the information is disclosed to it in accordance with paragraphs</w:t>
      </w:r>
    </w:p>
    <w:p>
      <w:pPr>
        <w:spacing w:after="0" w:line="46" w:lineRule="exact"/>
        <w:rPr>
          <w:rFonts w:ascii="Arial" w:cs="Arial" w:eastAsia="Arial" w:hAnsi="Arial"/>
          <w:sz w:val="16"/>
          <w:szCs w:val="16"/>
          <w:color w:val="auto"/>
        </w:rPr>
      </w:pPr>
    </w:p>
    <w:p>
      <w:pPr>
        <w:ind w:left="2287"/>
        <w:spacing w:after="0" w:line="302" w:lineRule="auto"/>
        <w:rPr>
          <w:rFonts w:ascii="Arial" w:cs="Arial" w:eastAsia="Arial" w:hAnsi="Arial"/>
          <w:sz w:val="16"/>
          <w:szCs w:val="16"/>
          <w:color w:val="auto"/>
        </w:rPr>
      </w:pPr>
      <w:r>
        <w:rPr>
          <w:rFonts w:ascii="Arial" w:cs="Arial" w:eastAsia="Arial" w:hAnsi="Arial"/>
          <w:sz w:val="16"/>
          <w:szCs w:val="16"/>
          <w:color w:val="auto"/>
        </w:rPr>
        <w:t>(a) or (b) above or is lawfully obtained by that Creditor Party after that date, from a source which is, as far as that Creditor Party is aware, unconnected with the Group(s) and which, in either case, as far as that Creditor Party is aware, has not been obtained in breach of, and is not otherwise subject to, any obligation of confidentiality; and</w:t>
      </w:r>
    </w:p>
    <w:p>
      <w:pPr>
        <w:spacing w:after="0" w:line="61" w:lineRule="exact"/>
        <w:rPr>
          <w:sz w:val="20"/>
          <w:szCs w:val="20"/>
          <w:color w:val="auto"/>
        </w:rPr>
      </w:pPr>
    </w:p>
    <w:p>
      <w:pPr>
        <w:ind w:left="1467" w:hanging="670"/>
        <w:spacing w:after="0"/>
        <w:tabs>
          <w:tab w:leader="none" w:pos="14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Reference Bank Rate or any rate determined pursuant to Clauses 5.10 and 5.12;</w:t>
      </w:r>
    </w:p>
    <w:p>
      <w:pPr>
        <w:spacing w:after="0" w:line="113" w:lineRule="exact"/>
        <w:rPr>
          <w:sz w:val="20"/>
          <w:szCs w:val="20"/>
          <w:color w:val="auto"/>
        </w:rPr>
      </w:pPr>
    </w:p>
    <w:p>
      <w:pPr>
        <w:ind w:left="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w:t>
      </w:r>
      <w:r>
        <w:rPr>
          <w:rFonts w:ascii="Arial" w:cs="Arial" w:eastAsia="Arial" w:hAnsi="Arial"/>
          <w:sz w:val="18"/>
          <w:szCs w:val="18"/>
          <w:color w:val="auto"/>
        </w:rPr>
        <w:t>” and “</w:t>
      </w:r>
      <w:r>
        <w:rPr>
          <w:rFonts w:ascii="Arial" w:cs="Arial" w:eastAsia="Arial" w:hAnsi="Arial"/>
          <w:sz w:val="18"/>
          <w:szCs w:val="18"/>
          <w:b w:val="1"/>
          <w:bCs w:val="1"/>
          <w:color w:val="auto"/>
        </w:rPr>
        <w:t>Early Termination Date</w:t>
      </w:r>
      <w:r>
        <w:rPr>
          <w:rFonts w:ascii="Arial" w:cs="Arial" w:eastAsia="Arial" w:hAnsi="Arial"/>
          <w:sz w:val="18"/>
          <w:szCs w:val="18"/>
          <w:color w:val="auto"/>
        </w:rPr>
        <w:t>”, in relation to any continuing Designated Transaction, have the meanings given in the relevant Master Agreement;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Price</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Ship A, $32,550,000;</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Ship B, $32,550,000;</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Ship C, $32,550,000;</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Ship D, $32,550,000; and</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Ship E, $32,850,000,</w:t>
      </w:r>
    </w:p>
    <w:p>
      <w:pPr>
        <w:spacing w:after="0" w:line="117" w:lineRule="exact"/>
        <w:rPr>
          <w:sz w:val="20"/>
          <w:szCs w:val="20"/>
          <w:color w:val="auto"/>
        </w:rPr>
      </w:pPr>
    </w:p>
    <w:p>
      <w:pPr>
        <w:ind w:left="7" w:right="380"/>
        <w:spacing w:after="0" w:line="277" w:lineRule="auto"/>
        <w:rPr>
          <w:sz w:val="20"/>
          <w:szCs w:val="20"/>
          <w:color w:val="auto"/>
        </w:rPr>
      </w:pPr>
      <w:r>
        <w:rPr>
          <w:rFonts w:ascii="Arial" w:cs="Arial" w:eastAsia="Arial" w:hAnsi="Arial"/>
          <w:sz w:val="18"/>
          <w:szCs w:val="18"/>
          <w:color w:val="auto"/>
        </w:rPr>
        <w:t>being in each case the price payable for that Ship under Article II of the Shipbuilding Contract relative to that Ship, subject to adjustment as provided in Article III of that Shipbuilding Contract;</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Price Instalment</w:t>
      </w:r>
      <w:r>
        <w:rPr>
          <w:rFonts w:ascii="Arial" w:cs="Arial" w:eastAsia="Arial" w:hAnsi="Arial"/>
          <w:sz w:val="18"/>
          <w:szCs w:val="18"/>
          <w:color w:val="auto"/>
        </w:rPr>
        <w:t>” means each instalment of the Contract Price payable under Article II, 4 of each Shipbuilding Contract;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21.5;</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17" w:lineRule="exact"/>
        <w:rPr>
          <w:sz w:val="20"/>
          <w:szCs w:val="20"/>
          <w:color w:val="auto"/>
        </w:rPr>
      </w:pPr>
    </w:p>
    <w:p>
      <w:pPr>
        <w:ind w:left="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CPLP Group</w:t>
      </w:r>
      <w:r>
        <w:rPr>
          <w:rFonts w:ascii="Arial" w:cs="Arial" w:eastAsia="Arial" w:hAnsi="Arial"/>
          <w:sz w:val="18"/>
          <w:szCs w:val="18"/>
          <w:color w:val="auto"/>
        </w:rPr>
        <w:t>” means the Substitute Guarantor and its subsidiaries (whether direct or indirect and including any Affected Borrower) from time to time during the Security Period;</w:t>
      </w:r>
    </w:p>
    <w:p>
      <w:pPr>
        <w:spacing w:after="0" w:line="54"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 Directive 2013/36/EU of the European Union on access to the activity of credit institutions and the prudential supervision of credit institutions and investment firms;</w:t>
      </w:r>
    </w:p>
    <w:p>
      <w:pPr>
        <w:spacing w:after="0" w:line="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7"/>
          </w:cols>
          <w:pgMar w:left="1153" w:top="274" w:right="299" w:bottom="1440" w:gutter="0" w:footer="0" w:header="0"/>
        </w:sectPr>
      </w:pPr>
    </w:p>
    <w:bookmarkStart w:id="179" w:name="page180"/>
    <w:bookmarkEnd w:id="179"/>
    <w:p>
      <w:pPr>
        <w:ind w:left="7" w:right="2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Facility Agent, the Security Trustee, the Swap Bank or any Lender, whether as at the date of this Agreement or at any later time;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CRR</w:t>
      </w:r>
      <w:r>
        <w:rPr>
          <w:rFonts w:ascii="Arial" w:cs="Arial" w:eastAsia="Arial" w:hAnsi="Arial"/>
          <w:sz w:val="17"/>
          <w:szCs w:val="17"/>
          <w:color w:val="auto"/>
        </w:rPr>
        <w:t>” means Regulation (EU) No 575/2013 of the European Union on prudential requirements for credit institutions and investment firms;</w:t>
      </w:r>
    </w:p>
    <w:p>
      <w:pPr>
        <w:spacing w:after="0" w:line="129"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Covenant</w:t>
      </w:r>
      <w:r>
        <w:rPr>
          <w:rFonts w:ascii="Arial" w:cs="Arial" w:eastAsia="Arial" w:hAnsi="Arial"/>
          <w:sz w:val="18"/>
          <w:szCs w:val="18"/>
          <w:color w:val="auto"/>
        </w:rPr>
        <w:t>” means, in relation to a Ship registered or to be registered under Cyprus or Malta flag, a deed of covenant collateral to the Mortgage of that Ship creating charges over the Ship, executed or to be executed by the Borrower which is the owner of that Ship in favour of the Security Trustee, in the Agreed Form, and in the plural means all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135" w:lineRule="exact"/>
        <w:rPr>
          <w:sz w:val="20"/>
          <w:szCs w:val="20"/>
          <w:color w:val="auto"/>
        </w:rPr>
      </w:pPr>
    </w:p>
    <w:p>
      <w:pPr>
        <w:ind w:left="787" w:right="120" w:hanging="787"/>
        <w:spacing w:after="0" w:line="277" w:lineRule="auto"/>
        <w:tabs>
          <w:tab w:leader="none" w:pos="7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which has failed to make available the relevant proportion of its Commitment or has given notice to the Facility Agent that it will not make such amount available by the relevant Drawdown Date pursuant to Clause 4.6;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30" w:lineRule="exact"/>
        <w:rPr>
          <w:rFonts w:ascii="Arial" w:cs="Arial" w:eastAsia="Arial" w:hAnsi="Arial"/>
          <w:sz w:val="18"/>
          <w:szCs w:val="18"/>
          <w:color w:val="auto"/>
        </w:rPr>
      </w:pPr>
    </w:p>
    <w:p>
      <w:pPr>
        <w:ind w:left="807" w:right="4360" w:hanging="807"/>
        <w:spacing w:after="0" w:line="383" w:lineRule="auto"/>
        <w:tabs>
          <w:tab w:leader="none" w:pos="79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spacing w:after="0" w:line="1" w:lineRule="exact"/>
        <w:rPr>
          <w:rFonts w:ascii="Arial" w:cs="Arial" w:eastAsia="Arial" w:hAnsi="Arial"/>
          <w:sz w:val="18"/>
          <w:szCs w:val="18"/>
          <w:color w:val="auto"/>
        </w:rPr>
      </w:pPr>
    </w:p>
    <w:p>
      <w:pPr>
        <w:ind w:left="1467" w:hanging="670"/>
        <w:spacing w:after="0"/>
        <w:tabs>
          <w:tab w:leader="none" w:pos="146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an administrative or technical error; or</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197"/>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807"/>
        <w:spacing w:after="0"/>
        <w:rPr>
          <w:sz w:val="20"/>
          <w:szCs w:val="20"/>
          <w:color w:val="auto"/>
        </w:rPr>
      </w:pPr>
      <w:r>
        <w:rPr>
          <w:rFonts w:ascii="Arial" w:cs="Arial" w:eastAsia="Arial" w:hAnsi="Arial"/>
          <w:sz w:val="18"/>
          <w:szCs w:val="18"/>
          <w:color w:val="auto"/>
        </w:rPr>
        <w:t>payment is made within 5 Business Days of its due date; or</w:t>
      </w:r>
    </w:p>
    <w:p>
      <w:pPr>
        <w:spacing w:after="0" w:line="131" w:lineRule="exact"/>
        <w:rPr>
          <w:sz w:val="20"/>
          <w:szCs w:val="20"/>
          <w:color w:val="auto"/>
        </w:rPr>
      </w:pPr>
    </w:p>
    <w:p>
      <w:pPr>
        <w:ind w:left="1467" w:hanging="670"/>
        <w:spacing w:after="0"/>
        <w:tabs>
          <w:tab w:leader="none" w:pos="146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relevant payment;</w:t>
      </w:r>
    </w:p>
    <w:p>
      <w:pPr>
        <w:spacing w:after="0" w:line="113" w:lineRule="exact"/>
        <w:rPr>
          <w:sz w:val="20"/>
          <w:szCs w:val="20"/>
          <w:color w:val="auto"/>
        </w:rPr>
      </w:pPr>
    </w:p>
    <w:p>
      <w:pPr>
        <w:ind w:left="7"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Advance</w:t>
      </w:r>
      <w:r>
        <w:rPr>
          <w:rFonts w:ascii="Arial" w:cs="Arial" w:eastAsia="Arial" w:hAnsi="Arial"/>
          <w:sz w:val="18"/>
          <w:szCs w:val="18"/>
          <w:color w:val="auto"/>
        </w:rPr>
        <w:t>” means the Advance which shall finance the whole or part of the Instalment of the Contract Price due and payable to the Builder under each Shipbuilding Contract on the Delivery Date in respect of the relevant Ship;</w:t>
      </w:r>
    </w:p>
    <w:p>
      <w:pPr>
        <w:spacing w:after="0" w:line="54" w:lineRule="exact"/>
        <w:rPr>
          <w:sz w:val="20"/>
          <w:szCs w:val="20"/>
          <w:color w:val="auto"/>
        </w:rPr>
      </w:pPr>
    </w:p>
    <w:p>
      <w:pPr>
        <w:ind w:left="7"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relation to each Ship, the date on which title to and possession of that Ship is transferred from the Builder to the relevant Borrower pursuant to the Shipbuilding Contract to which that Borrower is a party;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Person</w:t>
      </w:r>
      <w:r>
        <w:rPr>
          <w:rFonts w:ascii="Arial" w:cs="Arial" w:eastAsia="Arial" w:hAnsi="Arial"/>
          <w:sz w:val="18"/>
          <w:szCs w:val="18"/>
          <w:color w:val="auto"/>
        </w:rPr>
        <w:t>” means a person:</w:t>
      </w:r>
    </w:p>
    <w:p>
      <w:pPr>
        <w:spacing w:after="0" w:line="135" w:lineRule="exact"/>
        <w:rPr>
          <w:sz w:val="20"/>
          <w:szCs w:val="20"/>
          <w:color w:val="auto"/>
        </w:rPr>
      </w:pPr>
    </w:p>
    <w:p>
      <w:pPr>
        <w:ind w:left="787" w:hanging="787"/>
        <w:spacing w:after="0"/>
        <w:tabs>
          <w:tab w:leader="none" w:pos="78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that is, or is owned or controlled by one or more persons that are listed on a Sanctions List, or is otherwise the target of any Sanctions;</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located in or organized under the laws of any jurisdiction that is, or whose government is, targeted by Sanctions;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acting or purporting to act on behalf of any of the persons listed in paragraphs (a) and (b) above; or</w:t>
      </w:r>
    </w:p>
    <w:p>
      <w:pPr>
        <w:spacing w:after="0" w:line="130" w:lineRule="exact"/>
        <w:rPr>
          <w:rFonts w:ascii="Arial" w:cs="Arial" w:eastAsia="Arial" w:hAnsi="Arial"/>
          <w:sz w:val="18"/>
          <w:szCs w:val="18"/>
          <w:color w:val="auto"/>
        </w:rPr>
      </w:pPr>
    </w:p>
    <w:p>
      <w:pPr>
        <w:ind w:left="787" w:right="380" w:hanging="787"/>
        <w:spacing w:after="0" w:line="277" w:lineRule="auto"/>
        <w:tabs>
          <w:tab w:leader="none" w:pos="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 which any relevant Creditor Party is prohibited from (i) dealing or (ii) otherwise engaging in any transaction pursuant to any Sanctions;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Ship</w:t>
      </w:r>
      <w:r>
        <w:rPr>
          <w:rFonts w:ascii="Arial" w:cs="Arial" w:eastAsia="Arial" w:hAnsi="Arial"/>
          <w:sz w:val="18"/>
          <w:szCs w:val="18"/>
          <w:color w:val="auto"/>
        </w:rPr>
        <w:t>” means each of Ship D and Ship E, and in the plural means both of them;</w:t>
      </w:r>
    </w:p>
    <w:p>
      <w:pPr>
        <w:spacing w:after="0" w:line="16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7"/>
          </w:cols>
          <w:pgMar w:left="1153" w:top="270" w:right="239" w:bottom="1440" w:gutter="0" w:footer="0" w:header="0"/>
        </w:sectPr>
      </w:pPr>
    </w:p>
    <w:bookmarkStart w:id="180" w:name="page181"/>
    <w:bookmarkEnd w:id="180"/>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Designated Transaction</w:t>
      </w:r>
      <w:r>
        <w:rPr>
          <w:rFonts w:ascii="Arial" w:cs="Arial" w:eastAsia="Arial" w:hAnsi="Arial"/>
          <w:sz w:val="18"/>
          <w:szCs w:val="18"/>
          <w:color w:val="auto"/>
        </w:rPr>
        <w:t>” means a Transaction which fulfils the following requirements:</w:t>
      </w:r>
    </w:p>
    <w:p>
      <w:pPr>
        <w:spacing w:after="0" w:line="135" w:lineRule="exact"/>
        <w:rPr>
          <w:sz w:val="20"/>
          <w:szCs w:val="20"/>
          <w:color w:val="auto"/>
        </w:rPr>
      </w:pPr>
    </w:p>
    <w:p>
      <w:pPr>
        <w:ind w:left="787" w:right="60" w:hanging="787"/>
        <w:spacing w:after="0" w:line="277" w:lineRule="auto"/>
        <w:tabs>
          <w:tab w:leader="none" w:pos="7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it is entered into by a Borrower pursuant to the Master Agreement to which it is a party with either Swap Bank which, at the time the Transaction is entered into, is also a Lender (or an affiliate of a Lender;</w:t>
      </w:r>
    </w:p>
    <w:p>
      <w:pPr>
        <w:spacing w:after="0" w:line="75" w:lineRule="exact"/>
        <w:rPr>
          <w:rFonts w:ascii="Arial" w:cs="Arial" w:eastAsia="Arial" w:hAnsi="Arial"/>
          <w:sz w:val="18"/>
          <w:szCs w:val="18"/>
          <w:color w:val="auto"/>
        </w:rPr>
      </w:pPr>
    </w:p>
    <w:p>
      <w:pPr>
        <w:ind w:left="787" w:right="20" w:hanging="787"/>
        <w:spacing w:after="0" w:line="277" w:lineRule="auto"/>
        <w:tabs>
          <w:tab w:leader="none" w:pos="7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its purpose is the hedging of that Borrower’s exposure under this Agreement to fluctuations in LIBOR arising from the funding of the Loan (or any part thereof) for a period expiring no later than the final Repayment Date; and</w:t>
      </w:r>
    </w:p>
    <w:p>
      <w:pPr>
        <w:spacing w:after="0" w:line="75"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it is designated by delivery by the Swap Bank to the Facility Agent and the Borrowers of a notice of designation in the form set out in Schedule 5, as a Designated Transaction for the purposes of the Finance Documents;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787" w:right="60" w:hanging="787"/>
        <w:spacing w:after="0" w:line="259" w:lineRule="auto"/>
        <w:tabs>
          <w:tab w:leader="none" w:pos="7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Loan (or otherwise in order for the transactions contemplated by the Finance Documents to be carried out) which disruption is not caused by, and is beyond the control of, a party to this Agreement (a “</w:t>
      </w:r>
      <w:r>
        <w:rPr>
          <w:rFonts w:ascii="Arial" w:cs="Arial" w:eastAsia="Arial" w:hAnsi="Arial"/>
          <w:sz w:val="18"/>
          <w:szCs w:val="18"/>
          <w:b w:val="1"/>
          <w:bCs w:val="1"/>
          <w:color w:val="auto"/>
        </w:rPr>
        <w:t>Party</w:t>
      </w:r>
      <w:r>
        <w:rPr>
          <w:rFonts w:ascii="Arial" w:cs="Arial" w:eastAsia="Arial" w:hAnsi="Arial"/>
          <w:sz w:val="18"/>
          <w:szCs w:val="18"/>
          <w:color w:val="auto"/>
        </w:rPr>
        <w:t>”); or</w:t>
      </w:r>
    </w:p>
    <w:p>
      <w:pPr>
        <w:spacing w:after="0" w:line="92" w:lineRule="exact"/>
        <w:rPr>
          <w:rFonts w:ascii="Arial" w:cs="Arial" w:eastAsia="Arial" w:hAnsi="Arial"/>
          <w:sz w:val="18"/>
          <w:szCs w:val="18"/>
          <w:color w:val="auto"/>
        </w:rPr>
      </w:pPr>
    </w:p>
    <w:p>
      <w:pPr>
        <w:ind w:left="787" w:right="140" w:hanging="787"/>
        <w:spacing w:after="0" w:line="277" w:lineRule="auto"/>
        <w:tabs>
          <w:tab w:leader="none" w:pos="7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67" w:hanging="670"/>
        <w:spacing w:after="0"/>
        <w:tabs>
          <w:tab w:leader="none" w:pos="146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7" w:right="1820"/>
        <w:spacing w:after="0" w:line="395" w:lineRule="auto"/>
        <w:rPr>
          <w:sz w:val="20"/>
          <w:szCs w:val="20"/>
          <w:color w:val="auto"/>
        </w:rPr>
      </w:pPr>
      <w:r>
        <w:rPr>
          <w:rFonts w:ascii="Arial" w:cs="Arial" w:eastAsia="Arial" w:hAnsi="Arial"/>
          <w:sz w:val="17"/>
          <w:szCs w:val="17"/>
          <w:color w:val="auto"/>
        </w:rPr>
        <w:t>and which (in either such case) is not caused by, and is beyond the control of, the Party whose operations are disrupted; “</w:t>
      </w:r>
      <w:r>
        <w:rPr>
          <w:rFonts w:ascii="Arial" w:cs="Arial" w:eastAsia="Arial" w:hAnsi="Arial"/>
          <w:sz w:val="17"/>
          <w:szCs w:val="17"/>
          <w:b w:val="1"/>
          <w:bCs w:val="1"/>
          <w:color w:val="auto"/>
        </w:rPr>
        <w:t>Dollars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means the lawful currency for the time being of the United States of America;</w:t>
      </w:r>
    </w:p>
    <w:p>
      <w:pPr>
        <w:spacing w:after="0" w:line="1" w:lineRule="exact"/>
        <w:rPr>
          <w:sz w:val="20"/>
          <w:szCs w:val="20"/>
          <w:color w:val="auto"/>
        </w:rPr>
      </w:pPr>
    </w:p>
    <w:p>
      <w:pPr>
        <w:ind w:left="7"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in relation to an Advance, the date requested by the Borrowers for the Advance to be made, or (as the context requires) the date on which the Advance is actually made;</w:t>
      </w:r>
    </w:p>
    <w:p>
      <w:pPr>
        <w:spacing w:after="0" w:line="54" w:lineRule="exact"/>
        <w:rPr>
          <w:sz w:val="20"/>
          <w:szCs w:val="20"/>
          <w:color w:val="auto"/>
        </w:rPr>
      </w:pPr>
    </w:p>
    <w:p>
      <w:pPr>
        <w:ind w:left="7" w:right="8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Facility Agent, acting with the authorisation of all the Lenders, approves or reasonably requires);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Dropdown</w:t>
      </w:r>
      <w:r>
        <w:rPr>
          <w:rFonts w:ascii="Arial" w:cs="Arial" w:eastAsia="Arial" w:hAnsi="Arial"/>
          <w:sz w:val="18"/>
          <w:szCs w:val="18"/>
          <w:color w:val="auto"/>
        </w:rPr>
        <w:t>” has the meaning given in Clause 4.9;</w:t>
      </w:r>
    </w:p>
    <w:p>
      <w:pPr>
        <w:spacing w:after="0" w:line="117" w:lineRule="exact"/>
        <w:rPr>
          <w:sz w:val="20"/>
          <w:szCs w:val="20"/>
          <w:color w:val="auto"/>
        </w:rPr>
      </w:pPr>
    </w:p>
    <w:p>
      <w:pPr>
        <w:ind w:left="7" w:right="4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Ship, all moneys whatsoever which are now, or later become, payable (actually or contingently) to the Borrower which is the owner of that Ship or the Security Trustee and which arise out of the use or operation of the Ship, including (but not limited to):</w:t>
      </w:r>
    </w:p>
    <w:p>
      <w:pPr>
        <w:spacing w:after="0" w:line="86" w:lineRule="exact"/>
        <w:rPr>
          <w:sz w:val="20"/>
          <w:szCs w:val="20"/>
          <w:color w:val="auto"/>
        </w:rPr>
      </w:pPr>
    </w:p>
    <w:p>
      <w:pPr>
        <w:jc w:val="both"/>
        <w:ind w:left="787" w:right="80" w:hanging="787"/>
        <w:spacing w:after="0" w:line="286" w:lineRule="auto"/>
        <w:tabs>
          <w:tab w:leader="none" w:pos="78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freight, hire and passage moneys, compensation payable to that Borrower or the Security Trustee in the event of requisition of the Ship for hire, remuneration for salvage and towage services, demurrage and detention moneys and damages for breach (or payments for variation or termination) of any charterparty or other contract for the employment of the Ship;</w:t>
      </w:r>
    </w:p>
    <w:p>
      <w:pPr>
        <w:spacing w:after="0" w:line="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27"/>
          </w:cols>
          <w:pgMar w:left="1153" w:top="270" w:right="319" w:bottom="1440" w:gutter="0" w:footer="0" w:header="0"/>
        </w:sectPr>
      </w:pPr>
    </w:p>
    <w:bookmarkStart w:id="181" w:name="page182"/>
    <w:bookmarkEnd w:id="181"/>
    <w:p>
      <w:pPr>
        <w:ind w:left="787" w:hanging="787"/>
        <w:spacing w:after="0"/>
        <w:tabs>
          <w:tab w:leader="none" w:pos="7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moneys which are at any time payable under any Insurances in respect of loss of hire; and</w:t>
      </w:r>
    </w:p>
    <w:p>
      <w:pPr>
        <w:spacing w:after="0" w:line="130" w:lineRule="exact"/>
        <w:rPr>
          <w:rFonts w:ascii="Arial" w:cs="Arial" w:eastAsia="Arial" w:hAnsi="Arial"/>
          <w:sz w:val="18"/>
          <w:szCs w:val="18"/>
          <w:color w:val="auto"/>
        </w:rPr>
      </w:pPr>
    </w:p>
    <w:p>
      <w:pPr>
        <w:ind w:left="787" w:right="200" w:hanging="787"/>
        <w:spacing w:after="0" w:line="264" w:lineRule="auto"/>
        <w:tabs>
          <w:tab w:leader="none" w:pos="7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and whenever the Ship is employed on terms whereby any moneys falling within paragraphs (a) or (b) above are pooled or shared with any other person, that proportion of the net receipts of the relevant pooling or sharing arrangement which is attributable to the Ship;</w:t>
      </w:r>
    </w:p>
    <w:p>
      <w:pPr>
        <w:spacing w:after="0" w:line="69" w:lineRule="exact"/>
        <w:rPr>
          <w:sz w:val="20"/>
          <w:szCs w:val="20"/>
          <w:color w:val="auto"/>
        </w:rPr>
      </w:pPr>
    </w:p>
    <w:p>
      <w:pPr>
        <w:ind w:left="7"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w:t>
      </w:r>
      <w:r>
        <w:rPr>
          <w:rFonts w:ascii="Arial" w:cs="Arial" w:eastAsia="Arial" w:hAnsi="Arial"/>
          <w:sz w:val="18"/>
          <w:szCs w:val="18"/>
          <w:color w:val="auto"/>
        </w:rPr>
        <w:t>” means, with respect to a Borrower, an account in the name of that Borrower with the Facility Agent in London which is designated by the Facility Agent in writing as the Earnings Account with respect to that Borrower for the purposes of this Agreement and in the plural means all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787" w:right="760" w:hanging="787"/>
        <w:spacing w:after="0" w:line="277" w:lineRule="auto"/>
        <w:tabs>
          <w:tab w:leader="none" w:pos="7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a Ship; or</w:t>
      </w:r>
    </w:p>
    <w:p>
      <w:pPr>
        <w:spacing w:after="0" w:line="130" w:lineRule="exact"/>
        <w:rPr>
          <w:rFonts w:ascii="Arial" w:cs="Arial" w:eastAsia="Arial" w:hAnsi="Arial"/>
          <w:sz w:val="18"/>
          <w:szCs w:val="18"/>
          <w:color w:val="auto"/>
        </w:rPr>
      </w:pPr>
    </w:p>
    <w:p>
      <w:pPr>
        <w:ind w:left="787" w:right="100" w:hanging="787"/>
        <w:spacing w:after="0" w:line="279" w:lineRule="auto"/>
        <w:tabs>
          <w:tab w:leader="none" w:pos="78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incident in which Environmentally Sensitive Material is released from a vessel other than a Ship and which involves a collision between a Ship and such other vessel or some other incident of navigation or operation, in either case, in connection with which a Ship is actually or potentially liable to be arrested, attached, detained or injuncted and/or a Ship or a Borrower and/or any operator or manager is at fault or allegedly at fault or otherwise liable to any legal or administrative action; or</w:t>
      </w:r>
    </w:p>
    <w:p>
      <w:pPr>
        <w:spacing w:after="0" w:line="76" w:lineRule="exact"/>
        <w:rPr>
          <w:rFonts w:ascii="Arial" w:cs="Arial" w:eastAsia="Arial" w:hAnsi="Arial"/>
          <w:sz w:val="17"/>
          <w:szCs w:val="17"/>
          <w:color w:val="auto"/>
        </w:rPr>
      </w:pPr>
    </w:p>
    <w:p>
      <w:pPr>
        <w:ind w:left="787" w:right="20" w:hanging="787"/>
        <w:spacing w:after="0" w:line="264" w:lineRule="auto"/>
        <w:tabs>
          <w:tab w:leader="none" w:pos="7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a Ship and in connection with which a Ship is actually or potentially liable to be arrested and/or where a Borrower and/or any operator or manager of a Ship is at fault or allegedly at fault or otherwise liable to any legal or administrative action;</w:t>
      </w:r>
    </w:p>
    <w:p>
      <w:pPr>
        <w:spacing w:after="0" w:line="69" w:lineRule="exact"/>
        <w:rPr>
          <w:sz w:val="20"/>
          <w:szCs w:val="20"/>
          <w:color w:val="auto"/>
        </w:rPr>
      </w:pPr>
    </w:p>
    <w:p>
      <w:pPr>
        <w:ind w:left="7"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or protection of the environment, to the carriage of Environmentally Sensitive Material or to actual or threatened releases of Environmentally Sensitive Material;</w:t>
      </w:r>
    </w:p>
    <w:p>
      <w:pPr>
        <w:spacing w:after="0" w:line="54" w:lineRule="exact"/>
        <w:rPr>
          <w:sz w:val="20"/>
          <w:szCs w:val="20"/>
          <w:color w:val="auto"/>
        </w:rPr>
      </w:pPr>
    </w:p>
    <w:p>
      <w:pPr>
        <w:ind w:left="7"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w:t>
      </w:r>
    </w:p>
    <w:p>
      <w:pPr>
        <w:spacing w:after="0" w:line="16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7"/>
          </w:cols>
          <w:pgMar w:left="1153" w:top="274" w:right="259" w:bottom="1440" w:gutter="0" w:footer="0" w:header="0"/>
        </w:sectPr>
      </w:pPr>
    </w:p>
    <w:bookmarkStart w:id="182" w:name="page183"/>
    <w:bookmarkEnd w:id="182"/>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sections 1471 to 1474 of the Code and any Treasury regulations thereunder:</w:t>
      </w:r>
    </w:p>
    <w:p>
      <w:pPr>
        <w:spacing w:after="0" w:line="130" w:lineRule="exact"/>
        <w:rPr>
          <w:rFonts w:ascii="Arial" w:cs="Arial" w:eastAsia="Arial" w:hAnsi="Arial"/>
          <w:sz w:val="18"/>
          <w:szCs w:val="18"/>
          <w:color w:val="auto"/>
        </w:rPr>
      </w:pPr>
    </w:p>
    <w:p>
      <w:pPr>
        <w:ind w:left="787" w:right="120" w:hanging="787"/>
        <w:spacing w:after="0" w:line="342" w:lineRule="auto"/>
        <w:tabs>
          <w:tab w:leader="none" w:pos="7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treaty, law, regulation or other official guidance enacted in any other jurisdiction, or relating to an intergovernmental agreement between the US and any other jurisdiction, which (in either case) facilitates the implementation of paragraph(a) above; or</w:t>
      </w:r>
    </w:p>
    <w:p>
      <w:pPr>
        <w:spacing w:after="0" w:line="29" w:lineRule="exact"/>
        <w:rPr>
          <w:rFonts w:ascii="Arial" w:cs="Arial" w:eastAsia="Arial" w:hAnsi="Arial"/>
          <w:sz w:val="16"/>
          <w:szCs w:val="16"/>
          <w:color w:val="auto"/>
        </w:rPr>
      </w:pPr>
    </w:p>
    <w:p>
      <w:pPr>
        <w:ind w:left="787" w:right="720" w:hanging="787"/>
        <w:spacing w:after="0" w:line="277" w:lineRule="auto"/>
        <w:tabs>
          <w:tab w:leader="none" w:pos="7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 Deduction</w:t>
      </w:r>
      <w:r>
        <w:rPr>
          <w:rFonts w:ascii="Arial" w:cs="Arial" w:eastAsia="Arial" w:hAnsi="Arial"/>
          <w:sz w:val="17"/>
          <w:szCs w:val="17"/>
          <w:color w:val="auto"/>
        </w:rPr>
        <w:t>” means a deduction or withholding from a payment under any Finance Document required by or under FATCA;</w:t>
      </w:r>
    </w:p>
    <w:p>
      <w:pPr>
        <w:spacing w:after="0" w:line="129" w:lineRule="exact"/>
        <w:rPr>
          <w:sz w:val="20"/>
          <w:szCs w:val="20"/>
          <w:color w:val="auto"/>
        </w:rPr>
      </w:pPr>
    </w:p>
    <w:p>
      <w:pPr>
        <w:ind w:left="7"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to a Finance Document that is entitled under FATCA to receive payments free from any FATCA Deduction;</w:t>
      </w:r>
    </w:p>
    <w:p>
      <w:pPr>
        <w:spacing w:after="0" w:line="54" w:lineRule="exact"/>
        <w:rPr>
          <w:sz w:val="20"/>
          <w:szCs w:val="20"/>
          <w:color w:val="auto"/>
        </w:rPr>
      </w:pPr>
    </w:p>
    <w:p>
      <w:pPr>
        <w:ind w:left="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FFI</w:t>
      </w:r>
      <w:r>
        <w:rPr>
          <w:rFonts w:ascii="Arial" w:cs="Arial" w:eastAsia="Arial" w:hAnsi="Arial"/>
          <w:sz w:val="18"/>
          <w:szCs w:val="18"/>
          <w:color w:val="auto"/>
        </w:rPr>
        <w:t>” means a foreign financial institution as defined in section 1471(d)(4) of the Code which could be required to make a FATCA Deduction;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Non-Exempt Lender</w:t>
      </w:r>
      <w:r>
        <w:rPr>
          <w:rFonts w:ascii="Arial" w:cs="Arial" w:eastAsia="Arial" w:hAnsi="Arial"/>
          <w:sz w:val="18"/>
          <w:szCs w:val="18"/>
          <w:color w:val="auto"/>
        </w:rPr>
        <w:t>“means any Lender who is not a FATCA Exempt Party;</w:t>
      </w:r>
    </w:p>
    <w:p>
      <w:pPr>
        <w:spacing w:after="0" w:line="117"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 letter issued or to be issued by the Borrowers to the Facility Agent in which the Borrowers agree to pay certain fees to the Facility Agent in connection with this Agreement;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Master Agreements;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Master Agreement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Master Agreement Guarantees;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Agency and Trust Agreement;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Pre-delivery Security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Guarantee;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Shares Pledges;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Mortgages;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Deeds of Covenant;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Accounts Pledges;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Fee Letter;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Charterparty Assignments;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Approved Manager’s Undertakings;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New Finance Documents; and</w:t>
      </w:r>
    </w:p>
    <w:p>
      <w:pPr>
        <w:spacing w:after="0" w:line="15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7"/>
          </w:cols>
          <w:pgMar w:left="1153" w:top="270" w:right="339" w:bottom="1440" w:gutter="0" w:footer="0" w:header="0"/>
        </w:sectPr>
      </w:pPr>
    </w:p>
    <w:bookmarkStart w:id="183" w:name="page184"/>
    <w:bookmarkEnd w:id="183"/>
    <w:p>
      <w:pPr>
        <w:ind w:left="787" w:right="140" w:hanging="787"/>
        <w:spacing w:after="0" w:line="312" w:lineRule="auto"/>
        <w:tabs>
          <w:tab w:leader="none" w:pos="787" w:val="left"/>
        </w:tabs>
        <w:numPr>
          <w:ilvl w:val="0"/>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document (whether creating a Security Interest or not) which is executed at any time by the Borrowers or any other person as security for, or to establish any form of subordination or priorities arrangement in relation to, any amount payable to the Lenders under this Agreement or any of the documents referred to in this definition and, in the singular, means any of them;</w:t>
      </w:r>
    </w:p>
    <w:p>
      <w:pPr>
        <w:spacing w:after="0" w:line="35" w:lineRule="exact"/>
        <w:rPr>
          <w:sz w:val="20"/>
          <w:szCs w:val="20"/>
          <w:color w:val="auto"/>
        </w:rPr>
      </w:pPr>
    </w:p>
    <w:p>
      <w:pPr>
        <w:ind w:left="7" w:right="1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Maturity Date</w:t>
      </w:r>
      <w:r>
        <w:rPr>
          <w:rFonts w:ascii="Arial" w:cs="Arial" w:eastAsia="Arial" w:hAnsi="Arial"/>
          <w:sz w:val="16"/>
          <w:szCs w:val="16"/>
          <w:color w:val="auto"/>
        </w:rPr>
        <w:t>” means, in relation to each Tranche, the earlier of (i) the date falling on the seventh anniversary of the Delivery Date (or, in the case of Ship A, the Drawdown Date of the Advance) in respect of the Ship to be financed by that Tranche and (ii) 31 December 2023;</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any liability of the debtor:</w:t>
      </w:r>
    </w:p>
    <w:p>
      <w:pPr>
        <w:spacing w:after="0" w:line="135" w:lineRule="exact"/>
        <w:rPr>
          <w:sz w:val="20"/>
          <w:szCs w:val="20"/>
          <w:color w:val="auto"/>
        </w:rPr>
      </w:pPr>
    </w:p>
    <w:p>
      <w:pPr>
        <w:ind w:left="787" w:hanging="787"/>
        <w:spacing w:after="0"/>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made available to the debtor;</w:t>
      </w:r>
    </w:p>
    <w:p>
      <w:pPr>
        <w:spacing w:after="0" w:line="130" w:lineRule="exact"/>
        <w:rPr>
          <w:rFonts w:ascii="Arial" w:cs="Arial" w:eastAsia="Arial" w:hAnsi="Arial"/>
          <w:sz w:val="18"/>
          <w:szCs w:val="18"/>
          <w:color w:val="auto"/>
        </w:rPr>
      </w:pPr>
    </w:p>
    <w:p>
      <w:pPr>
        <w:ind w:left="787" w:right="420" w:hanging="787"/>
        <w:spacing w:after="0" w:line="277" w:lineRule="auto"/>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75" w:lineRule="exact"/>
        <w:rPr>
          <w:rFonts w:ascii="Arial" w:cs="Arial" w:eastAsia="Arial" w:hAnsi="Arial"/>
          <w:sz w:val="18"/>
          <w:szCs w:val="18"/>
          <w:color w:val="auto"/>
        </w:rPr>
      </w:pPr>
    </w:p>
    <w:p>
      <w:pPr>
        <w:ind w:left="787" w:right="220" w:hanging="787"/>
        <w:spacing w:after="0" w:line="342" w:lineRule="auto"/>
        <w:tabs>
          <w:tab w:leader="none" w:pos="7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under any interest or currency swap or any other kind of derivative transaction entered into by the debtor or, if the agreement under which any such transaction is entered into requires netting of mutual liabilities, the liability of the debtor for the net amount;</w:t>
      </w:r>
    </w:p>
    <w:p>
      <w:pPr>
        <w:spacing w:after="0" w:line="29" w:lineRule="exact"/>
        <w:rPr>
          <w:rFonts w:ascii="Arial" w:cs="Arial" w:eastAsia="Arial" w:hAnsi="Arial"/>
          <w:sz w:val="16"/>
          <w:szCs w:val="16"/>
          <w:color w:val="auto"/>
        </w:rPr>
      </w:pPr>
    </w:p>
    <w:p>
      <w:pPr>
        <w:ind w:left="787" w:right="220" w:hanging="787"/>
        <w:spacing w:after="0" w:line="277" w:lineRule="auto"/>
        <w:tabs>
          <w:tab w:leader="none" w:pos="7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(a) to (e) if the references to the debtor referred to the other person;</w:t>
      </w:r>
    </w:p>
    <w:p>
      <w:pPr>
        <w:spacing w:after="0" w:line="58" w:lineRule="exact"/>
        <w:rPr>
          <w:sz w:val="20"/>
          <w:szCs w:val="20"/>
          <w:color w:val="auto"/>
        </w:rPr>
      </w:pPr>
    </w:p>
    <w:p>
      <w:pPr>
        <w:ind w:left="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the Earnings, the Insurances and any Requisition Compensation of such Ship, in the Agreed Form and in the plural means all of them;</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relation to the period from the date of this Agreement until the date of the first Dropdown, the CMTC Group;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thereafter, the CMTC Group or the CPLP Group, and in the plural means both of them,</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member of a Group</w:t>
      </w:r>
      <w:r>
        <w:rPr>
          <w:rFonts w:ascii="Arial" w:cs="Arial" w:eastAsia="Arial" w:hAnsi="Arial"/>
          <w:sz w:val="18"/>
          <w:szCs w:val="18"/>
          <w:color w:val="auto"/>
        </w:rPr>
        <w:t>” shall be construed accordingly;</w:t>
      </w:r>
    </w:p>
    <w:p>
      <w:pPr>
        <w:spacing w:after="0" w:line="117"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the guarantee of the obligations of certain Borrowers under this Agreement and the Finance Documents to which each such Borrower is a party to be given by the Guarantor in favour of the Security Trustee in the Agreed Form;</w:t>
      </w:r>
    </w:p>
    <w:p>
      <w:pPr>
        <w:spacing w:after="0" w:line="54" w:lineRule="exact"/>
        <w:rPr>
          <w:sz w:val="20"/>
          <w:szCs w:val="20"/>
          <w:color w:val="auto"/>
        </w:rPr>
      </w:pPr>
    </w:p>
    <w:p>
      <w:pPr>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Capital Maritime &amp; Trading Corp., a corporation incorporated under the laws of the Republic of the Marshall Islands and having its registered office at Trust Company House, Trust Company Complex, Ajeltake Road, Ajeltake Island, Majuro, MH96960 the Marshall Islands;</w:t>
      </w:r>
    </w:p>
    <w:p>
      <w:pPr>
        <w:spacing w:after="0" w:line="11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7"/>
          </w:cols>
          <w:pgMar w:left="1153" w:top="274" w:right="279" w:bottom="1440" w:gutter="0" w:footer="0" w:header="0"/>
        </w:sectPr>
      </w:pPr>
    </w:p>
    <w:bookmarkStart w:id="184" w:name="page185"/>
    <w:bookmarkEnd w:id="184"/>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Facility Agent at any time when:</w:t>
      </w:r>
    </w:p>
    <w:p>
      <w:pPr>
        <w:spacing w:after="0" w:line="135" w:lineRule="exact"/>
        <w:rPr>
          <w:sz w:val="20"/>
          <w:szCs w:val="20"/>
          <w:color w:val="auto"/>
        </w:rPr>
      </w:pPr>
    </w:p>
    <w:p>
      <w:pPr>
        <w:ind w:left="787" w:right="180" w:hanging="787"/>
        <w:spacing w:after="0" w:line="277" w:lineRule="auto"/>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it has failed to make (or has notified a party to a Finance Document that it will not make) a payment required to be made by it under the Finance Documents by the due date for payment;</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Facility Agent otherwise rescinds or repudiates a Finance Document;</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the Facility Agent is also a Lender), it is a Defaulting Lender under paragraph (a) or (b) of the definition of “Defaulting Lender”; or</w:t>
      </w:r>
    </w:p>
    <w:p>
      <w:pPr>
        <w:spacing w:after="0" w:line="153" w:lineRule="exact"/>
        <w:rPr>
          <w:rFonts w:ascii="Arial" w:cs="Arial" w:eastAsia="Arial" w:hAnsi="Arial"/>
          <w:sz w:val="16"/>
          <w:szCs w:val="16"/>
          <w:color w:val="auto"/>
        </w:rPr>
      </w:pPr>
    </w:p>
    <w:p>
      <w:pPr>
        <w:ind w:left="807" w:right="3480" w:hanging="807"/>
        <w:spacing w:after="0" w:line="383" w:lineRule="auto"/>
        <w:tabs>
          <w:tab w:leader="none" w:pos="79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Facility Agent; unless, in the case of paragraph (a) above:</w:t>
      </w:r>
    </w:p>
    <w:p>
      <w:pPr>
        <w:spacing w:after="0" w:line="1" w:lineRule="exact"/>
        <w:rPr>
          <w:rFonts w:ascii="Arial" w:cs="Arial" w:eastAsia="Arial" w:hAnsi="Arial"/>
          <w:sz w:val="18"/>
          <w:szCs w:val="18"/>
          <w:color w:val="auto"/>
        </w:rPr>
      </w:pPr>
    </w:p>
    <w:p>
      <w:pPr>
        <w:ind w:left="1467" w:hanging="670"/>
        <w:spacing w:after="0"/>
        <w:tabs>
          <w:tab w:leader="none" w:pos="14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an administrative or technical error; or</w:t>
      </w:r>
    </w:p>
    <w:p>
      <w:pPr>
        <w:spacing w:after="0" w:line="130" w:lineRule="exact"/>
        <w:rPr>
          <w:rFonts w:ascii="Arial" w:cs="Arial" w:eastAsia="Arial" w:hAnsi="Arial"/>
          <w:sz w:val="18"/>
          <w:szCs w:val="18"/>
          <w:color w:val="auto"/>
        </w:rPr>
      </w:pPr>
    </w:p>
    <w:p>
      <w:pPr>
        <w:ind w:left="2287" w:hanging="802"/>
        <w:spacing w:after="0"/>
        <w:tabs>
          <w:tab w:leader="none" w:pos="228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payment is made within 10 Business Days of its due date; or</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Facility Agent is disputing in good faith whether it is contractually obliged to make the payment in question;</w:t>
      </w:r>
    </w:p>
    <w:p>
      <w:pPr>
        <w:spacing w:after="0" w:line="113" w:lineRule="exact"/>
        <w:rPr>
          <w:sz w:val="20"/>
          <w:szCs w:val="20"/>
          <w:color w:val="auto"/>
        </w:rPr>
      </w:pPr>
    </w:p>
    <w:p>
      <w:pPr>
        <w:ind w:left="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in relation to each Ship, the Market Value thereof determined by taking the average of the valuations of that Ship referred to in paragraph 4 of Schedule 3, Part B;</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 Creditor Party means that that Creditor Party:</w:t>
      </w:r>
    </w:p>
    <w:p>
      <w:pPr>
        <w:spacing w:after="0" w:line="135" w:lineRule="exact"/>
        <w:rPr>
          <w:sz w:val="20"/>
          <w:szCs w:val="20"/>
          <w:color w:val="auto"/>
        </w:rPr>
      </w:pPr>
    </w:p>
    <w:p>
      <w:pPr>
        <w:ind w:left="787" w:hanging="787"/>
        <w:spacing w:after="0"/>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30" w:lineRule="exact"/>
        <w:rPr>
          <w:rFonts w:ascii="Arial" w:cs="Arial" w:eastAsia="Arial" w:hAnsi="Arial"/>
          <w:sz w:val="18"/>
          <w:szCs w:val="18"/>
          <w:color w:val="auto"/>
        </w:rPr>
      </w:pPr>
    </w:p>
    <w:p>
      <w:pPr>
        <w:ind w:left="787" w:right="340" w:hanging="787"/>
        <w:spacing w:after="0" w:line="277"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becomes insolvent or that Creditor Party admits in writing that it is unable to pay its debts or fails or admits in writing its inability generally to pay its debts as they become due;</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787" w:right="120" w:hanging="787"/>
        <w:spacing w:after="0" w:line="257"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93" w:lineRule="exact"/>
        <w:rPr>
          <w:rFonts w:ascii="Arial" w:cs="Arial" w:eastAsia="Arial" w:hAnsi="Arial"/>
          <w:sz w:val="18"/>
          <w:szCs w:val="18"/>
          <w:color w:val="auto"/>
        </w:rPr>
      </w:pPr>
    </w:p>
    <w:p>
      <w:pPr>
        <w:ind w:left="787" w:right="200" w:hanging="787"/>
        <w:spacing w:after="0" w:line="259"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Arial" w:cs="Arial" w:eastAsia="Arial" w:hAnsi="Arial"/>
          <w:sz w:val="18"/>
          <w:szCs w:val="18"/>
          <w:color w:val="auto"/>
        </w:rPr>
      </w:pPr>
    </w:p>
    <w:p>
      <w:pPr>
        <w:ind w:left="1467" w:right="700" w:hanging="670"/>
        <w:spacing w:after="0" w:line="277" w:lineRule="auto"/>
        <w:tabs>
          <w:tab w:leader="none" w:pos="146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7"/>
          </w:cols>
          <w:pgMar w:left="1153" w:top="270" w:right="259" w:bottom="1440" w:gutter="0" w:footer="0" w:header="0"/>
        </w:sectPr>
      </w:pPr>
    </w:p>
    <w:bookmarkStart w:id="185" w:name="page186"/>
    <w:bookmarkEnd w:id="185"/>
    <w:p>
      <w:pPr>
        <w:ind w:left="1467" w:hanging="670"/>
        <w:spacing w:after="0"/>
        <w:tabs>
          <w:tab w:leader="none" w:pos="1467" w:val="left"/>
        </w:tabs>
        <w:numPr>
          <w:ilvl w:val="1"/>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dismissed, discharged, stayed or restrained in each case within 30 days of the institution or presentation thereof;</w:t>
      </w:r>
    </w:p>
    <w:p>
      <w:pPr>
        <w:spacing w:after="0" w:line="142" w:lineRule="exact"/>
        <w:rPr>
          <w:rFonts w:ascii="Arial" w:cs="Arial" w:eastAsia="Arial" w:hAnsi="Arial"/>
          <w:sz w:val="17"/>
          <w:szCs w:val="17"/>
          <w:color w:val="auto"/>
        </w:rPr>
      </w:pPr>
    </w:p>
    <w:p>
      <w:pPr>
        <w:ind w:left="787" w:right="140" w:hanging="787"/>
        <w:spacing w:after="0" w:line="277" w:lineRule="auto"/>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ind w:left="787" w:right="20" w:hanging="787"/>
        <w:spacing w:after="0" w:line="312" w:lineRule="auto"/>
        <w:tabs>
          <w:tab w:leader="none" w:pos="78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52" w:lineRule="exact"/>
        <w:rPr>
          <w:rFonts w:ascii="Arial" w:cs="Arial" w:eastAsia="Arial" w:hAnsi="Arial"/>
          <w:sz w:val="16"/>
          <w:szCs w:val="16"/>
          <w:color w:val="auto"/>
        </w:rPr>
      </w:pPr>
    </w:p>
    <w:p>
      <w:pPr>
        <w:ind w:left="787" w:right="140" w:hanging="787"/>
        <w:spacing w:after="0" w:line="286" w:lineRule="auto"/>
        <w:tabs>
          <w:tab w:leader="none" w:pos="78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70" w:lineRule="exact"/>
        <w:rPr>
          <w:rFonts w:ascii="Arial" w:cs="Arial" w:eastAsia="Arial" w:hAnsi="Arial"/>
          <w:sz w:val="17"/>
          <w:szCs w:val="17"/>
          <w:color w:val="auto"/>
        </w:rPr>
      </w:pPr>
    </w:p>
    <w:p>
      <w:pPr>
        <w:ind w:left="787" w:right="60" w:hanging="787"/>
        <w:spacing w:after="0" w:line="277" w:lineRule="auto"/>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right="380" w:hanging="787"/>
        <w:spacing w:after="0" w:line="277" w:lineRule="auto"/>
        <w:tabs>
          <w:tab w:leader="none" w:pos="7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policies and contracts of insurance or reinsurance, including entries of such Ship in any protection and indemnity or war risks association, which are effected in respect of such Ship, her Earnings or otherwise in relation to her; and</w:t>
      </w:r>
    </w:p>
    <w:p>
      <w:pPr>
        <w:spacing w:after="0" w:line="75"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of the foregoing, including any rights to a return of a premium or under any cut-through clause;</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Instalments</w:t>
      </w:r>
      <w:r>
        <w:rPr>
          <w:rFonts w:ascii="Arial" w:cs="Arial" w:eastAsia="Arial" w:hAnsi="Arial"/>
          <w:sz w:val="18"/>
          <w:szCs w:val="18"/>
          <w:color w:val="auto"/>
        </w:rPr>
        <w:t>” has the meaning given in Clause 8.1(b)(i);</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117" w:lineRule="exact"/>
        <w:rPr>
          <w:sz w:val="20"/>
          <w:szCs w:val="20"/>
          <w:color w:val="auto"/>
        </w:rPr>
      </w:pPr>
    </w:p>
    <w:p>
      <w:pPr>
        <w:ind w:left="7"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Shareholder</w:t>
      </w:r>
      <w:r>
        <w:rPr>
          <w:rFonts w:ascii="Arial" w:cs="Arial" w:eastAsia="Arial" w:hAnsi="Arial"/>
          <w:sz w:val="17"/>
          <w:szCs w:val="17"/>
          <w:color w:val="auto"/>
        </w:rPr>
        <w:t>” means Capital Product Operating LLC, a limited liability company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LIBOR for an Interest Period, the rate (rounded to the same number of decimal places as the two relevant Screen Rates) which results from interpolating on a linear basis between:</w:t>
      </w:r>
    </w:p>
    <w:p>
      <w:pPr>
        <w:spacing w:after="0" w:line="71" w:lineRule="exact"/>
        <w:rPr>
          <w:sz w:val="20"/>
          <w:szCs w:val="20"/>
          <w:color w:val="auto"/>
        </w:rPr>
      </w:pPr>
    </w:p>
    <w:p>
      <w:pPr>
        <w:ind w:left="787" w:hanging="787"/>
        <w:spacing w:after="0"/>
        <w:tabs>
          <w:tab w:leader="none" w:pos="78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applicable Screen Rate for the longest period (for which that Screen Rate is available) which is less than that Interest Period; and</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applicable Screen Rate for the shortest period (for which that Screen Rate is available) which exceeds that Interest Period,</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color w:val="auto"/>
        </w:rPr>
        <w:t>each as of 11.00 a.m. (London time) on the Quotation Day for the currency of the Loan;</w:t>
      </w:r>
    </w:p>
    <w:p>
      <w:pPr>
        <w:spacing w:after="0" w:line="15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7"/>
          </w:cols>
          <w:pgMar w:left="1153" w:top="274" w:right="299" w:bottom="1440" w:gutter="0" w:footer="0" w:header="0"/>
        </w:sectPr>
      </w:pPr>
    </w:p>
    <w:bookmarkStart w:id="186" w:name="page187"/>
    <w:bookmarkEnd w:id="186"/>
    <w:p>
      <w:pPr>
        <w:ind w:left="7" w:right="1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ISM Code</w:t>
      </w:r>
      <w:r>
        <w:rPr>
          <w:rFonts w:ascii="Arial" w:cs="Arial" w:eastAsia="Arial" w:hAnsi="Arial"/>
          <w:sz w:val="16"/>
          <w:szCs w:val="16"/>
          <w:color w:val="auto"/>
        </w:rPr>
        <w:t>” means the International Safety Management Code (including the guidelines on its implementation), adopted by the International Maritime Organisation as the same may be amended or supplemented from time to time (and the terms “</w:t>
      </w:r>
      <w:r>
        <w:rPr>
          <w:rFonts w:ascii="Arial" w:cs="Arial" w:eastAsia="Arial" w:hAnsi="Arial"/>
          <w:sz w:val="16"/>
          <w:szCs w:val="16"/>
          <w:b w:val="1"/>
          <w:bCs w:val="1"/>
          <w:color w:val="auto"/>
        </w:rPr>
        <w:t>safety management system</w:t>
      </w:r>
      <w:r>
        <w:rPr>
          <w:rFonts w:ascii="Arial" w:cs="Arial" w:eastAsia="Arial" w:hAnsi="Arial"/>
          <w:sz w:val="16"/>
          <w:szCs w:val="16"/>
          <w:color w:val="auto"/>
        </w:rPr>
        <w:t>”, “</w:t>
      </w:r>
      <w:r>
        <w:rPr>
          <w:rFonts w:ascii="Arial" w:cs="Arial" w:eastAsia="Arial" w:hAnsi="Arial"/>
          <w:sz w:val="16"/>
          <w:szCs w:val="16"/>
          <w:b w:val="1"/>
          <w:bCs w:val="1"/>
          <w:color w:val="auto"/>
        </w:rPr>
        <w:t>Safety</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Certificate</w:t>
      </w:r>
      <w:r>
        <w:rPr>
          <w:rFonts w:ascii="Arial" w:cs="Arial" w:eastAsia="Arial" w:hAnsi="Arial"/>
          <w:sz w:val="16"/>
          <w:szCs w:val="16"/>
          <w:color w:val="auto"/>
        </w:rPr>
        <w:t>” and “</w:t>
      </w:r>
      <w:r>
        <w:rPr>
          <w:rFonts w:ascii="Arial" w:cs="Arial" w:eastAsia="Arial" w:hAnsi="Arial"/>
          <w:sz w:val="16"/>
          <w:szCs w:val="16"/>
          <w:b w:val="1"/>
          <w:bCs w:val="1"/>
          <w:color w:val="auto"/>
        </w:rPr>
        <w:t>Document of Compliance</w:t>
      </w:r>
      <w:r>
        <w:rPr>
          <w:rFonts w:ascii="Arial" w:cs="Arial" w:eastAsia="Arial" w:hAnsi="Arial"/>
          <w:sz w:val="16"/>
          <w:szCs w:val="16"/>
          <w:color w:val="auto"/>
        </w:rPr>
        <w:t>” have the same meanings as are given to them in the ISM Code);</w:t>
      </w:r>
    </w:p>
    <w:p>
      <w:pPr>
        <w:spacing w:after="0" w:line="34"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or supplemented from time to time;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subject to Clause 26.6, a bank or financial institution listed in Schedule 1 and acting through its branch indicated in Schedule 1 (or through another branch notified to the Borrowers under Clause 26.14) or its transferee, successor or assign;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135" w:lineRule="exact"/>
        <w:rPr>
          <w:sz w:val="20"/>
          <w:szCs w:val="20"/>
          <w:color w:val="auto"/>
        </w:rPr>
      </w:pPr>
    </w:p>
    <w:p>
      <w:pPr>
        <w:ind w:left="787" w:hanging="787"/>
        <w:spacing w:after="0"/>
        <w:tabs>
          <w:tab w:leader="none" w:pos="7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applicable Screen Rate;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no Screen Rate is available for that Interest Period) the Interpolated Screen Rate;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no Screen Rate is available for the currency of the Loan; or</w:t>
      </w:r>
    </w:p>
    <w:p>
      <w:pPr>
        <w:spacing w:after="0" w:line="130" w:lineRule="exact"/>
        <w:rPr>
          <w:rFonts w:ascii="Arial" w:cs="Arial" w:eastAsia="Arial" w:hAnsi="Arial"/>
          <w:sz w:val="18"/>
          <w:szCs w:val="18"/>
          <w:color w:val="auto"/>
        </w:rPr>
      </w:pPr>
    </w:p>
    <w:p>
      <w:pPr>
        <w:ind w:left="807" w:right="880" w:hanging="10"/>
        <w:spacing w:after="0" w:line="375" w:lineRule="auto"/>
        <w:tabs>
          <w:tab w:leader="none" w:pos="147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no Screen Rate is available for that Interest Period and it is not possible to calculate an Interpolated Screen Rate, the Reference Bank Rate,</w:t>
      </w:r>
    </w:p>
    <w:p>
      <w:pPr>
        <w:spacing w:after="0" w:line="1"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as of, in the case of paragraphs (a) and (c) above, 11.00 a.m. (London time) on the Quotation Day for the currency of the Loan and for a period equal in length to that Interest Period and, if any such rate is below zero, LIBOR will be deemed to be zero;</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for the time being outstanding under this Agreement;</w:t>
      </w:r>
    </w:p>
    <w:p>
      <w:pPr>
        <w:spacing w:after="0" w:line="117" w:lineRule="exact"/>
        <w:rPr>
          <w:sz w:val="20"/>
          <w:szCs w:val="20"/>
          <w:color w:val="auto"/>
        </w:rPr>
      </w:pPr>
    </w:p>
    <w:p>
      <w:pPr>
        <w:ind w:left="7" w:right="1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 Casualty</w:t>
      </w:r>
      <w:r>
        <w:rPr>
          <w:rFonts w:ascii="Arial" w:cs="Arial" w:eastAsia="Arial" w:hAnsi="Arial"/>
          <w:sz w:val="16"/>
          <w:szCs w:val="16"/>
          <w:color w:val="auto"/>
        </w:rPr>
        <w:t>” means, in relation to a Ship, any casualty to the Ship in respect of which the claim or the aggregate of the claims against all insurers, before adjustment for any relevant franchise or deductible, exceeds $1,000,000 or the equivalent in any other currency;</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787" w:right="920" w:hanging="787"/>
        <w:spacing w:after="0" w:line="277" w:lineRule="auto"/>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 any time when no Advances are outstanding, Lenders whose Commitments exceed in total 66 2/3 per cent. of the Total Commitments; and</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 any other time, Lenders whose Contributions exceed in total 66 2/3 per cent. of the Loan;</w:t>
      </w:r>
    </w:p>
    <w:p>
      <w:pPr>
        <w:spacing w:after="0" w:line="113" w:lineRule="exact"/>
        <w:rPr>
          <w:sz w:val="20"/>
          <w:szCs w:val="20"/>
          <w:color w:val="auto"/>
        </w:rPr>
      </w:pPr>
    </w:p>
    <w:p>
      <w:pPr>
        <w:ind w:left="7" w:right="1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Agreement</w:t>
      </w:r>
      <w:r>
        <w:rPr>
          <w:rFonts w:ascii="Arial" w:cs="Arial" w:eastAsia="Arial" w:hAnsi="Arial"/>
          <w:sz w:val="16"/>
          <w:szCs w:val="16"/>
          <w:color w:val="auto"/>
        </w:rPr>
        <w:t>” means, in relation to each Ship, an agreement made or to be made between (i) the Borrower which is the owner of that Ship, or, in the case of a Ship owned by an Affected Borrower, the Substitute Guarantor and (ii) the Approved Manager in respect of the commercial and technical management of that Ship to be in form and substance in all respects reasonably acceptable to the Lenders (it being agreed that the form and substance of the management agreement which has been entered into by the Substitute Guarantor as at the date of this Agreement and to which further Ships may become subject is deemed to be acceptable) and, in the plural, means all of them;</w:t>
      </w:r>
    </w:p>
    <w:p>
      <w:pPr>
        <w:spacing w:after="0" w:line="9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47"/>
          </w:cols>
          <w:pgMar w:left="1153" w:top="270" w:right="299" w:bottom="1440" w:gutter="0" w:footer="0" w:header="0"/>
        </w:sectPr>
      </w:pPr>
    </w:p>
    <w:bookmarkStart w:id="187" w:name="page188"/>
    <w:bookmarkEnd w:id="187"/>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Margin</w:t>
      </w:r>
      <w:r>
        <w:rPr>
          <w:rFonts w:ascii="Arial" w:cs="Arial" w:eastAsia="Arial" w:hAnsi="Arial"/>
          <w:sz w:val="18"/>
          <w:szCs w:val="18"/>
          <w:color w:val="auto"/>
        </w:rPr>
        <w:t>” means 2.50 per cent. per annum;</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Value</w:t>
      </w:r>
      <w:r>
        <w:rPr>
          <w:rFonts w:ascii="Arial" w:cs="Arial" w:eastAsia="Arial" w:hAnsi="Arial"/>
          <w:sz w:val="17"/>
          <w:szCs w:val="17"/>
          <w:color w:val="auto"/>
        </w:rPr>
        <w:t>” means, in respect of each Ship, the market value thereof determined from time to time in accordance with Clause 15.4;</w:t>
      </w:r>
    </w:p>
    <w:p>
      <w:pPr>
        <w:spacing w:after="0" w:line="129" w:lineRule="exact"/>
        <w:rPr>
          <w:sz w:val="20"/>
          <w:szCs w:val="20"/>
          <w:color w:val="auto"/>
        </w:rPr>
      </w:pPr>
    </w:p>
    <w:p>
      <w:pPr>
        <w:ind w:left="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any master agreement (on the 1992 or, as the case may be, 2002 ISDA (Multicurrency - Crossborder) form) made between each Borrower and the Swap Bank and includes all Designated Transactions from time to time entered into and Confirmations from time to time exchanged under that master agreement and, in the plural, means all of them;</w:t>
      </w:r>
    </w:p>
    <w:p>
      <w:pPr>
        <w:spacing w:after="0" w:line="68" w:lineRule="exact"/>
        <w:rPr>
          <w:sz w:val="20"/>
          <w:szCs w:val="20"/>
          <w:color w:val="auto"/>
        </w:rPr>
      </w:pPr>
    </w:p>
    <w:p>
      <w:pPr>
        <w:ind w:left="7"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Assignment</w:t>
      </w:r>
      <w:r>
        <w:rPr>
          <w:rFonts w:ascii="Arial" w:cs="Arial" w:eastAsia="Arial" w:hAnsi="Arial"/>
          <w:sz w:val="18"/>
          <w:szCs w:val="18"/>
          <w:color w:val="auto"/>
        </w:rPr>
        <w:t>” means, in relation to a Master Agreement, the assignment of that Master Agreement in favour of the Security Trustee executed or to be executed by the Borrower which is a party to that Master Agreement, in the Agreed Form and, in the plural, means all of them;</w:t>
      </w:r>
    </w:p>
    <w:p>
      <w:pPr>
        <w:spacing w:after="0" w:line="68" w:lineRule="exact"/>
        <w:rPr>
          <w:sz w:val="20"/>
          <w:szCs w:val="20"/>
          <w:color w:val="auto"/>
        </w:rPr>
      </w:pPr>
    </w:p>
    <w:p>
      <w:pPr>
        <w:jc w:val="both"/>
        <w:ind w:left="7" w:right="8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Master Agreement Guarantee</w:t>
      </w:r>
      <w:r>
        <w:rPr>
          <w:rFonts w:ascii="Arial" w:cs="Arial" w:eastAsia="Arial" w:hAnsi="Arial"/>
          <w:sz w:val="16"/>
          <w:szCs w:val="16"/>
          <w:color w:val="auto"/>
        </w:rPr>
        <w:t>” means a guarantee to be given by each Borrower in favour of the Security Trustee, guaranteeing the obligations of each other Borrower (which is a member of the same Group as the Borrower executing the Guarantee) under the Master Agreement to which that Borrower is a party in the Agreed Form and, in the plural, means all of them;</w:t>
      </w:r>
    </w:p>
    <w:p>
      <w:pPr>
        <w:spacing w:after="0" w:line="34" w:lineRule="exact"/>
        <w:rPr>
          <w:sz w:val="20"/>
          <w:szCs w:val="20"/>
          <w:color w:val="auto"/>
        </w:rPr>
      </w:pPr>
    </w:p>
    <w:p>
      <w:pPr>
        <w:ind w:left="7"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series of events which, in the reasonable opinion of the Majority Lenders, is likely to have a Material Adverse Effect;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787" w:right="20" w:hanging="787"/>
        <w:spacing w:after="0" w:line="277" w:lineRule="auto"/>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business, property, assets, liabilities, operations or condition (financial or otherwise) of a Borrower and/or any Security Party taken as a whole;</w:t>
      </w:r>
    </w:p>
    <w:p>
      <w:pPr>
        <w:spacing w:after="0" w:line="75" w:lineRule="exact"/>
        <w:rPr>
          <w:rFonts w:ascii="Arial" w:cs="Arial" w:eastAsia="Arial" w:hAnsi="Arial"/>
          <w:sz w:val="18"/>
          <w:szCs w:val="18"/>
          <w:color w:val="auto"/>
        </w:rPr>
      </w:pPr>
    </w:p>
    <w:p>
      <w:pPr>
        <w:ind w:left="787" w:right="40" w:hanging="787"/>
        <w:spacing w:after="0" w:line="277" w:lineRule="auto"/>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ability of a Borrower and/or any Security Party to (i) perform any of its obligations or (ii) discharge any of its liabilities, under any Finance Document as they fall due; or</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validity or enforceability of any Finance Document;</w:t>
      </w:r>
    </w:p>
    <w:p>
      <w:pPr>
        <w:spacing w:after="0" w:line="113" w:lineRule="exact"/>
        <w:rPr>
          <w:sz w:val="20"/>
          <w:szCs w:val="20"/>
          <w:color w:val="auto"/>
        </w:rPr>
      </w:pPr>
    </w:p>
    <w:p>
      <w:pPr>
        <w:ind w:left="7" w:right="6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in relation to a Ship, the first preferred or, as the case may be, priority ship mortgage on that Ship under the relevant Approved Flag executed by the Borrower which is the owner of that Ship in favour of the Security Trustee, in the Agreed Form;</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Finance Documents</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New Guarantee; and</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New Shares Pledge;</w:t>
      </w:r>
    </w:p>
    <w:p>
      <w:pPr>
        <w:spacing w:after="0" w:line="113" w:lineRule="exact"/>
        <w:rPr>
          <w:sz w:val="20"/>
          <w:szCs w:val="20"/>
          <w:color w:val="auto"/>
        </w:rPr>
      </w:pPr>
    </w:p>
    <w:p>
      <w:pPr>
        <w:ind w:left="7" w:right="1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Guarantee</w:t>
      </w:r>
      <w:r>
        <w:rPr>
          <w:rFonts w:ascii="Arial" w:cs="Arial" w:eastAsia="Arial" w:hAnsi="Arial"/>
          <w:sz w:val="17"/>
          <w:szCs w:val="17"/>
          <w:color w:val="auto"/>
        </w:rPr>
        <w:t>” means the guarantee of the obligations of an Affected Borrower under this Agreement and the Finance Documents to which such Affected Borrower is a party to be given by the Substitute Guarantor in substantially the same form as the Guarantee (with all logical modifications and including an express restriction on the Substitute Guarantor pledging any of its shares in the Intermediate Shareholder) executed by the Substitute Guarantor in favour of the Security Trustee in the Agreed Form,</w:t>
      </w:r>
    </w:p>
    <w:p>
      <w:pPr>
        <w:spacing w:after="0" w:line="10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7"/>
          </w:cols>
          <w:pgMar w:left="1153" w:top="270" w:right="239" w:bottom="1440" w:gutter="0" w:footer="0" w:header="0"/>
        </w:sectPr>
      </w:pPr>
    </w:p>
    <w:bookmarkStart w:id="188" w:name="page189"/>
    <w:bookmarkEnd w:id="188"/>
    <w:p>
      <w:pPr>
        <w:ind w:left="7" w:right="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New Shares Pledge</w:t>
      </w:r>
      <w:r>
        <w:rPr>
          <w:rFonts w:ascii="Arial" w:cs="Arial" w:eastAsia="Arial" w:hAnsi="Arial"/>
          <w:sz w:val="18"/>
          <w:szCs w:val="18"/>
          <w:color w:val="auto"/>
        </w:rPr>
        <w:t>” means, in relation to an Affected Borrower, a pledge agreement executed by the Intermediate Shareholder in favour of the Security Trustee each creating a Security Interest over the share capital of that Borrower in substantially the same form as the Shares Pledge (with logical modifications) and in the plural means all of them;</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23.1 or Clause 24.1 as the context requires;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given in Clause 4.9;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for unpaid crew’s wages in accordance with usual maritime practice;</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30" w:lineRule="exact"/>
        <w:rPr>
          <w:rFonts w:ascii="Arial" w:cs="Arial" w:eastAsia="Arial" w:hAnsi="Arial"/>
          <w:sz w:val="18"/>
          <w:szCs w:val="18"/>
          <w:color w:val="auto"/>
        </w:rPr>
      </w:pPr>
    </w:p>
    <w:p>
      <w:pPr>
        <w:ind w:left="787" w:right="20" w:hanging="787"/>
        <w:spacing w:after="0" w:line="277" w:lineRule="auto"/>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a Ship not prohibited by this Agreement;</w:t>
      </w:r>
    </w:p>
    <w:p>
      <w:pPr>
        <w:spacing w:after="0" w:line="75" w:lineRule="exact"/>
        <w:rPr>
          <w:rFonts w:ascii="Arial" w:cs="Arial" w:eastAsia="Arial" w:hAnsi="Arial"/>
          <w:sz w:val="18"/>
          <w:szCs w:val="18"/>
          <w:color w:val="auto"/>
        </w:rPr>
      </w:pPr>
    </w:p>
    <w:p>
      <w:pPr>
        <w:jc w:val="both"/>
        <w:ind w:left="787" w:right="20" w:hanging="787"/>
        <w:spacing w:after="0" w:line="259" w:lineRule="auto"/>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45 days overdue (unless the overdue amount is being contested by the relevant Borrower in good faith by appropriate steps) and subject, in the case of liens for repair or maintenance, to Clause 14.13(e);</w:t>
      </w:r>
    </w:p>
    <w:p>
      <w:pPr>
        <w:spacing w:after="0" w:line="92" w:lineRule="exact"/>
        <w:rPr>
          <w:rFonts w:ascii="Arial" w:cs="Arial" w:eastAsia="Arial" w:hAnsi="Arial"/>
          <w:sz w:val="18"/>
          <w:szCs w:val="18"/>
          <w:color w:val="auto"/>
        </w:rPr>
      </w:pPr>
    </w:p>
    <w:p>
      <w:pPr>
        <w:jc w:val="both"/>
        <w:ind w:left="787" w:right="380" w:hanging="787"/>
        <w:spacing w:after="0" w:line="264" w:lineRule="auto"/>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Security Interest created in favour of a plaintiff or defendant in any action of the court or tribunal before whom such action is brought as security for costs and expenses where a Borrower is prosecuting or defending such action in good faith by appropriate steps; and</w:t>
      </w:r>
    </w:p>
    <w:p>
      <w:pPr>
        <w:spacing w:after="0" w:line="86" w:lineRule="exact"/>
        <w:rPr>
          <w:rFonts w:ascii="Arial" w:cs="Arial" w:eastAsia="Arial" w:hAnsi="Arial"/>
          <w:sz w:val="18"/>
          <w:szCs w:val="18"/>
          <w:color w:val="auto"/>
        </w:rPr>
      </w:pPr>
    </w:p>
    <w:p>
      <w:pPr>
        <w:ind w:left="787" w:hanging="787"/>
        <w:spacing w:after="0" w:line="277" w:lineRule="auto"/>
        <w:tabs>
          <w:tab w:leader="none" w:pos="7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Security Interests arising by operation of law in respect of taxes which are not overdue for payment other than taxes being contested in good faith by appropriate steps and in respect of which appropriate reserves have been made;</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787" w:right="240" w:hanging="787"/>
        <w:spacing w:after="0" w:line="277" w:lineRule="auto"/>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or any other provision of this Agreement or another Finance Document;</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other document contemplated by or referred to in any Finance Document; and</w:t>
      </w:r>
    </w:p>
    <w:p>
      <w:pPr>
        <w:spacing w:after="0" w:line="130" w:lineRule="exact"/>
        <w:rPr>
          <w:rFonts w:ascii="Arial" w:cs="Arial" w:eastAsia="Arial" w:hAnsi="Arial"/>
          <w:sz w:val="18"/>
          <w:szCs w:val="18"/>
          <w:color w:val="auto"/>
        </w:rPr>
      </w:pPr>
    </w:p>
    <w:p>
      <w:pPr>
        <w:ind w:left="787" w:right="140" w:hanging="787"/>
        <w:spacing w:after="0" w:line="277" w:lineRule="auto"/>
        <w:tabs>
          <w:tab w:leader="none" w:pos="7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document which has been or is at any time sent by or to a Servicing Bank in contemplation of or in connection with any Finance Document or any policy, contract or document falling within paragraphs (b) or (c);</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787" w:hanging="787"/>
        <w:spacing w:after="0"/>
        <w:tabs>
          <w:tab w:leader="none" w:pos="7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4707" w:right="4200" w:hanging="4707"/>
        <w:spacing w:after="0" w:line="449" w:lineRule="auto"/>
        <w:tabs>
          <w:tab w:leader="none" w:pos="79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 15</w:t>
      </w:r>
    </w:p>
    <w:p>
      <w:pPr>
        <w:sectPr>
          <w:pgSz w:w="11900" w:h="16838" w:orient="portrait"/>
          <w:cols w:equalWidth="0" w:num="1">
            <w:col w:w="10487"/>
          </w:cols>
          <w:pgMar w:left="1153" w:top="270" w:right="259" w:bottom="1440" w:gutter="0" w:footer="0" w:header="0"/>
        </w:sectPr>
      </w:pPr>
    </w:p>
    <w:bookmarkStart w:id="189" w:name="page190"/>
    <w:bookmarkEnd w:id="189"/>
    <w:p>
      <w:pPr>
        <w:ind w:left="787" w:right="120" w:hanging="787"/>
        <w:spacing w:after="0" w:line="277" w:lineRule="auto"/>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country in which the company has the centre of its main interests or which the company’s central management and control is or has recently been exercised;</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30" w:lineRule="exact"/>
        <w:rPr>
          <w:rFonts w:ascii="Arial" w:cs="Arial" w:eastAsia="Arial" w:hAnsi="Arial"/>
          <w:sz w:val="18"/>
          <w:szCs w:val="18"/>
          <w:color w:val="auto"/>
        </w:rPr>
      </w:pPr>
    </w:p>
    <w:p>
      <w:pPr>
        <w:jc w:val="both"/>
        <w:ind w:left="787" w:right="200" w:hanging="787"/>
        <w:spacing w:after="0" w:line="264" w:lineRule="auto"/>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branch or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ind w:left="787" w:right="200" w:hanging="787"/>
        <w:spacing w:after="0" w:line="264" w:lineRule="auto"/>
        <w:tabs>
          <w:tab w:leader="none" w:pos="7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country the courts of which have jurisdiction to make a winding up, administration or similar order in relation to the company, whether as a main or territorial or ancillary proceedings, or which would have such jurisdiction if their assistance were requested by the courts of a country referred to in paragraphs (b) or (c) above;</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Matter</w:t>
      </w:r>
      <w:r>
        <w:rPr>
          <w:rFonts w:ascii="Arial" w:cs="Arial" w:eastAsia="Arial" w:hAnsi="Arial"/>
          <w:sz w:val="18"/>
          <w:szCs w:val="18"/>
          <w:color w:val="auto"/>
        </w:rPr>
        <w:t>” means:</w:t>
      </w:r>
    </w:p>
    <w:p>
      <w:pPr>
        <w:spacing w:after="0" w:line="135" w:lineRule="exact"/>
        <w:rPr>
          <w:sz w:val="20"/>
          <w:szCs w:val="20"/>
          <w:color w:val="auto"/>
        </w:rPr>
      </w:pPr>
    </w:p>
    <w:p>
      <w:pPr>
        <w:ind w:left="787" w:hanging="787"/>
        <w:spacing w:after="0"/>
        <w:tabs>
          <w:tab w:leader="none" w:pos="78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transaction or matter contemplated by, arising out of, or in connection with a Pertinent Document; or</w:t>
      </w:r>
    </w:p>
    <w:p>
      <w:pPr>
        <w:spacing w:after="0" w:line="130" w:lineRule="exact"/>
        <w:rPr>
          <w:rFonts w:ascii="Arial" w:cs="Arial" w:eastAsia="Arial" w:hAnsi="Arial"/>
          <w:sz w:val="18"/>
          <w:szCs w:val="18"/>
          <w:color w:val="auto"/>
        </w:rPr>
      </w:pPr>
    </w:p>
    <w:p>
      <w:pPr>
        <w:ind w:left="787" w:hanging="787"/>
        <w:spacing w:after="0"/>
        <w:tabs>
          <w:tab w:leader="none" w:pos="78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statement relating to a Pertinent Document or to a transaction or matter falling within paragraph (a),</w:t>
      </w:r>
    </w:p>
    <w:p>
      <w:pPr>
        <w:spacing w:after="0" w:line="117"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and covers any such transaction, matter or statement, whether entered into, arising or made at any time before the signing of this Agreement or on or at any time after that signing;</w:t>
      </w:r>
    </w:p>
    <w:p>
      <w:pPr>
        <w:spacing w:after="0" w:line="58" w:lineRule="exact"/>
        <w:rPr>
          <w:sz w:val="20"/>
          <w:szCs w:val="20"/>
          <w:color w:val="auto"/>
        </w:rPr>
      </w:pPr>
    </w:p>
    <w:p>
      <w:pPr>
        <w:ind w:left="7"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Post-Option Balloon Instalments</w:t>
      </w:r>
      <w:r>
        <w:rPr>
          <w:rFonts w:ascii="Arial" w:cs="Arial" w:eastAsia="Arial" w:hAnsi="Arial"/>
          <w:sz w:val="18"/>
          <w:szCs w:val="18"/>
          <w:color w:val="auto"/>
        </w:rPr>
        <w:t>” has the meaning given in Clause 8.1(b)(ii);</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Post-Option Repayment Instalments</w:t>
      </w:r>
      <w:r>
        <w:rPr>
          <w:rFonts w:ascii="Arial" w:cs="Arial" w:eastAsia="Arial" w:hAnsi="Arial"/>
          <w:sz w:val="18"/>
          <w:szCs w:val="18"/>
          <w:color w:val="auto"/>
        </w:rPr>
        <w:t>” has the meaning given in Clause 8.1(b)(i);</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Pre-Option Balloon Instalments</w:t>
      </w:r>
      <w:r>
        <w:rPr>
          <w:rFonts w:ascii="Arial" w:cs="Arial" w:eastAsia="Arial" w:hAnsi="Arial"/>
          <w:sz w:val="18"/>
          <w:szCs w:val="18"/>
          <w:color w:val="auto"/>
        </w:rPr>
        <w:t>” has the meaning given in Clause 8.1(a)(ii);</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Pre-Option Repayment Instalments</w:t>
      </w:r>
      <w:r>
        <w:rPr>
          <w:rFonts w:ascii="Arial" w:cs="Arial" w:eastAsia="Arial" w:hAnsi="Arial"/>
          <w:sz w:val="18"/>
          <w:szCs w:val="18"/>
          <w:color w:val="auto"/>
        </w:rPr>
        <w:t>” has the meaning given in Clause 8.1(a)(i);</w:t>
      </w:r>
    </w:p>
    <w:p>
      <w:pPr>
        <w:spacing w:after="0" w:line="117" w:lineRule="exact"/>
        <w:rPr>
          <w:sz w:val="20"/>
          <w:szCs w:val="20"/>
          <w:color w:val="auto"/>
        </w:rPr>
      </w:pPr>
    </w:p>
    <w:p>
      <w:pPr>
        <w:jc w:val="both"/>
        <w:ind w:left="7"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Pre-delivery Security Assignment</w:t>
      </w:r>
      <w:r>
        <w:rPr>
          <w:rFonts w:ascii="Arial" w:cs="Arial" w:eastAsia="Arial" w:hAnsi="Arial"/>
          <w:sz w:val="18"/>
          <w:szCs w:val="18"/>
          <w:color w:val="auto"/>
        </w:rPr>
        <w:t>” means, in relation to each Designated Ship, an assignment of the rights of the relevant Borrower under the Shipbuilding Contract and the Refund Guarantee relative to that Designated Ship executed or (as the context may require) to be executed by that Borrower in favour of the Lenders and, in the plural, means all of them;</w:t>
      </w:r>
    </w:p>
    <w:p>
      <w:pPr>
        <w:spacing w:after="0" w:line="68" w:lineRule="exact"/>
        <w:rPr>
          <w:sz w:val="20"/>
          <w:szCs w:val="20"/>
          <w:color w:val="auto"/>
        </w:rPr>
      </w:pPr>
    </w:p>
    <w:p>
      <w:pPr>
        <w:jc w:val="both"/>
        <w:ind w:left="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Quotation Date</w:t>
      </w:r>
      <w:r>
        <w:rPr>
          <w:rFonts w:ascii="Arial" w:cs="Arial" w:eastAsia="Arial" w:hAnsi="Arial"/>
          <w:sz w:val="16"/>
          <w:szCs w:val="16"/>
          <w:color w:val="auto"/>
        </w:rPr>
        <w:t>” means, in relation to any Interest Period (or any other period for which an interest rate is to be determined under any provision of a Finance Document), the day on which quotations would ordinarily be given by leading banks in the London interbank market for deposits in the currency in relation to which such rate is to be determined for delivery on the first day of that Interest Period or other period;</w:t>
      </w:r>
    </w:p>
    <w:p>
      <w:pPr>
        <w:spacing w:after="0" w:line="34" w:lineRule="exact"/>
        <w:rPr>
          <w:sz w:val="20"/>
          <w:szCs w:val="20"/>
          <w:color w:val="auto"/>
        </w:rPr>
      </w:pPr>
    </w:p>
    <w:p>
      <w:pPr>
        <w:ind w:left="7"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Facility Agent at its request by each Reference Bank as the rate at which the relevant Reference Bank could borrow funds in the London interbank market in Dollars for the relevant period, were it to do so by asking for and then accepting interbank offers for deposits in reasonable market size in that currency and for that period;</w:t>
      </w:r>
    </w:p>
    <w:p>
      <w:pPr>
        <w:spacing w:after="0" w:line="117"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7"/>
          </w:cols>
          <w:pgMar w:left="1153" w:top="274" w:right="239" w:bottom="1440" w:gutter="0" w:footer="0" w:header="0"/>
        </w:sectPr>
      </w:pPr>
    </w:p>
    <w:bookmarkStart w:id="190" w:name="page191"/>
    <w:bookmarkEnd w:id="190"/>
    <w:p>
      <w:pPr>
        <w:ind w:left="7" w:right="4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Reference Banks</w:t>
      </w:r>
      <w:r>
        <w:rPr>
          <w:rFonts w:ascii="Arial" w:cs="Arial" w:eastAsia="Arial" w:hAnsi="Arial"/>
          <w:sz w:val="18"/>
          <w:szCs w:val="18"/>
          <w:color w:val="auto"/>
        </w:rPr>
        <w:t>” means, subject to Clause 26.17, ING Bank N.V., London Branch and the London branch of any other bank or financial institution selected by the Facility Agent and in the singular means any of them;</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Refund Guarantee</w:t>
      </w:r>
      <w:r>
        <w:rPr>
          <w:rFonts w:ascii="Arial" w:cs="Arial" w:eastAsia="Arial" w:hAnsi="Arial"/>
          <w:sz w:val="17"/>
          <w:szCs w:val="17"/>
          <w:color w:val="auto"/>
        </w:rPr>
        <w:t>” means each of the Ship D Refund Guarantee and the Ship E Refund Guarantee, and in the plural means all of them;</w:t>
      </w:r>
    </w:p>
    <w:p>
      <w:pPr>
        <w:spacing w:after="0" w:line="129" w:lineRule="exact"/>
        <w:rPr>
          <w:sz w:val="20"/>
          <w:szCs w:val="20"/>
          <w:color w:val="auto"/>
        </w:rPr>
      </w:pPr>
    </w:p>
    <w:p>
      <w:pPr>
        <w:ind w:left="7" w:right="6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Refund Guarantor</w:t>
      </w:r>
      <w:r>
        <w:rPr>
          <w:rFonts w:ascii="Arial" w:cs="Arial" w:eastAsia="Arial" w:hAnsi="Arial"/>
          <w:sz w:val="16"/>
          <w:szCs w:val="16"/>
          <w:color w:val="auto"/>
        </w:rPr>
        <w:t xml:space="preserve"> “ means Bank of Communications Co. Ltd. (Ningbo Branch), a company incorporated and existing in the People’s Republic of China whose registered office is at RM815, No. 55 Zhongsou Road East, Ningbo, the People’s Republic of China, 315000;</w:t>
      </w:r>
    </w:p>
    <w:p>
      <w:pPr>
        <w:spacing w:after="0" w:line="8" w:lineRule="exact"/>
        <w:rPr>
          <w:sz w:val="20"/>
          <w:szCs w:val="20"/>
          <w:color w:val="auto"/>
        </w:rPr>
      </w:pPr>
    </w:p>
    <w:p>
      <w:pPr>
        <w:ind w:left="7" w:right="5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 “</w:t>
      </w:r>
      <w:r>
        <w:rPr>
          <w:rFonts w:ascii="Arial" w:cs="Arial" w:eastAsia="Arial" w:hAnsi="Arial"/>
          <w:sz w:val="17"/>
          <w:szCs w:val="17"/>
          <w:b w:val="1"/>
          <w:bCs w:val="1"/>
          <w:color w:val="auto"/>
        </w:rPr>
        <w:t>first fund</w:t>
      </w:r>
      <w:r>
        <w:rPr>
          <w:rFonts w:ascii="Arial" w:cs="Arial" w:eastAsia="Arial" w:hAnsi="Arial"/>
          <w:sz w:val="17"/>
          <w:szCs w:val="17"/>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117" w:lineRule="exact"/>
        <w:rPr>
          <w:sz w:val="20"/>
          <w:szCs w:val="20"/>
          <w:color w:val="auto"/>
        </w:rPr>
      </w:pPr>
    </w:p>
    <w:p>
      <w:pPr>
        <w:ind w:left="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Proportion</w:t>
      </w:r>
      <w:r>
        <w:rPr>
          <w:rFonts w:ascii="Arial" w:cs="Arial" w:eastAsia="Arial" w:hAnsi="Arial"/>
          <w:sz w:val="18"/>
          <w:szCs w:val="18"/>
          <w:color w:val="auto"/>
        </w:rPr>
        <w:t>” means at the time the same falls to be determined, the ratio that the Advance or, as applicable, Advances owing by any Affected Borrower bear to the Loan at the time;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a date on which a repayment is required to be made under Clause 8;</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has the meaning given in Clause 8.1(b)(i);</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ind w:left="7"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“Total Loss”;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w:t>
      </w:r>
    </w:p>
    <w:p>
      <w:pPr>
        <w:spacing w:after="0" w:line="135" w:lineRule="exact"/>
        <w:rPr>
          <w:sz w:val="20"/>
          <w:szCs w:val="20"/>
          <w:color w:val="auto"/>
        </w:rPr>
      </w:pPr>
    </w:p>
    <w:p>
      <w:pPr>
        <w:ind w:left="787" w:right="120" w:hanging="787"/>
        <w:spacing w:after="0" w:line="277" w:lineRule="auto"/>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trade, economic or financial sanctions laws, regulations, embargoes or restrictive measures administered, enacted or enforced by any Sanctions Authority;</w:t>
      </w:r>
    </w:p>
    <w:p>
      <w:pPr>
        <w:spacing w:after="0" w:line="75" w:lineRule="exact"/>
        <w:rPr>
          <w:rFonts w:ascii="Arial" w:cs="Arial" w:eastAsia="Arial" w:hAnsi="Arial"/>
          <w:sz w:val="18"/>
          <w:szCs w:val="18"/>
          <w:color w:val="auto"/>
        </w:rPr>
      </w:pPr>
    </w:p>
    <w:p>
      <w:pPr>
        <w:ind w:left="787" w:hanging="787"/>
        <w:spacing w:after="0"/>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law or regulation enacted, promulgated or issued by any Sanctions Authority after the date of this Agreement; and</w:t>
      </w:r>
    </w:p>
    <w:p>
      <w:pPr>
        <w:spacing w:after="0" w:line="130" w:lineRule="exact"/>
        <w:rPr>
          <w:rFonts w:ascii="Arial" w:cs="Arial" w:eastAsia="Arial" w:hAnsi="Arial"/>
          <w:sz w:val="18"/>
          <w:szCs w:val="18"/>
          <w:color w:val="auto"/>
        </w:rPr>
      </w:pPr>
    </w:p>
    <w:p>
      <w:pPr>
        <w:ind w:left="787" w:right="440" w:hanging="787"/>
        <w:spacing w:after="0" w:line="277" w:lineRule="auto"/>
        <w:tabs>
          <w:tab w:leader="none" w:pos="7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other law, enabling legislation, executive order, or regulation promulgated under or based under the authorities of any of the foregoing;</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 Authority</w:t>
      </w:r>
      <w:r>
        <w:rPr>
          <w:rFonts w:ascii="Arial" w:cs="Arial" w:eastAsia="Arial" w:hAnsi="Arial"/>
          <w:sz w:val="16"/>
          <w:szCs w:val="16"/>
          <w:color w:val="auto"/>
        </w:rPr>
        <w:t>” means (i) the United States of America, (ii) the United Nations, (iii) the European Union, including its member states,</w:t>
      </w:r>
    </w:p>
    <w:p>
      <w:pPr>
        <w:spacing w:after="0" w:line="50" w:lineRule="exact"/>
        <w:rPr>
          <w:sz w:val="20"/>
          <w:szCs w:val="20"/>
          <w:color w:val="auto"/>
        </w:rPr>
      </w:pPr>
    </w:p>
    <w:p>
      <w:pPr>
        <w:ind w:left="7" w:firstLine="1"/>
        <w:spacing w:after="0" w:line="261" w:lineRule="auto"/>
        <w:tabs>
          <w:tab w:leader="none" w:pos="31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Greece or (v) the governments and official institutions or agencies of any of the previous paragraphs, including without limitation OFAC and the United States Department of State and Her Majesty’s Treasury;</w:t>
      </w:r>
    </w:p>
    <w:p>
      <w:pPr>
        <w:spacing w:after="0" w:line="72" w:lineRule="exact"/>
        <w:rPr>
          <w:sz w:val="20"/>
          <w:szCs w:val="20"/>
          <w:color w:val="auto"/>
        </w:rPr>
      </w:pPr>
    </w:p>
    <w:p>
      <w:pPr>
        <w:ind w:left="7"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any of the lists of specifically designated persons or entities (or equivalent) held by a Sanctions Authority, each as amended, supplemented or substituted from time to time;</w:t>
      </w:r>
    </w:p>
    <w:p>
      <w:pPr>
        <w:spacing w:after="0" w:line="54" w:lineRule="exact"/>
        <w:rPr>
          <w:sz w:val="20"/>
          <w:szCs w:val="20"/>
          <w:color w:val="auto"/>
        </w:rPr>
      </w:pPr>
    </w:p>
    <w:p>
      <w:pPr>
        <w:ind w:left="7"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ICE Benchmark Administration Limited (or any other person which takes over the administration of that rate) for the relevant currency and period displayed on pages LIBOR01 or LIBOR02 of the Reuters screen (or any replacement Reuters page which displays that rate or on the</w:t>
      </w:r>
    </w:p>
    <w:p>
      <w:pPr>
        <w:spacing w:after="0" w:line="11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67"/>
          </w:cols>
          <w:pgMar w:left="1153" w:top="270" w:right="279" w:bottom="1440" w:gutter="0" w:footer="0" w:header="0"/>
        </w:sectPr>
      </w:pPr>
    </w:p>
    <w:bookmarkStart w:id="191" w:name="page192"/>
    <w:bookmarkEnd w:id="191"/>
    <w:p>
      <w:pPr>
        <w:ind w:left="7"/>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page of such other information service which publishes that rate from time to time in place of Reuters). If such page or service ceases to be available, the Facility Agent may specify another page or service displaying the relevant rate after consultation with the Borrowers;</w:t>
      </w:r>
    </w:p>
    <w:p>
      <w:pPr>
        <w:spacing w:after="0" w:line="12" w:lineRule="exact"/>
        <w:rPr>
          <w:sz w:val="20"/>
          <w:szCs w:val="20"/>
          <w:color w:val="auto"/>
        </w:rPr>
      </w:pPr>
    </w:p>
    <w:p>
      <w:pPr>
        <w:ind w:left="7" w:right="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Liabilities</w:t>
      </w:r>
      <w:r>
        <w:rPr>
          <w:rFonts w:ascii="Arial" w:cs="Arial" w:eastAsia="Arial" w:hAnsi="Arial"/>
          <w:sz w:val="17"/>
          <w:szCs w:val="17"/>
          <w:color w:val="auto"/>
        </w:rPr>
        <w:t>” means all liabilities which the Borrowers, the Security Parties or any of them have, at the date of this Agreement or at any later time or times, under or by virtue of the Finance Documents or any judgment relating to the Finance Documents;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Cover Ratio</w:t>
      </w:r>
      <w:r>
        <w:rPr>
          <w:rFonts w:ascii="Arial" w:cs="Arial" w:eastAsia="Arial" w:hAnsi="Arial"/>
          <w:sz w:val="18"/>
          <w:szCs w:val="18"/>
          <w:color w:val="auto"/>
        </w:rPr>
        <w:t>” means, in relation to either Group, the ratio which is determined at any time by comparing:</w:t>
      </w:r>
    </w:p>
    <w:p>
      <w:pPr>
        <w:spacing w:after="0" w:line="135" w:lineRule="exact"/>
        <w:rPr>
          <w:sz w:val="20"/>
          <w:szCs w:val="20"/>
          <w:color w:val="auto"/>
        </w:rPr>
      </w:pPr>
    </w:p>
    <w:p>
      <w:pPr>
        <w:ind w:left="787" w:right="340" w:hanging="787"/>
        <w:spacing w:after="0" w:line="277" w:lineRule="auto"/>
        <w:tabs>
          <w:tab w:leader="none" w:pos="7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aggregate Market Value of the Ships which are owned by members of that Group and are subject to a Mortgage at the relevant time; plus</w:t>
      </w:r>
    </w:p>
    <w:p>
      <w:pPr>
        <w:spacing w:after="0" w:line="75" w:lineRule="exact"/>
        <w:rPr>
          <w:rFonts w:ascii="Arial" w:cs="Arial" w:eastAsia="Arial" w:hAnsi="Arial"/>
          <w:sz w:val="18"/>
          <w:szCs w:val="18"/>
          <w:color w:val="auto"/>
        </w:rPr>
      </w:pPr>
    </w:p>
    <w:p>
      <w:pPr>
        <w:ind w:left="787" w:right="120" w:hanging="787"/>
        <w:spacing w:after="0" w:line="277" w:lineRule="auto"/>
        <w:tabs>
          <w:tab w:leader="none" w:pos="7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net realisable value of any additional security previously provided under Clause 15 securing the amounts owing by any Borrower which is a member of that Group,</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against the aggregate of:</w:t>
      </w:r>
    </w:p>
    <w:p>
      <w:pPr>
        <w:spacing w:after="0" w:line="131" w:lineRule="exact"/>
        <w:rPr>
          <w:sz w:val="20"/>
          <w:szCs w:val="20"/>
          <w:color w:val="auto"/>
        </w:rPr>
      </w:pPr>
    </w:p>
    <w:p>
      <w:pPr>
        <w:ind w:left="787" w:hanging="787"/>
        <w:spacing w:after="0"/>
        <w:tabs>
          <w:tab w:leader="none" w:pos="7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Tranches owing by any such Borrower; plus</w:t>
      </w:r>
    </w:p>
    <w:p>
      <w:pPr>
        <w:spacing w:after="0" w:line="130" w:lineRule="exact"/>
        <w:rPr>
          <w:rFonts w:ascii="Arial" w:cs="Arial" w:eastAsia="Arial" w:hAnsi="Arial"/>
          <w:sz w:val="18"/>
          <w:szCs w:val="18"/>
          <w:color w:val="auto"/>
        </w:rPr>
      </w:pPr>
    </w:p>
    <w:p>
      <w:pPr>
        <w:ind w:left="7" w:right="5660" w:hanging="7"/>
        <w:spacing w:after="0" w:line="383" w:lineRule="auto"/>
        <w:tabs>
          <w:tab w:leader="none" w:pos="79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aggregate Swap Exposure relating to such Tranches; “</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 w:lineRule="exact"/>
        <w:rPr>
          <w:sz w:val="20"/>
          <w:szCs w:val="20"/>
          <w:color w:val="auto"/>
        </w:rPr>
      </w:pPr>
    </w:p>
    <w:p>
      <w:pPr>
        <w:ind w:left="787" w:hanging="787"/>
        <w:spacing w:after="0"/>
        <w:tabs>
          <w:tab w:leader="none" w:pos="78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 mortgage, charge (whether fixed or floating) or pledge, any maritime or other lien or any other security interest of any kind;</w:t>
      </w:r>
    </w:p>
    <w:p>
      <w:pPr>
        <w:spacing w:after="0" w:line="142" w:lineRule="exact"/>
        <w:rPr>
          <w:rFonts w:ascii="Arial" w:cs="Arial" w:eastAsia="Arial" w:hAnsi="Arial"/>
          <w:sz w:val="17"/>
          <w:szCs w:val="17"/>
          <w:color w:val="auto"/>
        </w:rPr>
      </w:pPr>
    </w:p>
    <w:p>
      <w:pPr>
        <w:ind w:left="787" w:right="220" w:hanging="787"/>
        <w:spacing w:after="0" w:line="277" w:lineRule="auto"/>
        <w:tabs>
          <w:tab w:leader="none" w:pos="7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the rights of the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 xml:space="preserve"> in which the vessel concerned has been arrested or a writ has been issued or similar step taken; and</w:t>
      </w:r>
    </w:p>
    <w:p>
      <w:pPr>
        <w:spacing w:after="0" w:line="75" w:lineRule="exact"/>
        <w:rPr>
          <w:rFonts w:ascii="Arial" w:cs="Arial" w:eastAsia="Arial" w:hAnsi="Arial"/>
          <w:sz w:val="18"/>
          <w:szCs w:val="18"/>
          <w:color w:val="auto"/>
        </w:rPr>
      </w:pPr>
    </w:p>
    <w:p>
      <w:pPr>
        <w:ind w:left="787" w:right="120" w:hanging="787"/>
        <w:spacing w:after="0" w:line="312" w:lineRule="auto"/>
        <w:tabs>
          <w:tab w:leader="none" w:pos="7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arrangement entered into by a person (A) the effect of which is to place another person (B) in a position which is similar, in economic terms, to the position in which B would have been had he held a security interest over an asset of A; but (c) does not apply to a right of set off or combination of accounts conferred by the standard terms of business of a bank or financial institution;</w:t>
      </w:r>
    </w:p>
    <w:p>
      <w:pPr>
        <w:spacing w:after="0" w:line="35" w:lineRule="exact"/>
        <w:rPr>
          <w:sz w:val="20"/>
          <w:szCs w:val="20"/>
          <w:color w:val="auto"/>
        </w:rPr>
      </w:pPr>
    </w:p>
    <w:p>
      <w:pPr>
        <w:ind w:left="7"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Party</w:t>
      </w:r>
      <w:r>
        <w:rPr>
          <w:rFonts w:ascii="Arial" w:cs="Arial" w:eastAsia="Arial" w:hAnsi="Arial"/>
          <w:sz w:val="17"/>
          <w:szCs w:val="17"/>
          <w:color w:val="auto"/>
        </w:rPr>
        <w:t>” means each of the Guarantor and, after the Option has been exercised, the Substitute Guarantor and any other person (except a Creditor Party and any Approved Charterer, other than the Guarantor, of any Ship, any other charterer, the Refund Guarantor, the Builder, the Builder’s Parent or the Approved Manager (in case it is not Capital Ship Management Corp. (or an affiliate of Capital Ship Management Corp.))) who, as a surety or mortgagor, as a party to any subordination or priorities arrangement, or in any similar capacity, executes a document falling within the final paragraph of the definition of “Finance Documents”;</w:t>
      </w:r>
    </w:p>
    <w:p>
      <w:pPr>
        <w:spacing w:after="0" w:line="60"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Period</w:t>
      </w:r>
      <w:r>
        <w:rPr>
          <w:rFonts w:ascii="Arial" w:cs="Arial" w:eastAsia="Arial" w:hAnsi="Arial"/>
          <w:sz w:val="16"/>
          <w:szCs w:val="16"/>
          <w:color w:val="auto"/>
        </w:rPr>
        <w:t>” means the period commencing on the date of this Agreement and ending on the date on which the Facility Agent notifies the</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Borrowers, the Security Parties and the Lenders that:</w:t>
      </w:r>
    </w:p>
    <w:p>
      <w:pPr>
        <w:spacing w:after="0" w:line="116" w:lineRule="exact"/>
        <w:rPr>
          <w:sz w:val="20"/>
          <w:szCs w:val="20"/>
          <w:color w:val="auto"/>
        </w:rPr>
      </w:pPr>
    </w:p>
    <w:p>
      <w:pPr>
        <w:ind w:left="4707" w:right="120" w:hanging="4707"/>
        <w:spacing w:after="0" w:line="449" w:lineRule="auto"/>
        <w:tabs>
          <w:tab w:leader="none" w:pos="79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amounts which have become due for payment by a Borrower or any Security Party under the Finance Documents have been paid; 18</w:t>
      </w:r>
    </w:p>
    <w:p>
      <w:pPr>
        <w:sectPr>
          <w:pgSz w:w="11900" w:h="16838" w:orient="portrait"/>
          <w:cols w:equalWidth="0" w:num="1">
            <w:col w:w="10487"/>
          </w:cols>
          <w:pgMar w:left="1153" w:top="274" w:right="259" w:bottom="1440" w:gutter="0" w:footer="0" w:header="0"/>
        </w:sectPr>
      </w:pPr>
    </w:p>
    <w:bookmarkStart w:id="192" w:name="page193"/>
    <w:bookmarkEnd w:id="192"/>
    <w:p>
      <w:pPr>
        <w:ind w:left="787" w:hanging="787"/>
        <w:spacing w:after="0"/>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787" w:right="600" w:hanging="787"/>
        <w:spacing w:after="0" w:line="277" w:lineRule="auto"/>
        <w:tabs>
          <w:tab w:leader="none" w:pos="7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neither a Borrower nor any Security Party has any future or contingent liability under Clause 20, 21 or 22 below or any other provision of this Agreement or another Finance Document; and</w:t>
      </w:r>
    </w:p>
    <w:p>
      <w:pPr>
        <w:spacing w:after="0" w:line="75" w:lineRule="exact"/>
        <w:rPr>
          <w:rFonts w:ascii="Arial" w:cs="Arial" w:eastAsia="Arial" w:hAnsi="Arial"/>
          <w:sz w:val="18"/>
          <w:szCs w:val="18"/>
          <w:color w:val="auto"/>
        </w:rPr>
      </w:pPr>
    </w:p>
    <w:p>
      <w:pPr>
        <w:ind w:left="787" w:right="20" w:hanging="787"/>
        <w:spacing w:after="0" w:line="279" w:lineRule="auto"/>
        <w:tabs>
          <w:tab w:leader="none" w:pos="78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Facility Agent, the Security Trustee and the Majority Lenders do not consider that there is a significant risk that any payment or transaction under a Finance Document would be set aside, or would have to be reversed or adjusted, in any present or possible future bankruptcy of a Borrower or a Security Party or in any present or possible future proceeding relating to a Finance Document or any asset covered (or previously covered) by a Security Interest created by a Finance Document;</w:t>
      </w:r>
    </w:p>
    <w:p>
      <w:pPr>
        <w:spacing w:after="0" w:line="59" w:lineRule="exact"/>
        <w:rPr>
          <w:sz w:val="20"/>
          <w:szCs w:val="20"/>
          <w:color w:val="auto"/>
        </w:rPr>
      </w:pPr>
    </w:p>
    <w:p>
      <w:pPr>
        <w:ind w:left="7"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Trustee</w:t>
      </w:r>
      <w:r>
        <w:rPr>
          <w:rFonts w:ascii="Arial" w:cs="Arial" w:eastAsia="Arial" w:hAnsi="Arial"/>
          <w:sz w:val="18"/>
          <w:szCs w:val="18"/>
          <w:color w:val="auto"/>
        </w:rPr>
        <w:t>” means ING Bank N.V, London Branch, acting in such capacity through its office at 60 London Wall, London EC2M 5TQ, England, or any successor of it appointed under clause 5 of the Agency and Trust Agreement;</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Bank</w:t>
      </w:r>
      <w:r>
        <w:rPr>
          <w:rFonts w:ascii="Arial" w:cs="Arial" w:eastAsia="Arial" w:hAnsi="Arial"/>
          <w:sz w:val="18"/>
          <w:szCs w:val="18"/>
          <w:color w:val="auto"/>
        </w:rPr>
        <w:t>” means the Facility Agent or the Security Trustee;</w:t>
      </w:r>
    </w:p>
    <w:p>
      <w:pPr>
        <w:spacing w:after="0" w:line="117" w:lineRule="exact"/>
        <w:rPr>
          <w:sz w:val="20"/>
          <w:szCs w:val="20"/>
          <w:color w:val="auto"/>
        </w:rPr>
      </w:pPr>
    </w:p>
    <w:p>
      <w:pPr>
        <w:ind w:left="7" w:right="2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 Pledge</w:t>
      </w:r>
      <w:r>
        <w:rPr>
          <w:rFonts w:ascii="Arial" w:cs="Arial" w:eastAsia="Arial" w:hAnsi="Arial"/>
          <w:sz w:val="17"/>
          <w:szCs w:val="17"/>
          <w:color w:val="auto"/>
        </w:rPr>
        <w:t>” means, in relation to a Borrower, a pledge agreement executed by the Guarantor in favour of the Security Trustee creating a Security Interest over the share capital of that Borrower, in the Agreed Form and in the plural means all of them;</w:t>
      </w:r>
    </w:p>
    <w:p>
      <w:pPr>
        <w:spacing w:after="0" w:line="30" w:lineRule="exact"/>
        <w:rPr>
          <w:sz w:val="20"/>
          <w:szCs w:val="20"/>
          <w:color w:val="auto"/>
        </w:rPr>
      </w:pPr>
    </w:p>
    <w:p>
      <w:pPr>
        <w:ind w:left="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A</w:t>
      </w:r>
      <w:r>
        <w:rPr>
          <w:rFonts w:ascii="Arial" w:cs="Arial" w:eastAsia="Arial" w:hAnsi="Arial"/>
          <w:sz w:val="18"/>
          <w:szCs w:val="18"/>
          <w:color w:val="auto"/>
        </w:rPr>
        <w:t>” means m.t. “AMOR”, a 2015-built medium range product tanker, with IMO No. 9700471 registered in the name of Borrower A under the Liberian flag;</w:t>
      </w:r>
    </w:p>
    <w:p>
      <w:pPr>
        <w:spacing w:after="0" w:line="54" w:lineRule="exact"/>
        <w:rPr>
          <w:sz w:val="20"/>
          <w:szCs w:val="20"/>
          <w:color w:val="auto"/>
        </w:rPr>
      </w:pPr>
    </w:p>
    <w:p>
      <w:pPr>
        <w:ind w:left="7"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B</w:t>
      </w:r>
      <w:r>
        <w:rPr>
          <w:rFonts w:ascii="Arial" w:cs="Arial" w:eastAsia="Arial" w:hAnsi="Arial"/>
          <w:sz w:val="18"/>
          <w:szCs w:val="18"/>
          <w:color w:val="auto"/>
        </w:rPr>
        <w:t>” means the medium range product tanker, having Builder’s hull number 104 (ex hull number 030), which is to be constructed by the Builder for, and purchased by, Borrower B under Shipbuilding Contract B and which, on delivery, is to be registered in the name of Borrower B under an Approved Flag;</w:t>
      </w:r>
    </w:p>
    <w:p>
      <w:pPr>
        <w:spacing w:after="0" w:line="68" w:lineRule="exact"/>
        <w:rPr>
          <w:sz w:val="20"/>
          <w:szCs w:val="20"/>
          <w:color w:val="auto"/>
        </w:rPr>
      </w:pPr>
    </w:p>
    <w:p>
      <w:pPr>
        <w:jc w:val="both"/>
        <w:ind w:left="7" w:right="5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C</w:t>
      </w:r>
      <w:r>
        <w:rPr>
          <w:rFonts w:ascii="Arial" w:cs="Arial" w:eastAsia="Arial" w:hAnsi="Arial"/>
          <w:sz w:val="18"/>
          <w:szCs w:val="18"/>
          <w:color w:val="auto"/>
        </w:rPr>
        <w:t>” means the medium range product tanker, having Builder’s hull number 105, which is to be constructed by the Builder for, and purchased by, Borrower C under Shipbuilding Contract C and which, on delivery, is to be registered in the name of Borrower C under an Approved Flag;</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Commitment</w:t>
      </w:r>
      <w:r>
        <w:rPr>
          <w:rFonts w:ascii="Arial" w:cs="Arial" w:eastAsia="Arial" w:hAnsi="Arial"/>
          <w:sz w:val="18"/>
          <w:szCs w:val="18"/>
          <w:color w:val="auto"/>
        </w:rPr>
        <w:t>” means, in relation to a Ship and a Lender, 1/5th of that Lender’s Commitment;</w:t>
      </w:r>
    </w:p>
    <w:p>
      <w:pPr>
        <w:spacing w:after="0" w:line="117" w:lineRule="exact"/>
        <w:rPr>
          <w:sz w:val="20"/>
          <w:szCs w:val="20"/>
          <w:color w:val="auto"/>
        </w:rPr>
      </w:pPr>
    </w:p>
    <w:p>
      <w:pPr>
        <w:jc w:val="both"/>
        <w:ind w:left="7" w:right="5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D</w:t>
      </w:r>
      <w:r>
        <w:rPr>
          <w:rFonts w:ascii="Arial" w:cs="Arial" w:eastAsia="Arial" w:hAnsi="Arial"/>
          <w:sz w:val="18"/>
          <w:szCs w:val="18"/>
          <w:color w:val="auto"/>
        </w:rPr>
        <w:t>” means the medium range product tanker, having Builder’s hull number 106, which is to be constructed by the Builder for, and purchased by, Borrower D under Shipbuilding Contract D and which, on delivery, is to be registered in the name of Borrower D under an Approved Flag;</w:t>
      </w:r>
    </w:p>
    <w:p>
      <w:pPr>
        <w:spacing w:after="0" w:line="68" w:lineRule="exact"/>
        <w:rPr>
          <w:sz w:val="20"/>
          <w:szCs w:val="20"/>
          <w:color w:val="auto"/>
        </w:rPr>
      </w:pPr>
    </w:p>
    <w:p>
      <w:pPr>
        <w:ind w:left="7" w:right="1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 D Refund Guarantee</w:t>
      </w:r>
      <w:r>
        <w:rPr>
          <w:rFonts w:ascii="Arial" w:cs="Arial" w:eastAsia="Arial" w:hAnsi="Arial"/>
          <w:sz w:val="17"/>
          <w:szCs w:val="17"/>
          <w:color w:val="auto"/>
        </w:rPr>
        <w:t>” means the irrevocable and unconditional letter of guarantee dated 18 September 2013 and issued by the Refund Guarantor in favour of Borrower D in respect of the refundment obligations of the Builder under Shipbuilding Contract D;</w:t>
      </w:r>
    </w:p>
    <w:p>
      <w:pPr>
        <w:spacing w:after="0" w:line="30" w:lineRule="exact"/>
        <w:rPr>
          <w:sz w:val="20"/>
          <w:szCs w:val="20"/>
          <w:color w:val="auto"/>
        </w:rPr>
      </w:pPr>
    </w:p>
    <w:p>
      <w:pPr>
        <w:jc w:val="both"/>
        <w:ind w:left="7" w:right="5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E</w:t>
      </w:r>
      <w:r>
        <w:rPr>
          <w:rFonts w:ascii="Arial" w:cs="Arial" w:eastAsia="Arial" w:hAnsi="Arial"/>
          <w:sz w:val="18"/>
          <w:szCs w:val="18"/>
          <w:color w:val="auto"/>
        </w:rPr>
        <w:t>” means the medium range product tanker, having Builder’s hull number 107, which is to be constructed by the Builder for, and purchased by, Borrower E under Shipbuilding Contract E and which, on delivery, is to be registered in the name of Borrower E under an Approved Flag;</w:t>
      </w:r>
    </w:p>
    <w:p>
      <w:pPr>
        <w:spacing w:after="0" w:line="68" w:lineRule="exact"/>
        <w:rPr>
          <w:sz w:val="20"/>
          <w:szCs w:val="20"/>
          <w:color w:val="auto"/>
        </w:rPr>
      </w:pPr>
    </w:p>
    <w:p>
      <w:pPr>
        <w:ind w:left="7" w:right="3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 E Refund Guarantee</w:t>
      </w:r>
      <w:r>
        <w:rPr>
          <w:rFonts w:ascii="Arial" w:cs="Arial" w:eastAsia="Arial" w:hAnsi="Arial"/>
          <w:sz w:val="17"/>
          <w:szCs w:val="17"/>
          <w:color w:val="auto"/>
        </w:rPr>
        <w:t>” means the irrevocable and unconditional letter of guarantee dated 07 October 2014 and issued by the Refund Guarantor in favour of Borrower E in respect of the refundment obligations of the Builder under Shipbuilding Contract E;</w:t>
      </w:r>
    </w:p>
    <w:p>
      <w:pPr>
        <w:spacing w:after="0" w:line="75"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87"/>
          </w:cols>
          <w:pgMar w:left="1153" w:top="274" w:right="359" w:bottom="1440" w:gutter="0" w:footer="0" w:header="0"/>
        </w:sectPr>
      </w:pPr>
    </w:p>
    <w:bookmarkStart w:id="193" w:name="page194"/>
    <w:bookmarkEnd w:id="193"/>
    <w:p>
      <w:pPr>
        <w:ind w:left="7" w:right="1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Shipbuilding Contract</w:t>
      </w:r>
      <w:r>
        <w:rPr>
          <w:rFonts w:ascii="Arial" w:cs="Arial" w:eastAsia="Arial" w:hAnsi="Arial"/>
          <w:sz w:val="18"/>
          <w:szCs w:val="18"/>
          <w:color w:val="auto"/>
        </w:rPr>
        <w:t>” means each of Shipbuilding Contract A, Shipbuilding Contract B, Shipbuilding Contract C, Shipbuilding Contract D and Shipbuilding Contract E and, in the plural, means all of them;</w:t>
      </w:r>
    </w:p>
    <w:p>
      <w:pPr>
        <w:spacing w:after="0" w:line="54" w:lineRule="exact"/>
        <w:rPr>
          <w:sz w:val="20"/>
          <w:szCs w:val="20"/>
          <w:color w:val="auto"/>
        </w:rPr>
      </w:pPr>
    </w:p>
    <w:p>
      <w:pPr>
        <w:ind w:left="7" w:right="1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A</w:t>
      </w:r>
      <w:r>
        <w:rPr>
          <w:rFonts w:ascii="Arial" w:cs="Arial" w:eastAsia="Arial" w:hAnsi="Arial"/>
          <w:sz w:val="17"/>
          <w:szCs w:val="17"/>
          <w:color w:val="auto"/>
        </w:rPr>
        <w:t>” means the Shipbuilding Contract dated 17 June 2013 and made between (i) the Builder and (ii) Borrower A for the construction by the Builder of Ship A and its purchase by Borrower A (as amended and supplemented from time to time);</w:t>
      </w:r>
    </w:p>
    <w:p>
      <w:pPr>
        <w:spacing w:after="0" w:line="30" w:lineRule="exact"/>
        <w:rPr>
          <w:sz w:val="20"/>
          <w:szCs w:val="20"/>
          <w:color w:val="auto"/>
        </w:rPr>
      </w:pPr>
    </w:p>
    <w:p>
      <w:pPr>
        <w:ind w:left="7"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B</w:t>
      </w:r>
      <w:r>
        <w:rPr>
          <w:rFonts w:ascii="Arial" w:cs="Arial" w:eastAsia="Arial" w:hAnsi="Arial"/>
          <w:sz w:val="17"/>
          <w:szCs w:val="17"/>
          <w:color w:val="auto"/>
        </w:rPr>
        <w:t>” means the Shipbuilding Contract dated 17 June 2013 and made between (i) the Builder and (ii) Borrower B for the construction by the Builder of Ship B and its purchase by Borrower B (as amended and supplemented from time to time);</w:t>
      </w:r>
    </w:p>
    <w:p>
      <w:pPr>
        <w:spacing w:after="0" w:line="30" w:lineRule="exact"/>
        <w:rPr>
          <w:sz w:val="20"/>
          <w:szCs w:val="20"/>
          <w:color w:val="auto"/>
        </w:rPr>
      </w:pPr>
    </w:p>
    <w:p>
      <w:pPr>
        <w:jc w:val="both"/>
        <w:ind w:left="7" w:right="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C</w:t>
      </w:r>
      <w:r>
        <w:rPr>
          <w:rFonts w:ascii="Arial" w:cs="Arial" w:eastAsia="Arial" w:hAnsi="Arial"/>
          <w:sz w:val="17"/>
          <w:szCs w:val="17"/>
          <w:color w:val="auto"/>
        </w:rPr>
        <w:t>” means the Shipbuilding Contract dated 3 September 2013 and made between (i) the Builder and (ii) Borrower C for the construction by the Builder of Ship C and its purchase by Borrower C (as amended and supplemented from time to time);</w:t>
      </w:r>
    </w:p>
    <w:p>
      <w:pPr>
        <w:spacing w:after="0" w:line="30" w:lineRule="exact"/>
        <w:rPr>
          <w:sz w:val="20"/>
          <w:szCs w:val="20"/>
          <w:color w:val="auto"/>
        </w:rPr>
      </w:pPr>
    </w:p>
    <w:p>
      <w:pPr>
        <w:jc w:val="both"/>
        <w:ind w:left="7" w:right="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D</w:t>
      </w:r>
      <w:r>
        <w:rPr>
          <w:rFonts w:ascii="Arial" w:cs="Arial" w:eastAsia="Arial" w:hAnsi="Arial"/>
          <w:sz w:val="17"/>
          <w:szCs w:val="17"/>
          <w:color w:val="auto"/>
        </w:rPr>
        <w:t>” means the Shipbuilding Contract dated 3 September 2013 and made between (i) the Builder and (ii) Borrower D for the construction by the Builder of Ship D and its purchase by Borrower D (as amended and supplemented from time to time);</w:t>
      </w:r>
    </w:p>
    <w:p>
      <w:pPr>
        <w:spacing w:after="0" w:line="30" w:lineRule="exact"/>
        <w:rPr>
          <w:sz w:val="20"/>
          <w:szCs w:val="20"/>
          <w:color w:val="auto"/>
        </w:rPr>
      </w:pPr>
    </w:p>
    <w:p>
      <w:pPr>
        <w:ind w:left="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E</w:t>
      </w:r>
      <w:r>
        <w:rPr>
          <w:rFonts w:ascii="Arial" w:cs="Arial" w:eastAsia="Arial" w:hAnsi="Arial"/>
          <w:sz w:val="17"/>
          <w:szCs w:val="17"/>
          <w:color w:val="auto"/>
        </w:rPr>
        <w:t>” means the Shipbuilding Contract dated 10 December 2013 and made between (i) the Builder and (ii) Borrower E for the construction by the Builder of Ship E and its purchase by Borrower E (as amended and supplemented from time to time);</w:t>
      </w:r>
    </w:p>
    <w:p>
      <w:pPr>
        <w:spacing w:after="0" w:line="30" w:lineRule="exact"/>
        <w:rPr>
          <w:sz w:val="20"/>
          <w:szCs w:val="20"/>
          <w:color w:val="auto"/>
        </w:rPr>
      </w:pPr>
    </w:p>
    <w:p>
      <w:pPr>
        <w:jc w:val="both"/>
        <w:ind w:left="7"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Parent Guarantee</w:t>
      </w:r>
      <w:r>
        <w:rPr>
          <w:rFonts w:ascii="Arial" w:cs="Arial" w:eastAsia="Arial" w:hAnsi="Arial"/>
          <w:sz w:val="17"/>
          <w:szCs w:val="17"/>
          <w:color w:val="auto"/>
        </w:rPr>
        <w:t>” means, in relation to a Shipbuilding Contract, an irrevocable and unconditional letter of guarantee dated on the date of that Shipbuilding Contract and issued by the Builder’s Parent in favour of the Borrower which is a party to that Shipbuilding Contract in relation to the obligations of the Builder under each Shipbuilding Contract, and in the plural means all of them;</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Ships</w:t>
      </w:r>
      <w:r>
        <w:rPr>
          <w:rFonts w:ascii="Arial" w:cs="Arial" w:eastAsia="Arial" w:hAnsi="Arial"/>
          <w:sz w:val="18"/>
          <w:szCs w:val="18"/>
          <w:color w:val="auto"/>
        </w:rPr>
        <w:t>” means, together, Ship A, Ship B, Ship C, Ship D and Ship E, and in the singular means any of them;</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Bank</w:t>
      </w:r>
      <w:r>
        <w:rPr>
          <w:rFonts w:ascii="Arial" w:cs="Arial" w:eastAsia="Arial" w:hAnsi="Arial"/>
          <w:sz w:val="16"/>
          <w:szCs w:val="16"/>
          <w:color w:val="auto"/>
        </w:rPr>
        <w:t>” means ING Bank N.V., acting through its office at Treasury Building, Foppingadreef 7, 1102 BD Amsterdam, The Netherlands;</w:t>
      </w:r>
    </w:p>
    <w:p>
      <w:pPr>
        <w:spacing w:after="0" w:line="140" w:lineRule="exact"/>
        <w:rPr>
          <w:sz w:val="20"/>
          <w:szCs w:val="20"/>
          <w:color w:val="auto"/>
        </w:rPr>
      </w:pPr>
    </w:p>
    <w:p>
      <w:pPr>
        <w:ind w:left="7" w:right="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Exposure</w:t>
      </w:r>
      <w:r>
        <w:rPr>
          <w:rFonts w:ascii="Arial" w:cs="Arial" w:eastAsia="Arial" w:hAnsi="Arial"/>
          <w:sz w:val="16"/>
          <w:szCs w:val="16"/>
          <w:color w:val="auto"/>
        </w:rPr>
        <w:t>” means, as at any relevant date, the amount certified by the Swap Bank to the Facility Agent to be the aggregate net amount in Dollars which would be payable by a Borrower to that Swap Bank under (and calculated in accordance with) section 6(e) (Payments on Early Termination) of the relevant Master Agreement if an Early Termination Date had occurred on the relevant date in relation to all continuing Designated Transactions in respect of the Master Agreement entered into between that Borrower and that Swap Bank;</w:t>
      </w:r>
    </w:p>
    <w:p>
      <w:pPr>
        <w:spacing w:after="0" w:line="43" w:lineRule="exact"/>
        <w:rPr>
          <w:sz w:val="20"/>
          <w:szCs w:val="20"/>
          <w:color w:val="auto"/>
        </w:rPr>
      </w:pPr>
    </w:p>
    <w:p>
      <w:pPr>
        <w:ind w:left="7" w:right="5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Guarantor</w:t>
      </w:r>
      <w:r>
        <w:rPr>
          <w:rFonts w:ascii="Arial" w:cs="Arial" w:eastAsia="Arial" w:hAnsi="Arial"/>
          <w:sz w:val="17"/>
          <w:szCs w:val="17"/>
          <w:color w:val="auto"/>
        </w:rPr>
        <w:t>” means Capital Product Partners L.P., a limited partnership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hanging="787"/>
        <w:spacing w:after="0"/>
        <w:tabs>
          <w:tab w:leader="none" w:pos="7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that Ship;</w:t>
      </w:r>
    </w:p>
    <w:p>
      <w:pPr>
        <w:spacing w:after="0" w:line="130" w:lineRule="exact"/>
        <w:rPr>
          <w:rFonts w:ascii="Arial" w:cs="Arial" w:eastAsia="Arial" w:hAnsi="Arial"/>
          <w:sz w:val="18"/>
          <w:szCs w:val="18"/>
          <w:color w:val="auto"/>
        </w:rPr>
      </w:pPr>
    </w:p>
    <w:p>
      <w:pPr>
        <w:ind w:left="787" w:hanging="787"/>
        <w:spacing w:after="0" w:line="257" w:lineRule="auto"/>
        <w:tabs>
          <w:tab w:leader="none" w:pos="7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that Ship, whether for full consideration, a consideration less than her proper value, a nominal consideration or without any consideration, which is effected by any government or official authority or by any person or persons claiming to be or to represent a government or official authority, unless it is within 1 month from the date of such occurrence redelivered to the full control of the Borrower owning that Ship, excluding a requisition for hire for a fixed period not exceeding 360 days without any right to an extension;</w:t>
      </w:r>
    </w:p>
    <w:p>
      <w:pPr>
        <w:spacing w:after="0" w:line="12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7"/>
          </w:cols>
          <w:pgMar w:left="1153" w:top="270" w:right="259" w:bottom="1440" w:gutter="0" w:footer="0" w:header="0"/>
        </w:sectPr>
      </w:pPr>
    </w:p>
    <w:bookmarkStart w:id="194" w:name="page195"/>
    <w:bookmarkEnd w:id="194"/>
    <w:p>
      <w:pPr>
        <w:ind w:left="787" w:hanging="787"/>
        <w:spacing w:after="0"/>
        <w:tabs>
          <w:tab w:leader="none" w:pos="787"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condemnation of the Ship by any tribunal or by any person or persons claiming to be a tribunal; and</w:t>
      </w:r>
    </w:p>
    <w:p>
      <w:pPr>
        <w:spacing w:after="0" w:line="130" w:lineRule="exact"/>
        <w:rPr>
          <w:rFonts w:ascii="Arial" w:cs="Arial" w:eastAsia="Arial" w:hAnsi="Arial"/>
          <w:sz w:val="18"/>
          <w:szCs w:val="18"/>
          <w:color w:val="auto"/>
        </w:rPr>
      </w:pPr>
    </w:p>
    <w:p>
      <w:pPr>
        <w:ind w:left="787" w:right="300" w:hanging="787"/>
        <w:spacing w:after="0" w:line="277" w:lineRule="auto"/>
        <w:tabs>
          <w:tab w:leader="none" w:pos="78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arrest, capture, seizure, confiscation or detention of the Ship (including any hijacking (piracy) or theft) unless she is within 90 days redelivered to the full control of the Borrower owning the Ship;</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 Date</w:t>
      </w:r>
      <w:r>
        <w:rPr>
          <w:rFonts w:ascii="Arial" w:cs="Arial" w:eastAsia="Arial" w:hAnsi="Arial"/>
          <w:sz w:val="18"/>
          <w:szCs w:val="18"/>
          <w:color w:val="auto"/>
        </w:rPr>
        <w:t>” means, in relation to a Ship:</w:t>
      </w:r>
    </w:p>
    <w:p>
      <w:pPr>
        <w:spacing w:after="0" w:line="135" w:lineRule="exact"/>
        <w:rPr>
          <w:sz w:val="20"/>
          <w:szCs w:val="20"/>
          <w:color w:val="auto"/>
        </w:rPr>
      </w:pPr>
    </w:p>
    <w:p>
      <w:pPr>
        <w:ind w:left="787" w:hanging="787"/>
        <w:spacing w:after="0"/>
        <w:tabs>
          <w:tab w:leader="none" w:pos="78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 the case of an actual loss of that Ship, the date on which it occurred or, if that is unknown, the date when the Ship was last heard of;</w:t>
      </w:r>
    </w:p>
    <w:p>
      <w:pPr>
        <w:spacing w:after="0" w:line="153" w:lineRule="exact"/>
        <w:rPr>
          <w:rFonts w:ascii="Arial" w:cs="Arial" w:eastAsia="Arial" w:hAnsi="Arial"/>
          <w:sz w:val="16"/>
          <w:szCs w:val="16"/>
          <w:color w:val="auto"/>
        </w:rPr>
      </w:pPr>
    </w:p>
    <w:p>
      <w:pPr>
        <w:ind w:left="787" w:hanging="787"/>
        <w:spacing w:after="0"/>
        <w:tabs>
          <w:tab w:leader="none" w:pos="7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the Ship, the earliest of:</w:t>
      </w:r>
    </w:p>
    <w:p>
      <w:pPr>
        <w:spacing w:after="0" w:line="130" w:lineRule="exact"/>
        <w:rPr>
          <w:rFonts w:ascii="Arial" w:cs="Arial" w:eastAsia="Arial" w:hAnsi="Arial"/>
          <w:sz w:val="18"/>
          <w:szCs w:val="18"/>
          <w:color w:val="auto"/>
        </w:rPr>
      </w:pPr>
    </w:p>
    <w:p>
      <w:pPr>
        <w:ind w:left="1467" w:hanging="670"/>
        <w:spacing w:after="0"/>
        <w:tabs>
          <w:tab w:leader="none" w:pos="146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30 days after the date on which a notice of abandonment is given to the insurers; and</w:t>
      </w:r>
    </w:p>
    <w:p>
      <w:pPr>
        <w:spacing w:after="0" w:line="130" w:lineRule="exact"/>
        <w:rPr>
          <w:rFonts w:ascii="Arial" w:cs="Arial" w:eastAsia="Arial" w:hAnsi="Arial"/>
          <w:sz w:val="18"/>
          <w:szCs w:val="18"/>
          <w:color w:val="auto"/>
        </w:rPr>
      </w:pPr>
    </w:p>
    <w:p>
      <w:pPr>
        <w:ind w:left="1467" w:right="300" w:hanging="670"/>
        <w:spacing w:after="0" w:line="277" w:lineRule="auto"/>
        <w:tabs>
          <w:tab w:leader="none" w:pos="146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Borrower owning the Ship, with that Ship’s insurers in which the insurers agree to treat the Ship as a total loss; and</w:t>
      </w:r>
    </w:p>
    <w:p>
      <w:pPr>
        <w:spacing w:after="0" w:line="75" w:lineRule="exact"/>
        <w:rPr>
          <w:rFonts w:ascii="Arial" w:cs="Arial" w:eastAsia="Arial" w:hAnsi="Arial"/>
          <w:sz w:val="18"/>
          <w:szCs w:val="18"/>
          <w:color w:val="auto"/>
        </w:rPr>
      </w:pPr>
    </w:p>
    <w:p>
      <w:pPr>
        <w:ind w:left="787" w:right="100" w:hanging="787"/>
        <w:spacing w:after="0" w:line="277" w:lineRule="auto"/>
        <w:tabs>
          <w:tab w:leader="none" w:pos="7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any other type of total loss, on the date (or the most likely date) on which it appears to the Facility Agent that the event constituting the total loss occurred;</w:t>
      </w:r>
    </w:p>
    <w:p>
      <w:pPr>
        <w:spacing w:after="0" w:line="58" w:lineRule="exact"/>
        <w:rPr>
          <w:sz w:val="20"/>
          <w:szCs w:val="20"/>
          <w:color w:val="auto"/>
        </w:rPr>
      </w:pPr>
    </w:p>
    <w:p>
      <w:pPr>
        <w:ind w:left="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w:t>
      </w:r>
      <w:r>
        <w:rPr>
          <w:rFonts w:ascii="Arial" w:cs="Arial" w:eastAsia="Arial" w:hAnsi="Arial"/>
          <w:sz w:val="18"/>
          <w:szCs w:val="18"/>
          <w:color w:val="auto"/>
        </w:rPr>
        <w:t>” means that part of the Loan made or to be made available to the Borrowers, or, following a Dropdown, to the Borrowers that are members of the relevant Group, to refinance in part the acquisition cost of Ship A in a principal amount not exceeding in aggregate the lower of (i) $19,530,000 and (ii) 60 per cent. of the Initial Market Value of Ship A;</w:t>
      </w:r>
    </w:p>
    <w:p>
      <w:pPr>
        <w:spacing w:after="0" w:line="68" w:lineRule="exact"/>
        <w:rPr>
          <w:sz w:val="20"/>
          <w:szCs w:val="20"/>
          <w:color w:val="auto"/>
        </w:rPr>
      </w:pPr>
    </w:p>
    <w:p>
      <w:pPr>
        <w:ind w:left="7"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w:t>
      </w:r>
      <w:r>
        <w:rPr>
          <w:rFonts w:ascii="Arial" w:cs="Arial" w:eastAsia="Arial" w:hAnsi="Arial"/>
          <w:sz w:val="17"/>
          <w:szCs w:val="17"/>
          <w:color w:val="auto"/>
        </w:rPr>
        <w:t>” means that part of the Loan made or to be made available to the Borrowers, or, following a Dropdown, to the Borrowers that are members of the relevant Group, to finance or, as the case may be, refinance in part the acquisition cost of Ship B in a principal amount not exceeding in aggregate the lower of (i) $19,530,000 and (ii) 60 per cent. of the Initial Market Value of Ship B;</w:t>
      </w:r>
    </w:p>
    <w:p>
      <w:pPr>
        <w:spacing w:after="0" w:line="50" w:lineRule="exact"/>
        <w:rPr>
          <w:sz w:val="20"/>
          <w:szCs w:val="20"/>
          <w:color w:val="auto"/>
        </w:rPr>
      </w:pPr>
    </w:p>
    <w:p>
      <w:pPr>
        <w:ind w:left="7"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C</w:t>
      </w:r>
      <w:r>
        <w:rPr>
          <w:rFonts w:ascii="Arial" w:cs="Arial" w:eastAsia="Arial" w:hAnsi="Arial"/>
          <w:sz w:val="17"/>
          <w:szCs w:val="17"/>
          <w:color w:val="auto"/>
        </w:rPr>
        <w:t>” means that part of the Loan made or to be made available to the Borrowers, or, following a Dropdown, to the Borrowers that are members of the relevant Group, to finance or, as the case may be refinance, in part the acquisition cost of Ship C in a principal amount not exceeding in aggregate the lower of (i) $19,530,000 and (ii) 60 per cent. of the Initial Market Value of Ship C;</w:t>
      </w:r>
    </w:p>
    <w:p>
      <w:pPr>
        <w:spacing w:after="0" w:line="50" w:lineRule="exact"/>
        <w:rPr>
          <w:sz w:val="20"/>
          <w:szCs w:val="20"/>
          <w:color w:val="auto"/>
        </w:rPr>
      </w:pPr>
    </w:p>
    <w:p>
      <w:pPr>
        <w:ind w:left="7"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D</w:t>
      </w:r>
      <w:r>
        <w:rPr>
          <w:rFonts w:ascii="Arial" w:cs="Arial" w:eastAsia="Arial" w:hAnsi="Arial"/>
          <w:sz w:val="17"/>
          <w:szCs w:val="17"/>
          <w:color w:val="auto"/>
        </w:rPr>
        <w:t>” means that part of the Loan made or to be made available to the Borrowers, or, following a Dropdown, to the Borrowers that are members of the relevant Group, to finance or, as the case may be, refinance in part the acquisition cost of Ship D in a principal amount not exceeding in aggregate the lower of (i) $19,530,000 and (ii) 60 per cent. of the Initial Market Value of Ship D;</w:t>
      </w:r>
    </w:p>
    <w:p>
      <w:pPr>
        <w:spacing w:after="0" w:line="50" w:lineRule="exact"/>
        <w:rPr>
          <w:sz w:val="20"/>
          <w:szCs w:val="20"/>
          <w:color w:val="auto"/>
        </w:rPr>
      </w:pPr>
    </w:p>
    <w:p>
      <w:pPr>
        <w:ind w:left="7"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E</w:t>
      </w:r>
      <w:r>
        <w:rPr>
          <w:rFonts w:ascii="Arial" w:cs="Arial" w:eastAsia="Arial" w:hAnsi="Arial"/>
          <w:sz w:val="17"/>
          <w:szCs w:val="17"/>
          <w:color w:val="auto"/>
        </w:rPr>
        <w:t>” means that part of the Loan made or to be made available to the Borrowers, or, following a Dropdown, to the Borrowers that are members of the relevant Group, to finance or, as the case may be, refinance in part the acquisition cost of Ship E in a principal amount not exceeding in aggregate the lower of (i) $19,710,000 and (ii) 60 per cent. of the Initial Market Value of Ship E;</w:t>
      </w:r>
    </w:p>
    <w:p>
      <w:pPr>
        <w:spacing w:after="0" w:line="95"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7"/>
          </w:cols>
          <w:pgMar w:left="1153" w:top="274" w:right="279" w:bottom="1440" w:gutter="0" w:footer="0" w:header="0"/>
        </w:sectPr>
      </w:pPr>
    </w:p>
    <w:bookmarkStart w:id="195" w:name="page196"/>
    <w:bookmarkEnd w:id="19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Tranches</w:t>
      </w:r>
      <w:r>
        <w:rPr>
          <w:rFonts w:ascii="Arial" w:cs="Arial" w:eastAsia="Arial" w:hAnsi="Arial"/>
          <w:sz w:val="17"/>
          <w:szCs w:val="17"/>
          <w:color w:val="auto"/>
        </w:rPr>
        <w:t>” means, together, Tranche A, Tranche, B, Tranche C, Tranche D and Tranche E and, in the singular, means any of them;</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has the meaning given in the relevant Master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Agreement;</w:t>
      </w:r>
    </w:p>
    <w:p>
      <w:pPr>
        <w:spacing w:after="0" w:line="117"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Documents</w:t>
      </w:r>
      <w:r>
        <w:rPr>
          <w:rFonts w:ascii="Arial" w:cs="Arial" w:eastAsia="Arial" w:hAnsi="Arial"/>
          <w:sz w:val="18"/>
          <w:szCs w:val="18"/>
          <w:color w:val="auto"/>
        </w:rPr>
        <w:t>” means, together, the Shipbuilding Contracts, the Shipbuilding Contract Parent Guarantees and the Refund Guarantees and, in the singular, means any of them;</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Unscheduled Amount</w:t>
      </w:r>
      <w:r>
        <w:rPr>
          <w:rFonts w:ascii="Arial" w:cs="Arial" w:eastAsia="Arial" w:hAnsi="Arial"/>
          <w:sz w:val="18"/>
          <w:szCs w:val="18"/>
          <w:color w:val="auto"/>
        </w:rPr>
        <w:t>” has the meaning given in Clause 29.2;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as from time to time in effect in the United States of America; 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1700" w:right="260" w:hanging="787"/>
        <w:spacing w:after="0" w:line="277" w:lineRule="auto"/>
        <w:tabs>
          <w:tab w:leader="none" w:pos="1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Borrower or any Security Party, in each case, which is a “United States person” within the meaning of section 7701(a)(30) of the Code; or</w:t>
      </w:r>
    </w:p>
    <w:p>
      <w:pPr>
        <w:spacing w:after="0" w:line="75" w:lineRule="exact"/>
        <w:rPr>
          <w:rFonts w:ascii="Arial" w:cs="Arial" w:eastAsia="Arial" w:hAnsi="Arial"/>
          <w:sz w:val="18"/>
          <w:szCs w:val="18"/>
          <w:color w:val="auto"/>
        </w:rPr>
      </w:pPr>
    </w:p>
    <w:p>
      <w:pPr>
        <w:ind w:left="1700" w:right="40" w:hanging="787"/>
        <w:spacing w:after="0" w:line="277" w:lineRule="auto"/>
        <w:tabs>
          <w:tab w:leader="none" w:pos="1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Borrower or any Security Party, in each case, some or all of whose payments under the Finance Documents are from sources within the United States for United States federal income tax purposes.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Facility Agent;</w:t>
      </w:r>
    </w:p>
    <w:p>
      <w:pPr>
        <w:spacing w:after="0" w:line="117" w:lineRule="exact"/>
        <w:rPr>
          <w:sz w:val="20"/>
          <w:szCs w:val="20"/>
          <w:color w:val="auto"/>
        </w:rPr>
      </w:pPr>
    </w:p>
    <w:p>
      <w:pPr>
        <w:ind w:left="920"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w:t>
      </w:r>
      <w:r>
        <w:rPr>
          <w:rFonts w:ascii="Arial" w:cs="Arial" w:eastAsia="Arial" w:hAnsi="Arial"/>
          <w:sz w:val="18"/>
          <w:szCs w:val="18"/>
          <w:color w:val="auto"/>
        </w:rPr>
        <w:t>” includes every kind of property, asset, interest or right, including any present, future or contingent right to any revenues or other payment;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w:t>
      </w:r>
      <w:r>
        <w:rPr>
          <w:rFonts w:ascii="Arial" w:cs="Arial" w:eastAsia="Arial" w:hAnsi="Arial"/>
          <w:sz w:val="17"/>
          <w:szCs w:val="17"/>
          <w:color w:val="auto"/>
        </w:rPr>
        <w:t>” includes an authorisation, consent, approval, resolution, licence, exemption, filing, registration, notarisation and legalisation;</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117" w:lineRule="exact"/>
        <w:rPr>
          <w:sz w:val="20"/>
          <w:szCs w:val="20"/>
          <w:color w:val="auto"/>
        </w:rPr>
      </w:pPr>
    </w:p>
    <w:p>
      <w:pPr>
        <w:jc w:val="both"/>
        <w:ind w:left="92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the Ship in consequence of her insured value being less than the value at which the Ship is assessed for the purpose of such claims;</w:t>
      </w:r>
    </w:p>
    <w:p>
      <w:pPr>
        <w:spacing w:after="0" w:line="68" w:lineRule="exact"/>
        <w:rPr>
          <w:sz w:val="20"/>
          <w:szCs w:val="20"/>
          <w:color w:val="auto"/>
        </w:rPr>
      </w:pPr>
    </w:p>
    <w:p>
      <w:pPr>
        <w:ind w:left="9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w:t>
      </w:r>
      <w:r>
        <w:rPr>
          <w:rFonts w:ascii="Arial" w:cs="Arial" w:eastAsia="Arial" w:hAnsi="Arial"/>
          <w:sz w:val="18"/>
          <w:szCs w:val="18"/>
          <w:color w:val="auto"/>
        </w:rPr>
        <w:t>” means any kind of cost, charge or expense (including all legal costs, charges and expenses) and any applicable value added or other tax;</w:t>
      </w:r>
    </w:p>
    <w:p>
      <w:pPr>
        <w:spacing w:after="0" w:line="54" w:lineRule="exact"/>
        <w:rPr>
          <w:sz w:val="20"/>
          <w:szCs w:val="20"/>
          <w:color w:val="auto"/>
        </w:rPr>
      </w:pPr>
    </w:p>
    <w:p>
      <w:pPr>
        <w:ind w:left="920" w:right="2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a form of negligence which is distinct from ordinary negligence, in which the due diligence and care which are generally to be exercised have been disregarded to a particularly high degree, in which the plainest deliberations have not been made and that which should be most obvious to everybody has not been followed;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0" w:right="299" w:bottom="1440" w:gutter="0" w:footer="0" w:header="0"/>
        </w:sectPr>
      </w:pPr>
    </w:p>
    <w:bookmarkStart w:id="196" w:name="page197"/>
    <w:bookmarkEnd w:id="196"/>
    <w:p>
      <w:pPr>
        <w:ind w:right="1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law</w:t>
      </w:r>
      <w:r>
        <w:rPr>
          <w:rFonts w:ascii="Arial" w:cs="Arial" w:eastAsia="Arial" w:hAnsi="Arial"/>
          <w:sz w:val="18"/>
          <w:szCs w:val="18"/>
          <w:color w:val="auto"/>
        </w:rPr>
        <w:t>” includes any form of delegated legislation, any order or decree,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or administrative action</w:t>
      </w:r>
      <w:r>
        <w:rPr>
          <w:rFonts w:ascii="Arial" w:cs="Arial" w:eastAsia="Arial" w:hAnsi="Arial"/>
          <w:sz w:val="17"/>
          <w:szCs w:val="17"/>
          <w:color w:val="auto"/>
        </w:rPr>
        <w:t>” means any legal proceeding or arbitration and any administrative or regulatory action or investigation;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liability</w:t>
      </w:r>
      <w:r>
        <w:rPr>
          <w:rFonts w:ascii="Arial" w:cs="Arial" w:eastAsia="Arial" w:hAnsi="Arial"/>
          <w:sz w:val="16"/>
          <w:szCs w:val="16"/>
          <w:color w:val="auto"/>
        </w:rPr>
        <w:t>” includes every kind of debt or liability (present or future, certain or contingent), whether incurred as principal or surety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in relation to a Ship, all insurances effected, or which the Borrower owning the Ship is obliged to effect, under Clause 13 below or any other provision of this Agreement or another Finance Document;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any partnership, any company; any state, political sub-division of a state and local or municipal authority; and any international organisation;</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and indemnity risks</w:t>
      </w:r>
      <w:r>
        <w:rPr>
          <w:rFonts w:ascii="Arial" w:cs="Arial" w:eastAsia="Arial" w:hAnsi="Arial"/>
          <w:sz w:val="18"/>
          <w:szCs w:val="18"/>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(Hulls)(1/11/95) or clause 8 of the Institute Time Clauses (Hulls) (1/10/183) or the Institute Amended Running Down Clause (1/10/71) or any equivalent provision;</w:t>
      </w:r>
    </w:p>
    <w:p>
      <w:pPr>
        <w:spacing w:after="0" w:line="76"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(either having the force of law or compliance with which is reasonable in the ordinary course of business of the party concerned) of any governmental, intergovernmental or supranational body, agency, department or regulatory, self-regulatory or other authority or organisation;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right="6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includes any person who is entitled (by assignment, novation, merger or otherwise) to any other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4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1/11/03), clause 24 of the Institute Time Clauses (Hulls)(1/11/1995) or clause 23 of the Institute Time Clauses (Hulls) (1/10/83).</w:t>
      </w:r>
    </w:p>
    <w:p>
      <w:pPr>
        <w:spacing w:after="0" w:line="9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1160" w:top="270" w:right="239" w:bottom="1440" w:gutter="0" w:footer="0" w:header="0"/>
        </w:sectPr>
      </w:pPr>
    </w:p>
    <w:bookmarkStart w:id="197" w:name="page198"/>
    <w:bookmarkEnd w:id="19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Meaning of “month”</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A period of one or more “months” ends on the day in the relevant calendar month numerically corresponding to the day 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76" w:lineRule="exact"/>
        <w:rPr>
          <w:sz w:val="20"/>
          <w:szCs w:val="20"/>
          <w:color w:val="auto"/>
        </w:rPr>
      </w:pPr>
    </w:p>
    <w:p>
      <w:pPr>
        <w:ind w:left="920" w:right="220" w:hanging="912"/>
        <w:spacing w:after="0" w:line="308" w:lineRule="auto"/>
        <w:tabs>
          <w:tab w:leader="none" w:pos="9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51" w:lineRule="exact"/>
        <w:rPr>
          <w:rFonts w:ascii="Arial" w:cs="Arial" w:eastAsia="Arial" w:hAnsi="Arial"/>
          <w:sz w:val="17"/>
          <w:szCs w:val="17"/>
          <w:color w:val="auto"/>
        </w:rPr>
      </w:pPr>
    </w:p>
    <w:p>
      <w:pPr>
        <w:ind w:left="920" w:right="120" w:hanging="912"/>
        <w:spacing w:after="0" w:line="277" w:lineRule="auto"/>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5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Meaning of “subsidiary”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company (S) is a subsidiary of another company (P) if:</w:t>
      </w:r>
    </w:p>
    <w:p>
      <w:pPr>
        <w:spacing w:after="0" w:line="131" w:lineRule="exact"/>
        <w:rPr>
          <w:sz w:val="20"/>
          <w:szCs w:val="20"/>
          <w:color w:val="auto"/>
        </w:rPr>
      </w:pPr>
    </w:p>
    <w:p>
      <w:pPr>
        <w:ind w:left="920" w:right="180" w:hanging="912"/>
        <w:spacing w:after="0" w:line="277" w:lineRule="auto"/>
        <w:tabs>
          <w:tab w:leader="none" w:pos="9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majority of the issued shares in S (or a majority of the issued shares in S which carry unlimited rights to capital and income distributions) are directly owned by P or are indirectly attributable to P;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 has direct or indirect control over a majority of the voting rights attached to the issued shares of S; or</w:t>
      </w:r>
    </w:p>
    <w:p>
      <w:pPr>
        <w:spacing w:after="0" w:line="130" w:lineRule="exact"/>
        <w:rPr>
          <w:rFonts w:ascii="Arial" w:cs="Arial" w:eastAsia="Arial" w:hAnsi="Arial"/>
          <w:sz w:val="18"/>
          <w:szCs w:val="18"/>
          <w:color w:val="auto"/>
        </w:rPr>
      </w:pPr>
    </w:p>
    <w:p>
      <w:pPr>
        <w:ind w:left="920" w:right="4220" w:hanging="912"/>
        <w:spacing w:after="0" w:line="440" w:lineRule="auto"/>
        <w:tabs>
          <w:tab w:leader="none" w:pos="91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P has the direct or indirect power to appoint or remove a majority of the directors of S, and any company of which S is a subsidiary is a parent company of 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 Interpretation</w:t>
      </w:r>
    </w:p>
    <w:p>
      <w:pPr>
        <w:spacing w:after="0" w:line="135" w:lineRule="exact"/>
        <w:rPr>
          <w:sz w:val="20"/>
          <w:szCs w:val="20"/>
          <w:color w:val="auto"/>
        </w:rPr>
      </w:pPr>
    </w:p>
    <w:p>
      <w:pPr>
        <w:ind w:left="920" w:hanging="912"/>
        <w:spacing w:after="0"/>
        <w:tabs>
          <w:tab w:leader="none" w:pos="9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30" w:lineRule="exact"/>
        <w:rPr>
          <w:rFonts w:ascii="Arial" w:cs="Arial" w:eastAsia="Arial" w:hAnsi="Arial"/>
          <w:sz w:val="18"/>
          <w:szCs w:val="18"/>
          <w:color w:val="auto"/>
        </w:rPr>
      </w:pPr>
    </w:p>
    <w:p>
      <w:pPr>
        <w:ind w:left="1700" w:right="480" w:hanging="787"/>
        <w:spacing w:after="0" w:line="277" w:lineRule="auto"/>
        <w:tabs>
          <w:tab w:leader="none" w:pos="1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75" w:lineRule="exact"/>
        <w:rPr>
          <w:rFonts w:ascii="Arial" w:cs="Arial" w:eastAsia="Arial" w:hAnsi="Arial"/>
          <w:sz w:val="18"/>
          <w:szCs w:val="18"/>
          <w:color w:val="auto"/>
        </w:rPr>
      </w:pPr>
    </w:p>
    <w:p>
      <w:pPr>
        <w:ind w:left="1700" w:right="60" w:hanging="787"/>
        <w:spacing w:after="0" w:line="277" w:lineRule="auto"/>
        <w:tabs>
          <w:tab w:leader="none" w:pos="1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Clauses 1.1 to 1.4 and paragraph (a) of this Clause 1.5 apply unless the contrary intention appears.</w:t>
      </w:r>
    </w:p>
    <w:p>
      <w:pPr>
        <w:spacing w:after="0" w:line="130" w:lineRule="exact"/>
        <w:rPr>
          <w:rFonts w:ascii="Arial" w:cs="Arial" w:eastAsia="Arial" w:hAnsi="Arial"/>
          <w:sz w:val="18"/>
          <w:szCs w:val="18"/>
          <w:color w:val="auto"/>
        </w:rPr>
      </w:pPr>
    </w:p>
    <w:p>
      <w:pPr>
        <w:ind w:left="920" w:right="60" w:hanging="912"/>
        <w:spacing w:after="0" w:line="264" w:lineRule="auto"/>
        <w:tabs>
          <w:tab w:leader="none" w:pos="9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References in Clause 1.1 to a document being in the form of a particular Appendix include references to that form with any modifications to that form which the Facility Agent (with the authorisation of the Majority Lenders in the case of substantial modifications) approves or reasonably requires.</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clause headings shall not affect the interpretation of this Agreement.</w:t>
      </w:r>
    </w:p>
    <w:p>
      <w:pPr>
        <w:spacing w:after="0" w:line="126" w:lineRule="exact"/>
        <w:rPr>
          <w:rFonts w:ascii="Arial" w:cs="Arial" w:eastAsia="Arial" w:hAnsi="Arial"/>
          <w:sz w:val="18"/>
          <w:szCs w:val="18"/>
          <w:color w:val="auto"/>
        </w:rPr>
      </w:pPr>
    </w:p>
    <w:p>
      <w:pPr>
        <w:ind w:left="920" w:right="300" w:hanging="912"/>
        <w:spacing w:after="0" w:line="282" w:lineRule="auto"/>
        <w:tabs>
          <w:tab w:leader="none" w:pos="9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Potential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198" w:name="page199"/>
    <w:bookmarkEnd w:id="198"/>
    <w:p>
      <w:pPr>
        <w:ind w:left="920" w:hanging="912"/>
        <w:spacing w:after="0"/>
        <w:tabs>
          <w:tab w:leader="none" w:pos="9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 of facility</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Subject to the terms of this Agreement, the Lenders shall make available to the Borrowers, or, following a Dropdown, to the Borrowers that are members of the relevant Group, a pre- and post- delivery secured term loan facility in five Tranches, of which:</w:t>
      </w:r>
    </w:p>
    <w:p>
      <w:pPr>
        <w:spacing w:after="0" w:line="76" w:lineRule="exact"/>
        <w:rPr>
          <w:sz w:val="20"/>
          <w:szCs w:val="20"/>
          <w:color w:val="auto"/>
        </w:rPr>
      </w:pPr>
    </w:p>
    <w:p>
      <w:pPr>
        <w:ind w:left="920" w:hanging="912"/>
        <w:spacing w:after="0" w:line="264" w:lineRule="auto"/>
        <w:tabs>
          <w:tab w:leader="none" w:pos="9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Tranches relating to each Ship which is not a Designated Ship shall be available for drawing in one Advance to finance the delivery instalments due and payable to the Builder and re-finance in part the construction or delivery instalments previously paid to the Builder in respect of each of those Ships or, in the case of Ship A only, to re-finance part of the acquisition cost of that Ship; and</w:t>
      </w:r>
    </w:p>
    <w:p>
      <w:pPr>
        <w:spacing w:after="0" w:line="86" w:lineRule="exact"/>
        <w:rPr>
          <w:rFonts w:ascii="Arial" w:cs="Arial" w:eastAsia="Arial" w:hAnsi="Arial"/>
          <w:sz w:val="18"/>
          <w:szCs w:val="18"/>
          <w:color w:val="auto"/>
        </w:rPr>
      </w:pPr>
    </w:p>
    <w:p>
      <w:pPr>
        <w:ind w:left="920" w:right="640" w:hanging="912"/>
        <w:spacing w:after="0" w:line="264" w:lineRule="auto"/>
        <w:tabs>
          <w:tab w:leader="none" w:pos="9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Tranches relating to each Designated Ship shall be available for drawing in several Advances, each to finance or refinance in part the construction and delivery instalments of the Contract Price paid, or as the case may be, due and payable to the Builder in respect of that Designated Ship under the applicable Shipbuilding Contract,</w:t>
      </w:r>
    </w:p>
    <w:p>
      <w:pPr>
        <w:spacing w:after="0" w:line="6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Tranches A, B, C, D and E shall be in an aggregate amount not exceeding $97,830,000.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Lenders’ participations in an Advance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Subject to the other provisions of this Agreement, each Lender shall participate in an Advance in the proportion which, as at the Drawdown Date applicable to that Advance, its Commitment bears to the Total Commitments.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Purpose of Loan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Borrower undertakes with each Creditor Party to use each Advance only for the purpose stated in the preamble to this Agreement.</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Creditor Party is bound to monitor or verify the application of any amount borrowed pursuant to this Agreement.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Designated Transactions under each Master Agreement</w:t>
      </w:r>
    </w:p>
    <w:p>
      <w:pPr>
        <w:spacing w:after="0" w:line="121"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At any time during the Security Period, any Borrower may request the Swap Bank to conclude Designated Transactions for the purpose of hedging exposure to interest rate fluctuations in the context of their interest payment obligations under this Agreement. The entry by the Swap Bank into each Master Agreement does not commit the Swap Bank to conclude Designated Transactions, or even to offer terms for doing so, but does provide a contractual framework within which Designated Transactions may be concluded and secured, assuming that the Swap Bank is willing to conclude any Designated Transaction at the relevant time and that, if that is the case, mutually acceptable terms can be agreed at the relevant time. The Swap Bank may, with the prior consent of the Borrower which is a party to the relevant Master Agreement (such consent not to be unreasonably withheld and/or delayed), syndicate its exposure under that Master Agreement at any time.</w:t>
      </w:r>
    </w:p>
    <w:p>
      <w:pPr>
        <w:spacing w:after="0" w:line="312" w:lineRule="exact"/>
        <w:rPr>
          <w:sz w:val="20"/>
          <w:szCs w:val="20"/>
          <w:color w:val="auto"/>
        </w:rPr>
      </w:pPr>
    </w:p>
    <w:p>
      <w:pPr>
        <w:ind w:left="920" w:hanging="912"/>
        <w:spacing w:after="0"/>
        <w:tabs>
          <w:tab w:leader="none" w:pos="9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 THE SWAP BANK AND THE MAJORITY LENDERS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Interests of Lenders and Swap Bank several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rights of the Lenders and the Swap Bank under this Agreement and each Master Agreement are several; accordingly:</w:t>
      </w:r>
    </w:p>
    <w:p>
      <w:pPr>
        <w:spacing w:after="0" w:line="131" w:lineRule="exact"/>
        <w:rPr>
          <w:sz w:val="20"/>
          <w:szCs w:val="20"/>
          <w:color w:val="auto"/>
        </w:rPr>
      </w:pPr>
    </w:p>
    <w:p>
      <w:pPr>
        <w:jc w:val="center"/>
        <w:ind w:left="5620" w:right="640" w:hanging="5612"/>
        <w:spacing w:after="0" w:line="449" w:lineRule="auto"/>
        <w:tabs>
          <w:tab w:leader="none" w:pos="90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Lender shall be entitled to sue for any amount which has become due and payable by the Borrowers to it under this Agreement; and 25</w:t>
      </w:r>
    </w:p>
    <w:p>
      <w:pPr>
        <w:sectPr>
          <w:pgSz w:w="11900" w:h="16838" w:orient="portrait"/>
          <w:cols w:equalWidth="0" w:num="1">
            <w:col w:w="11400"/>
          </w:cols>
          <w:pgMar w:left="240" w:top="270" w:right="259" w:bottom="1440" w:gutter="0" w:footer="0" w:header="0"/>
        </w:sectPr>
      </w:pPr>
    </w:p>
    <w:bookmarkStart w:id="199" w:name="page200"/>
    <w:bookmarkEnd w:id="199"/>
    <w:p>
      <w:pPr>
        <w:ind w:left="920" w:right="200" w:hanging="912"/>
        <w:spacing w:after="0" w:line="483" w:lineRule="auto"/>
        <w:tabs>
          <w:tab w:leader="none" w:pos="912" w:val="left"/>
        </w:tabs>
        <w:numPr>
          <w:ilvl w:val="0"/>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Swap Bank shall be entitled to sue for any amount which has become due and payable by the Borrowers to it under a Master Agreement, without joining the Facility Agent, the Security Trustee, any other Lender or the Swap Bank as additional parties in the proceedings.</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Proceedings by individual Lender or the Swap Bank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without the prior consent of the Majority Lenders, no Lender or Swap Bank may bring proceedings in respect of:</w:t>
      </w:r>
    </w:p>
    <w:p>
      <w:pPr>
        <w:spacing w:after="0" w:line="131" w:lineRule="exact"/>
        <w:rPr>
          <w:sz w:val="20"/>
          <w:szCs w:val="20"/>
          <w:color w:val="auto"/>
        </w:rPr>
      </w:pPr>
    </w:p>
    <w:p>
      <w:pPr>
        <w:ind w:left="920" w:hanging="912"/>
        <w:spacing w:after="0"/>
        <w:tabs>
          <w:tab w:leader="none" w:pos="9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any other liability or obligation of a Borrower or a Security Party under or connected with a Finance Document or a Master Agreement; or</w:t>
      </w:r>
    </w:p>
    <w:p>
      <w:pPr>
        <w:spacing w:after="0" w:line="142" w:lineRule="exact"/>
        <w:rPr>
          <w:rFonts w:ascii="Arial" w:cs="Arial" w:eastAsia="Arial" w:hAnsi="Arial"/>
          <w:sz w:val="17"/>
          <w:szCs w:val="17"/>
          <w:color w:val="auto"/>
        </w:rPr>
      </w:pPr>
    </w:p>
    <w:p>
      <w:pPr>
        <w:ind w:left="920" w:right="620" w:hanging="912"/>
        <w:spacing w:after="0" w:line="277" w:lineRule="auto"/>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misrepresentation or breach of warranty by a Borrower or a Security Party in or connected with a Finance Document or the Master Agreement to which that Borrower is a party without the prior consent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Obligations several</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obligations of the Lenders under this Agreement and of the Swap Bank under the Master Agreements are several; and a failure of a Lender to perform its obligations under this Agreement or a failure of the Swap Bank to perform its obligations under a Master Agreement shall not result in:</w:t>
      </w:r>
    </w:p>
    <w:p>
      <w:pPr>
        <w:spacing w:after="0" w:line="87" w:lineRule="exact"/>
        <w:rPr>
          <w:sz w:val="20"/>
          <w:szCs w:val="20"/>
          <w:color w:val="auto"/>
        </w:rPr>
      </w:pPr>
    </w:p>
    <w:p>
      <w:pPr>
        <w:ind w:left="920" w:hanging="912"/>
        <w:spacing w:after="0"/>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obligations of the other Lenders or the Swap Bank being increased; nor</w:t>
      </w:r>
    </w:p>
    <w:p>
      <w:pPr>
        <w:spacing w:after="0" w:line="130"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Borrowers, any Security Party or any other Creditor Party being discharged (in whole or in part) from its obligations under any Finance Document,</w:t>
      </w:r>
    </w:p>
    <w:p>
      <w:pPr>
        <w:spacing w:after="0" w:line="62" w:lineRule="exact"/>
        <w:rPr>
          <w:rFonts w:ascii="Arial" w:cs="Arial" w:eastAsia="Arial" w:hAnsi="Arial"/>
          <w:sz w:val="18"/>
          <w:szCs w:val="18"/>
          <w:color w:val="auto"/>
        </w:rPr>
      </w:pPr>
    </w:p>
    <w:p>
      <w:pPr>
        <w:ind w:left="920" w:right="160"/>
        <w:spacing w:after="0" w:line="277" w:lineRule="auto"/>
        <w:rPr>
          <w:rFonts w:ascii="Arial" w:cs="Arial" w:eastAsia="Arial" w:hAnsi="Arial"/>
          <w:sz w:val="18"/>
          <w:szCs w:val="18"/>
          <w:color w:val="auto"/>
        </w:rPr>
      </w:pPr>
      <w:r>
        <w:rPr>
          <w:rFonts w:ascii="Arial" w:cs="Arial" w:eastAsia="Arial" w:hAnsi="Arial"/>
          <w:sz w:val="18"/>
          <w:szCs w:val="18"/>
          <w:color w:val="auto"/>
        </w:rPr>
        <w:t>and in no circumstances shall a Lender or Swap Bank have any responsibility for a failure of another Lender or the Swap Bank to perform its obligations under this Agreement or a Master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Parties bound by certain actions of Majority Lenders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Lender, the Swap Bank, Borrower and Security Party shall be bound by:</w:t>
      </w:r>
    </w:p>
    <w:p>
      <w:pPr>
        <w:spacing w:after="0" w:line="131" w:lineRule="exact"/>
        <w:rPr>
          <w:sz w:val="20"/>
          <w:szCs w:val="20"/>
          <w:color w:val="auto"/>
        </w:rPr>
      </w:pPr>
    </w:p>
    <w:p>
      <w:pPr>
        <w:ind w:left="920" w:hanging="912"/>
        <w:spacing w:after="0"/>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determination made, or action taken, by the Majority Lenders under any provision of a Finance Document;</w:t>
      </w:r>
    </w:p>
    <w:p>
      <w:pPr>
        <w:spacing w:after="0" w:line="130" w:lineRule="exact"/>
        <w:rPr>
          <w:rFonts w:ascii="Arial" w:cs="Arial" w:eastAsia="Arial" w:hAnsi="Arial"/>
          <w:sz w:val="18"/>
          <w:szCs w:val="18"/>
          <w:color w:val="auto"/>
        </w:rPr>
      </w:pPr>
    </w:p>
    <w:p>
      <w:pPr>
        <w:ind w:left="920" w:right="280" w:hanging="912"/>
        <w:spacing w:after="0" w:line="277" w:lineRule="auto"/>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instruction or authorisation given by the Majority Lenders to the Facility Agent or the Security Trustee under or in connection with any Finance Document;</w:t>
      </w:r>
    </w:p>
    <w:p>
      <w:pPr>
        <w:spacing w:after="0" w:line="75"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action taken (or in good faith purportedly taken) by the Facility Agent or the Security Trustee in accordance with such an instruction or authorisation.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Reliance on action of Facility Agent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the Borrowers and each Security Party:</w:t>
      </w:r>
    </w:p>
    <w:p>
      <w:pPr>
        <w:spacing w:after="0" w:line="131" w:lineRule="exact"/>
        <w:rPr>
          <w:sz w:val="20"/>
          <w:szCs w:val="20"/>
          <w:color w:val="auto"/>
        </w:rPr>
      </w:pPr>
    </w:p>
    <w:p>
      <w:pPr>
        <w:ind w:left="920" w:right="100" w:hanging="912"/>
        <w:spacing w:after="0" w:line="277" w:lineRule="auto"/>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shall be entitled to assume that the Majority Lenders have duly given any instruction or authorisation which, under any provision of a Finance Document, is required in relation to any action which the Facility Agent has taken or is about to take;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274" w:right="419" w:bottom="1440" w:gutter="0" w:footer="0" w:header="0"/>
        </w:sectPr>
      </w:pPr>
    </w:p>
    <w:bookmarkStart w:id="200" w:name="page201"/>
    <w:bookmarkEnd w:id="200"/>
    <w:p>
      <w:pPr>
        <w:ind w:left="920" w:hanging="91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entitled to require any evidence that such an instruction or authorisation has been given.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In Clauses 3.4 and 3.5 references to action taken include (without limitation) the granting of any waiver or consent, an approval of any document and an agreement to any matter.</w:t>
      </w:r>
    </w:p>
    <w:p>
      <w:pPr>
        <w:spacing w:after="0" w:line="315" w:lineRule="exact"/>
        <w:rPr>
          <w:sz w:val="20"/>
          <w:szCs w:val="20"/>
          <w:color w:val="auto"/>
        </w:rPr>
      </w:pPr>
    </w:p>
    <w:p>
      <w:pPr>
        <w:ind w:left="920" w:hanging="912"/>
        <w:spacing w:after="0"/>
        <w:tabs>
          <w:tab w:leader="none" w:pos="9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DRAWDOWN AND DROPDOWN OPTION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Request for Advance</w:t>
      </w:r>
    </w:p>
    <w:p>
      <w:pPr>
        <w:spacing w:after="0" w:line="121"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Subject to the following conditions, the Borrowers may request an Advance to be made by ensuring that the Facility Agent receives a completed Drawdown Notice not later than 11.00 a.m. (London time) 3 Business Days prior to the intended Drawdown Date.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Availability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conditions referred to in Clause 4.1 are that:</w:t>
      </w:r>
    </w:p>
    <w:p>
      <w:pPr>
        <w:spacing w:after="0" w:line="131" w:lineRule="exact"/>
        <w:rPr>
          <w:sz w:val="20"/>
          <w:szCs w:val="20"/>
          <w:color w:val="auto"/>
        </w:rPr>
      </w:pPr>
    </w:p>
    <w:p>
      <w:pPr>
        <w:ind w:left="920" w:hanging="912"/>
        <w:spacing w:after="0"/>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Drawdown Date has to be a Business Day during the Availability Period;</w:t>
      </w:r>
    </w:p>
    <w:p>
      <w:pPr>
        <w:spacing w:after="0" w:line="130" w:lineRule="exact"/>
        <w:rPr>
          <w:rFonts w:ascii="Arial" w:cs="Arial" w:eastAsia="Arial" w:hAnsi="Arial"/>
          <w:sz w:val="18"/>
          <w:szCs w:val="18"/>
          <w:color w:val="auto"/>
        </w:rPr>
      </w:pPr>
    </w:p>
    <w:p>
      <w:pPr>
        <w:ind w:left="920" w:right="160" w:hanging="912"/>
        <w:spacing w:after="0" w:line="279" w:lineRule="auto"/>
        <w:tabs>
          <w:tab w:leader="none" w:pos="9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of Tranches relating to a Ship which is not a Designated Ship shall be available for drawing in one Advance and, in the case of any such Ship other than Ship A, on its Delivery Date and will be used to finance the fifth (delivery) instalment of the Contract Price payable under the relevant Shipbuilding Contract and, as to the balance, to refinance part of the Contract Price previously paid by the relevant Borrower or, in the case of Ship A only, to re-finance part of the acquisition cost of Ship A previously paid to the Builder;</w:t>
      </w:r>
    </w:p>
    <w:p>
      <w:pPr>
        <w:spacing w:after="0" w:line="76" w:lineRule="exact"/>
        <w:rPr>
          <w:rFonts w:ascii="Arial" w:cs="Arial" w:eastAsia="Arial" w:hAnsi="Arial"/>
          <w:sz w:val="17"/>
          <w:szCs w:val="17"/>
          <w:color w:val="auto"/>
        </w:rPr>
      </w:pPr>
    </w:p>
    <w:p>
      <w:pPr>
        <w:ind w:left="920" w:right="40" w:hanging="912"/>
        <w:spacing w:after="0" w:line="255" w:lineRule="auto"/>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Advance relating to a Designated Ship shall be used in refinancing or part-financing certain construction and delivery instalments of the Contract Price due to the Builder under the Shipbuilding Contract in respect of the relevant Designated Ship, and each Advance relating to a Designated Ship to be used in refinancing or part-financing any pre-delivery instalments due to the Builder under the relevant Shipbuilding Contract shall not exceed the amount of such pre-delivery instalment and the Advances in respect of such pre-delivery instalments, shall, when aggregated with the Advance in respect of the delivery instalment due in respect of either Ship, be in an amount not exceeding 60 per cent. of the Initial Market Value of each Designated Ship; and</w:t>
      </w:r>
    </w:p>
    <w:p>
      <w:pPr>
        <w:spacing w:after="0" w:line="98" w:lineRule="exact"/>
        <w:rPr>
          <w:rFonts w:ascii="Arial" w:cs="Arial" w:eastAsia="Arial" w:hAnsi="Arial"/>
          <w:sz w:val="18"/>
          <w:szCs w:val="18"/>
          <w:color w:val="auto"/>
        </w:rPr>
      </w:pPr>
    </w:p>
    <w:p>
      <w:pPr>
        <w:ind w:left="920" w:right="20" w:hanging="912"/>
        <w:spacing w:after="0" w:line="264" w:lineRule="auto"/>
        <w:tabs>
          <w:tab w:leader="none" w:pos="9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any part of the aggregated Lenders’ Ship Commitments relative to a Ship has not been borrowed before the end of the Availability Period applying to that Ship’s Tranche, those Ship Commitments shall on that date be permanently cancelled in equal shares by an amount equal to such undrawn amount and the Total Commitments shall be cancelled by the same amount.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Purpose of Advances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Borrower undertakes with each Creditor Party to use each Advance only for the purposes stated in the Recitals to this Agreement.</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Notification to Lenders of receipt of a Drawdown Notice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Facility Agent shall promptly notify the Lenders that it has received a Drawdown Notice and the Facility Agent shall inform each Lender of:</w:t>
      </w:r>
    </w:p>
    <w:p>
      <w:pPr>
        <w:spacing w:after="0" w:line="154" w:lineRule="exact"/>
        <w:rPr>
          <w:sz w:val="20"/>
          <w:szCs w:val="20"/>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amount of the Advance and the Drawdown Date;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amount of that Lender’s participation in the Advance;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01" w:name="page202"/>
    <w:bookmarkEnd w:id="201"/>
    <w:p>
      <w:pPr>
        <w:ind w:left="920" w:hanging="912"/>
        <w:spacing w:after="0"/>
        <w:tabs>
          <w:tab w:leader="none" w:pos="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duration of the first Interest Period.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Drawdown Notice irrevocable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A Drawdown Notice must be duly signed by a director or other authorised person of the Borrowers; and once served, a Drawdown Notice cannot be revoked without the prior consent of the Facility Agent, acting on the authority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Lenders to make available Contributions</w:t>
      </w:r>
    </w:p>
    <w:p>
      <w:pPr>
        <w:spacing w:after="0" w:line="121" w:lineRule="exact"/>
        <w:rPr>
          <w:sz w:val="20"/>
          <w:szCs w:val="20"/>
          <w:color w:val="auto"/>
        </w:rPr>
      </w:pPr>
    </w:p>
    <w:p>
      <w:pPr>
        <w:jc w:val="both"/>
        <w:ind w:left="920" w:right="100"/>
        <w:spacing w:after="0" w:line="264" w:lineRule="auto"/>
        <w:rPr>
          <w:sz w:val="20"/>
          <w:szCs w:val="20"/>
          <w:color w:val="auto"/>
        </w:rPr>
      </w:pPr>
      <w:r>
        <w:rPr>
          <w:rFonts w:ascii="Arial" w:cs="Arial" w:eastAsia="Arial" w:hAnsi="Arial"/>
          <w:sz w:val="18"/>
          <w:szCs w:val="18"/>
          <w:color w:val="auto"/>
        </w:rPr>
        <w:t>Subject to the provisions of this Agreement, each Lender shall, on and with value on each Drawdown Date, make available to the Facility Agent for the account of the Borrowers, or, following a Dropdown, to the Borrowers that are members of the relevant Group, the amount due from that Lender on that Drawdown Date under Clause 2.1.</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Disbursement of Advance</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Subject to the provisions of this Agreement, the Facility Agent shall on each Drawdown Date pay to the relevant Borrowers the relevant Advance for the purposes specified in the Drawdown Notice relative to such Advance the amounts which the Facility Agent receives from the Lenders under Clause 4.6; and that payment to such Borrowers shall be made:</w:t>
      </w:r>
    </w:p>
    <w:p>
      <w:pPr>
        <w:spacing w:after="0" w:line="87" w:lineRule="exact"/>
        <w:rPr>
          <w:sz w:val="20"/>
          <w:szCs w:val="20"/>
          <w:color w:val="auto"/>
        </w:rPr>
      </w:pPr>
    </w:p>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such account which the Borrowers specify in the Drawdown Notice;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like funds as the Facility Agent received the payments from the Lenders.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Disbursement of Advance to third party</w:t>
      </w:r>
    </w:p>
    <w:p>
      <w:pPr>
        <w:spacing w:after="0" w:line="121"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payment by the Facility Agent under Clause 4.7 to the Builder or any other third party shall constitute the making of the Advance and the Borrowers, or, following a Dropdown, the Borrowers that are members of the relevant Group, shall thereupon become indebted, as principal and direct obligors, to each Lender in an amount equal to that Lender’s Contribution.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Dropdown Option</w:t>
      </w:r>
    </w:p>
    <w:p>
      <w:pPr>
        <w:spacing w:after="0" w:line="117" w:lineRule="exact"/>
        <w:rPr>
          <w:sz w:val="20"/>
          <w:szCs w:val="20"/>
          <w:color w:val="auto"/>
        </w:rPr>
      </w:pPr>
    </w:p>
    <w:p>
      <w:pPr>
        <w:ind w:left="920" w:right="220"/>
        <w:spacing w:after="0" w:line="266" w:lineRule="auto"/>
        <w:rPr>
          <w:sz w:val="20"/>
          <w:szCs w:val="20"/>
          <w:color w:val="auto"/>
        </w:rPr>
      </w:pPr>
      <w:r>
        <w:rPr>
          <w:rFonts w:ascii="Arial" w:cs="Arial" w:eastAsia="Arial" w:hAnsi="Arial"/>
          <w:sz w:val="18"/>
          <w:szCs w:val="18"/>
          <w:color w:val="auto"/>
        </w:rPr>
        <w:t>The Guarantor may, upon entry of a Ship (the “</w:t>
      </w:r>
      <w:r>
        <w:rPr>
          <w:rFonts w:ascii="Arial" w:cs="Arial" w:eastAsia="Arial" w:hAnsi="Arial"/>
          <w:sz w:val="18"/>
          <w:szCs w:val="18"/>
          <w:b w:val="1"/>
          <w:bCs w:val="1"/>
          <w:color w:val="auto"/>
        </w:rPr>
        <w:t>Chartered Ship</w:t>
      </w:r>
      <w:r>
        <w:rPr>
          <w:rFonts w:ascii="Arial" w:cs="Arial" w:eastAsia="Arial" w:hAnsi="Arial"/>
          <w:sz w:val="18"/>
          <w:szCs w:val="18"/>
          <w:color w:val="auto"/>
        </w:rPr>
        <w:t>”) into a Charterparty, elect to transfer (the “</w:t>
      </w:r>
      <w:r>
        <w:rPr>
          <w:rFonts w:ascii="Arial" w:cs="Arial" w:eastAsia="Arial" w:hAnsi="Arial"/>
          <w:sz w:val="18"/>
          <w:szCs w:val="18"/>
          <w:b w:val="1"/>
          <w:bCs w:val="1"/>
          <w:color w:val="auto"/>
        </w:rPr>
        <w:t>Option</w:t>
      </w:r>
      <w:r>
        <w:rPr>
          <w:rFonts w:ascii="Arial" w:cs="Arial" w:eastAsia="Arial" w:hAnsi="Arial"/>
          <w:sz w:val="18"/>
          <w:szCs w:val="18"/>
          <w:color w:val="auto"/>
        </w:rPr>
        <w:t>”) ownership of the entire share capital of the Borrower which is the owner of that Chartered Ship so that such Borrower becomes an indirect subsidiary of the Substitute Guarantor and a direct subsidiary of the Intermediate Shareholder (the “</w:t>
      </w:r>
      <w:r>
        <w:rPr>
          <w:rFonts w:ascii="Arial" w:cs="Arial" w:eastAsia="Arial" w:hAnsi="Arial"/>
          <w:sz w:val="18"/>
          <w:szCs w:val="18"/>
          <w:b w:val="1"/>
          <w:bCs w:val="1"/>
          <w:color w:val="auto"/>
        </w:rPr>
        <w:t>Dropdown</w:t>
      </w:r>
      <w:r>
        <w:rPr>
          <w:rFonts w:ascii="Arial" w:cs="Arial" w:eastAsia="Arial" w:hAnsi="Arial"/>
          <w:sz w:val="18"/>
          <w:szCs w:val="18"/>
          <w:color w:val="auto"/>
        </w:rPr>
        <w:t>”) subject to:</w:t>
      </w:r>
    </w:p>
    <w:p>
      <w:pPr>
        <w:spacing w:after="0" w:line="86" w:lineRule="exact"/>
        <w:rPr>
          <w:sz w:val="20"/>
          <w:szCs w:val="20"/>
          <w:color w:val="auto"/>
        </w:rPr>
      </w:pPr>
    </w:p>
    <w:p>
      <w:pPr>
        <w:ind w:left="920" w:right="40" w:hanging="912"/>
        <w:spacing w:after="0" w:line="288" w:lineRule="auto"/>
        <w:tabs>
          <w:tab w:leader="none" w:pos="9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on or prior to the date of the Dropdown, the Tranche relative to the Chartered Ship being prepaid so that immediately following the prepayment (which shall be applied in inverse order of maturity first against the Balloon Instalment in respect of that Tranche and thereafter against the then outstanding Repayment Instalments in respect of that Tranche) the Tranche does not exceed the lower of (i) 60 per cent. of the Contract Price and</w:t>
      </w:r>
    </w:p>
    <w:p>
      <w:pPr>
        <w:ind w:left="1180" w:hanging="267"/>
        <w:spacing w:after="0"/>
        <w:tabs>
          <w:tab w:leader="none" w:pos="118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50 per cent. of the Market Value of the Chartered Ship ascertained immediately prior to such Dropdown in accordance with Clauses 15.4 and</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15.8;</w:t>
      </w:r>
    </w:p>
    <w:p>
      <w:pPr>
        <w:spacing w:after="0" w:line="116" w:lineRule="exact"/>
        <w:rPr>
          <w:rFonts w:ascii="Arial" w:cs="Arial" w:eastAsia="Arial" w:hAnsi="Arial"/>
          <w:sz w:val="16"/>
          <w:szCs w:val="16"/>
          <w:color w:val="auto"/>
        </w:rPr>
      </w:pPr>
    </w:p>
    <w:p>
      <w:pPr>
        <w:ind w:left="920" w:hanging="912"/>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130" w:lineRule="exact"/>
        <w:rPr>
          <w:rFonts w:ascii="Arial" w:cs="Arial" w:eastAsia="Arial" w:hAnsi="Arial"/>
          <w:sz w:val="18"/>
          <w:szCs w:val="18"/>
          <w:color w:val="auto"/>
        </w:rPr>
      </w:pPr>
    </w:p>
    <w:p>
      <w:pPr>
        <w:ind w:left="1700" w:right="140" w:hanging="787"/>
        <w:spacing w:after="0" w:line="277" w:lineRule="auto"/>
        <w:tabs>
          <w:tab w:leader="none" w:pos="1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serving a written notice on the Facility Agent of the Guarantor’s intention to exercise the Option not later than 5 Business Days prior to the date of the Dropdown;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providing valuations of the relevant Chartered Ship prepared in accordance with Clause 15.4;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02" w:name="page203"/>
    <w:bookmarkEnd w:id="202"/>
    <w:p>
      <w:pPr>
        <w:ind w:left="920" w:hanging="912"/>
        <w:spacing w:after="0"/>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later than the date of a Dropdown: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Substitute Guarantor providing the New Guarantee;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Intermediate Shareholder providing any New Shares Pledge;</w:t>
      </w:r>
    </w:p>
    <w:p>
      <w:pPr>
        <w:spacing w:after="0" w:line="130" w:lineRule="exact"/>
        <w:rPr>
          <w:rFonts w:ascii="Arial" w:cs="Arial" w:eastAsia="Arial" w:hAnsi="Arial"/>
          <w:sz w:val="18"/>
          <w:szCs w:val="18"/>
          <w:color w:val="auto"/>
        </w:rPr>
      </w:pPr>
    </w:p>
    <w:p>
      <w:pPr>
        <w:ind w:left="920" w:right="120" w:hanging="912"/>
        <w:spacing w:after="0" w:line="264" w:lineRule="auto"/>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parties to this Agreement entering into such documentation amending and supplementing this Agreement and any other Finance Documents as may be required to be in a form acceptable to the Facility Agent by no later than the date of Dropdown and any other document as may be required by the Facility Agent to effect the same in a manner acceptable to the Facility Agent;</w:t>
      </w:r>
    </w:p>
    <w:p>
      <w:pPr>
        <w:spacing w:after="0" w:line="86"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Facility Agent being satisfied that such Borrower will become a wholly-owned direct or indirect subsidiary of the Substitute Guarantor on the date of Dropdown;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Borrowers, the Intermediate Shareholder, the Substitute Guarantor and the Approved Manager providing:</w:t>
      </w:r>
    </w:p>
    <w:p>
      <w:pPr>
        <w:spacing w:after="0" w:line="130" w:lineRule="exact"/>
        <w:rPr>
          <w:rFonts w:ascii="Arial" w:cs="Arial" w:eastAsia="Arial" w:hAnsi="Arial"/>
          <w:sz w:val="18"/>
          <w:szCs w:val="18"/>
          <w:color w:val="auto"/>
        </w:rPr>
      </w:pPr>
    </w:p>
    <w:p>
      <w:pPr>
        <w:ind w:left="1700" w:right="80" w:hanging="787"/>
        <w:spacing w:after="0" w:line="312" w:lineRule="auto"/>
        <w:tabs>
          <w:tab w:leader="none" w:pos="170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such evidence as each Creditor Party may reasonably require for the Parties to be able to satisfy each of their “know your customer” or similar identification procedures in relation to the transactions contemplated by the Finance Documents as amended in accordance with the supplemental documentation referred to in paragraph (e) above and the New Finance Documents; and</w:t>
      </w:r>
    </w:p>
    <w:p>
      <w:pPr>
        <w:spacing w:after="0" w:line="52" w:lineRule="exact"/>
        <w:rPr>
          <w:rFonts w:ascii="Arial" w:cs="Arial" w:eastAsia="Arial" w:hAnsi="Arial"/>
          <w:sz w:val="16"/>
          <w:szCs w:val="16"/>
          <w:color w:val="auto"/>
        </w:rPr>
      </w:pPr>
    </w:p>
    <w:p>
      <w:pPr>
        <w:ind w:left="1700" w:right="560" w:hanging="787"/>
        <w:spacing w:after="0" w:line="259" w:lineRule="auto"/>
        <w:tabs>
          <w:tab w:leader="none" w:pos="17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to the Facility Agent documents equivalent to these set out in paragraphs 2, 3 and 4 of Part A of Schedule 3, regarding the supplemental documentation, any New Finance Document and any other document in connection therewith, including without limitation updated organisational charts and a legal opinion in respect of the capacity of any party executing any New Finance Document.</w:t>
      </w:r>
    </w:p>
    <w:p>
      <w:pPr>
        <w:spacing w:after="0" w:line="331" w:lineRule="exact"/>
        <w:rPr>
          <w:sz w:val="20"/>
          <w:szCs w:val="20"/>
          <w:color w:val="auto"/>
        </w:rPr>
      </w:pPr>
    </w:p>
    <w:p>
      <w:pPr>
        <w:ind w:left="920" w:hanging="912"/>
        <w:spacing w:after="0"/>
        <w:tabs>
          <w:tab w:leader="none" w:pos="92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 of normal interest</w:t>
      </w:r>
    </w:p>
    <w:p>
      <w:pPr>
        <w:spacing w:after="0" w:line="121" w:lineRule="exact"/>
        <w:rPr>
          <w:sz w:val="20"/>
          <w:szCs w:val="20"/>
          <w:color w:val="auto"/>
        </w:rPr>
      </w:pPr>
    </w:p>
    <w:p>
      <w:pPr>
        <w:ind w:left="920" w:right="740"/>
        <w:spacing w:after="0" w:line="308" w:lineRule="auto"/>
        <w:rPr>
          <w:sz w:val="20"/>
          <w:szCs w:val="20"/>
          <w:color w:val="auto"/>
        </w:rPr>
      </w:pPr>
      <w:r>
        <w:rPr>
          <w:rFonts w:ascii="Arial" w:cs="Arial" w:eastAsia="Arial" w:hAnsi="Arial"/>
          <w:sz w:val="17"/>
          <w:szCs w:val="17"/>
          <w:color w:val="auto"/>
        </w:rPr>
        <w:t>Subject to the provisions of this Agreement, interest on each Advance or Tranche in respect of each Interest Period shall be paid by the Borrowers (or, subject to Clause 29.2, each Affected Borrower), in arrears on the last day of that Interest Period.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Normal rate of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Subject to the provisions of this Agreement, the rate of interest on each Advance in respect of an Interest Period shall be the aggregate of:</w:t>
      </w:r>
    </w:p>
    <w:p>
      <w:pPr>
        <w:spacing w:after="0" w:line="142" w:lineRule="exact"/>
        <w:rPr>
          <w:sz w:val="20"/>
          <w:szCs w:val="20"/>
          <w:color w:val="auto"/>
        </w:rPr>
      </w:pPr>
    </w:p>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LIBOR for that Interest Period.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Payment of accrued interest</w:t>
      </w:r>
    </w:p>
    <w:p>
      <w:pPr>
        <w:spacing w:after="0" w:line="121"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In the case of an Interest Period longer than 3 months, accrued interest shall be paid every 3 months during that Interest Period and on the last day of that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Notification of Interest Periods and rates of normal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Facility Agent shall notify the Borrowers and each Lender of:</w:t>
      </w:r>
    </w:p>
    <w:p>
      <w:pPr>
        <w:spacing w:after="0" w:line="131" w:lineRule="exact"/>
        <w:rPr>
          <w:sz w:val="20"/>
          <w:szCs w:val="20"/>
          <w:color w:val="auto"/>
        </w:rPr>
      </w:pPr>
    </w:p>
    <w:p>
      <w:pPr>
        <w:ind w:left="920" w:hanging="912"/>
        <w:spacing w:after="0"/>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03" w:name="page204"/>
    <w:bookmarkEnd w:id="203"/>
    <w:p>
      <w:pPr>
        <w:ind w:left="920" w:hanging="912"/>
        <w:spacing w:after="0"/>
        <w:tabs>
          <w:tab w:leader="none" w:pos="9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duration of each Interest Period,</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as soon as reasonably practicable after each is determined.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Absence of quotations by Reference Banks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If any Reference Bank fails to supply a quotation, the relevant rate of interest shall be set in accordance with the following provisions of this Clause 5.</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provisions of this Clause 5 apply if:</w:t>
      </w:r>
    </w:p>
    <w:p>
      <w:pPr>
        <w:spacing w:after="0" w:line="131" w:lineRule="exact"/>
        <w:rPr>
          <w:sz w:val="20"/>
          <w:szCs w:val="20"/>
          <w:color w:val="auto"/>
        </w:rPr>
      </w:pPr>
    </w:p>
    <w:p>
      <w:pPr>
        <w:ind w:left="920" w:right="220" w:hanging="912"/>
        <w:spacing w:after="0" w:line="342" w:lineRule="auto"/>
        <w:tabs>
          <w:tab w:leader="none" w:pos="9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LIBOR is to be determined by reference to the Reference Banks and no Reference Bank or only one of the Reference Banks does, before 1.00 p.m. (London time) on the Quotation Date for an Interest Period, provide quotations to the Facility Agent in order to fix LIBOR; or</w:t>
      </w:r>
    </w:p>
    <w:p>
      <w:pPr>
        <w:spacing w:after="0" w:line="29" w:lineRule="exact"/>
        <w:rPr>
          <w:rFonts w:ascii="Arial" w:cs="Arial" w:eastAsia="Arial" w:hAnsi="Arial"/>
          <w:sz w:val="16"/>
          <w:szCs w:val="16"/>
          <w:color w:val="auto"/>
        </w:rPr>
      </w:pPr>
    </w:p>
    <w:p>
      <w:pPr>
        <w:ind w:left="920" w:right="20" w:hanging="912"/>
        <w:spacing w:after="0" w:line="264" w:lineRule="auto"/>
        <w:tabs>
          <w:tab w:leader="none" w:pos="9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least 1 Business Day before the start of an Interest Period, a Lender notifies the Facility Agent that LIBOR fixed by the Facility Agent would not accurately reflect the cost to that Lender of funding its Contributions (or any part of them) during the Interest Period in the London interbank market at or about 11.00 a.m. (London time) on the Quotation Date for the Interest Period; or</w:t>
      </w:r>
    </w:p>
    <w:p>
      <w:pPr>
        <w:spacing w:after="0" w:line="82" w:lineRule="exact"/>
        <w:rPr>
          <w:rFonts w:ascii="Arial" w:cs="Arial" w:eastAsia="Arial" w:hAnsi="Arial"/>
          <w:sz w:val="18"/>
          <w:szCs w:val="18"/>
          <w:color w:val="auto"/>
        </w:rPr>
      </w:pPr>
    </w:p>
    <w:p>
      <w:pPr>
        <w:ind w:left="920" w:hanging="912"/>
        <w:spacing w:after="0" w:line="347" w:lineRule="auto"/>
        <w:tabs>
          <w:tab w:leader="none" w:pos="9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at least 1 Business Day before the start of an Interest Period, the Facility Agent is notified by a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that for any reason it is unable to obtain Dollars in the London interbank market in order to fund its Contribution (or any part of it) during the Interest Period.</w:t>
      </w:r>
    </w:p>
    <w:p>
      <w:pPr>
        <w:spacing w:after="0" w:line="2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Notification of market disruption</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The Facility Agent shall promptly notify the Borrowers and each of the Lenders stating the circumstances falling within Clause 5.6 which have caused its notice to be given.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Suspension of drawdown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Facility Agent’s notice under Clause 5.7 is served before an Advance or Tranche is made:</w:t>
      </w:r>
    </w:p>
    <w:p>
      <w:pPr>
        <w:spacing w:after="0" w:line="131" w:lineRule="exact"/>
        <w:rPr>
          <w:sz w:val="20"/>
          <w:szCs w:val="20"/>
          <w:color w:val="auto"/>
        </w:rPr>
      </w:pPr>
    </w:p>
    <w:p>
      <w:pPr>
        <w:ind w:left="920" w:hanging="912"/>
        <w:spacing w:after="0"/>
        <w:tabs>
          <w:tab w:leader="none" w:pos="9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a case falling within paragraphs (a) or (b) of Clause 5.6, the Lenders’ obligations to make the Advance or Tranche;</w:t>
      </w:r>
    </w:p>
    <w:p>
      <w:pPr>
        <w:spacing w:after="0" w:line="130" w:lineRule="exact"/>
        <w:rPr>
          <w:rFonts w:ascii="Arial" w:cs="Arial" w:eastAsia="Arial" w:hAnsi="Arial"/>
          <w:sz w:val="18"/>
          <w:szCs w:val="18"/>
          <w:color w:val="auto"/>
        </w:rPr>
      </w:pPr>
    </w:p>
    <w:p>
      <w:pPr>
        <w:ind w:left="920" w:right="1360" w:hanging="912"/>
        <w:spacing w:after="0" w:line="402" w:lineRule="auto"/>
        <w:tabs>
          <w:tab w:leader="none" w:pos="91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a case falling within paragraph (c) of Clause 5.6, the Affected Lender’s obligation to participate in the Advance or Tranche, shall be suspended while the circumstances referred to in the Facility Agent’s notice continue.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Negotiation of alternative rate of interest</w:t>
      </w:r>
    </w:p>
    <w:p>
      <w:pPr>
        <w:spacing w:after="0" w:line="12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If the Facility Agent’s notice under Clause 5.7 is served after an Advance or Tranche is made, the Borrowers, the Facility Agent and the Lenders or (as the case may be) the Affected Lender shall use reasonable endeavours to agree, within the 30 days after the date on which the Facility Agent serves its notice under Clause 5.7 (the “</w:t>
      </w:r>
      <w:r>
        <w:rPr>
          <w:rFonts w:ascii="Arial" w:cs="Arial" w:eastAsia="Arial" w:hAnsi="Arial"/>
          <w:sz w:val="18"/>
          <w:szCs w:val="18"/>
          <w:b w:val="1"/>
          <w:bCs w:val="1"/>
          <w:color w:val="auto"/>
        </w:rPr>
        <w:t>Negotiation Period</w:t>
      </w:r>
      <w:r>
        <w:rPr>
          <w:rFonts w:ascii="Arial" w:cs="Arial" w:eastAsia="Arial" w:hAnsi="Arial"/>
          <w:sz w:val="18"/>
          <w:szCs w:val="18"/>
          <w:color w:val="auto"/>
        </w:rPr>
        <w:t>”), an alternative interest rate or (as the case may be) an alternative basis for the Lenders or (as the case may be) the Affected Lender to fund or continue to fund their or its Contribution to the relevant Advance, Tranche, Advances or Tranches during the Interest Period concerned.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5.10</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Application of agreed alternative rate of interest</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Any alternative interest rate or an alternative basis which is agreed during the Negotiation Period shall take effect in accordance with the terms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agreed.</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5.11</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Alternative rate of interest in absence of agreement</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If an alternative interest rate or alternative basis is not agreed within the Negotiation Period, and the relevant circumstances are continuing at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1"/>
              </w:rPr>
              <w:t>end of the Negotiation Period, then the Facility Agent shall, with the agreement of each Lender or (as the case may be) the Affected Lender, set</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an interest period and interest rate representing the cost of funding of the Lenders or (as the case may be) the Affected Lender in Dollars or in any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available currency of their or its Contribution to the relevant Advance, Tranche, Advances or Tranches plus the Margin; and the procedure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provided for by this Clause 5.11 shall be repeated if the relevant circumstances are continuing at the end of the interest period so set by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Facility Agent.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5.12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Notice of prepayment</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If the Borrowers do not agree with an interest rate set by the Facility Agent under Clause 5.11, the Borrowers may give the Facility Agent not</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less than 15 Business Days’ notice of their intention to prepay the relevant Advance, Tranche, Advances or Tranches at the end of the interest</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period set by the Facility Agent.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5.13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Prepayment; termination of Commitments</w:t>
            </w:r>
          </w:p>
        </w:tc>
      </w:tr>
      <w:tr>
        <w:trPr>
          <w:trHeight w:val="310"/>
        </w:trPr>
        <w:tc>
          <w:tcPr>
            <w:tcW w:w="620" w:type="dxa"/>
            <w:vAlign w:val="bottom"/>
          </w:tcPr>
          <w:p>
            <w:pPr>
              <w:spacing w:after="0"/>
              <w:rPr>
                <w:sz w:val="24"/>
                <w:szCs w:val="24"/>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A notice under Clause 5.12 shall be irrevocable; the Facility Agent shall promptly notify the Lenders or (as the case may require) the Affected</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Lender of the Borrowers’ notice of intended prepayment; and:</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right="160" w:hanging="912"/>
        <w:spacing w:after="0" w:line="277" w:lineRule="auto"/>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Total Commitments or (as the case may require) the Commitment of the Affected Lender so far as they relate to the relevant Advance or Tranche shall be cancelled; and</w:t>
      </w:r>
    </w:p>
    <w:p>
      <w:pPr>
        <w:spacing w:after="0" w:line="75" w:lineRule="exact"/>
        <w:rPr>
          <w:rFonts w:ascii="Arial" w:cs="Arial" w:eastAsia="Arial" w:hAnsi="Arial"/>
          <w:sz w:val="18"/>
          <w:szCs w:val="18"/>
          <w:color w:val="auto"/>
        </w:rPr>
      </w:pPr>
    </w:p>
    <w:p>
      <w:pPr>
        <w:ind w:left="920" w:right="60" w:hanging="912"/>
        <w:spacing w:after="0" w:line="308" w:lineRule="auto"/>
        <w:tabs>
          <w:tab w:leader="none" w:pos="9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on the last Business Day of the interest period set by the Facility Agent, the Borrowers shall prepay (without premium or penalty) the Loan or, as the case may be, the Affected Lender’s Contribution, together with accrued interest thereon at the applicable rate plus the Margin.</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Clause 8 shall apply in relation to the prepayment.</w:t>
      </w:r>
    </w:p>
    <w:p>
      <w:pPr>
        <w:spacing w:after="0" w:line="370" w:lineRule="exact"/>
        <w:rPr>
          <w:sz w:val="20"/>
          <w:szCs w:val="20"/>
          <w:color w:val="auto"/>
        </w:rPr>
      </w:pPr>
    </w:p>
    <w:p>
      <w:pPr>
        <w:ind w:left="920" w:hanging="912"/>
        <w:spacing w:after="0"/>
        <w:tabs>
          <w:tab w:leader="none" w:pos="92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Commencement of Interest Periods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first Interest Period applicable to an Advance or Tranche shall commence on the relevant Drawdown Date and each subsequent Interest Period shall commence on the expiry of the preceding Interest Period.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Duration of normal Interest Periods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Clauses 6.3 and 6.4, each Interest Period in respect of each Advance shall be:</w:t>
      </w:r>
    </w:p>
    <w:p>
      <w:pPr>
        <w:spacing w:after="0" w:line="131" w:lineRule="exact"/>
        <w:rPr>
          <w:sz w:val="20"/>
          <w:szCs w:val="20"/>
          <w:color w:val="auto"/>
        </w:rPr>
      </w:pPr>
    </w:p>
    <w:p>
      <w:pPr>
        <w:ind w:left="920" w:right="80" w:hanging="912"/>
        <w:spacing w:after="0" w:line="342" w:lineRule="auto"/>
        <w:tabs>
          <w:tab w:leader="none" w:pos="9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1, 3, 6 or 12 months as notified by the Borrowers to the Facility Agent not later than 11.00 a.m. (London time) 3 Business Days before the commencement of the Interest Period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Borrowers may select no more than three 1 month Interest Periods in any calendar year;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205" w:name="page206"/>
    <w:bookmarkEnd w:id="205"/>
    <w:p>
      <w:pPr>
        <w:ind w:left="920" w:right="220" w:hanging="912"/>
        <w:spacing w:after="0" w:line="264" w:lineRule="auto"/>
        <w:tabs>
          <w:tab w:leader="none" w:pos="9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the first Interest Period applicable to the second and any subsequent Advance of a Tranche, a period ending on the last day of the then current Interest Period applicable to such Tranche, whereupon all of the Advances in respect of such Tranche shall be consolidated and treated as a single advance;</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3 months, if the Borrowers fail to notify the Facility Agent by the time specified in paragraph (a) above;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such other period as the Borrowers may request from the Facility Agent, which may be agreed by the Lenders in their sole discretion.</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Duration of Interest Periods for Repayment Instalments</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In respect of an amount due to be repaid under Clause 8 on a particular Repayment Date, an Interest Period in relation to the relevant Tranche shall end on that Repayment Date.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Non-availability of matching deposits for Interest Period selected</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If, after the Borrowers have selected and the Lenders have agreed an Interest Period longer than 3 months, any Lender notifies the Facility Agent by 11.00 a.m. (London time) on the second Business Day before the commencement of the Interest Period that it is not satisfied that deposits in Dollars for a period equal to the Interest Period will be available to it in the London interbank market when the Interest Period commences, the Interest Period shall be of 3 months.</w:t>
      </w:r>
    </w:p>
    <w:p>
      <w:pPr>
        <w:spacing w:after="0" w:line="331" w:lineRule="exact"/>
        <w:rPr>
          <w:sz w:val="20"/>
          <w:szCs w:val="20"/>
          <w:color w:val="auto"/>
        </w:rPr>
      </w:pPr>
    </w:p>
    <w:p>
      <w:pPr>
        <w:ind w:left="920" w:hanging="912"/>
        <w:spacing w:after="0"/>
        <w:tabs>
          <w:tab w:leader="none" w:pos="92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Payment of default interest on overdue amounts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Borrowers shall pay interest in accordance with the following provisions of this Clause 7 on any amount payable by the Borrowers (or any of them) under any Finance Document which the Facility Agent, the Security Trustee or the other designated payee does not receive on or before the relevant date, that is:</w:t>
      </w:r>
    </w:p>
    <w:p>
      <w:pPr>
        <w:spacing w:after="0" w:line="87" w:lineRule="exact"/>
        <w:rPr>
          <w:sz w:val="20"/>
          <w:szCs w:val="20"/>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such amount has become immediately due and payable under Clause 19.4, the date on which it became immediately due and payable.</w:t>
      </w:r>
    </w:p>
    <w:p>
      <w:pPr>
        <w:spacing w:after="0" w:line="3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Default rate of interest</w:t>
      </w:r>
    </w:p>
    <w:p>
      <w:pPr>
        <w:spacing w:after="0" w:line="121"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Interest shall accrue on an overdue amount from (and including) the relevant date until the date of actual payment (as well after as before judgment) at the rate per annum determined by the Facility Agent to be 2 per cent. above:</w:t>
      </w:r>
    </w:p>
    <w:p>
      <w:pPr>
        <w:spacing w:after="0" w:line="76" w:lineRule="exact"/>
        <w:rPr>
          <w:sz w:val="20"/>
          <w:szCs w:val="20"/>
          <w:color w:val="auto"/>
        </w:rPr>
      </w:pPr>
    </w:p>
    <w:p>
      <w:pPr>
        <w:ind w:left="920" w:hanging="912"/>
        <w:spacing w:after="0"/>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paragraphs (a) and (b) of Clause 7.3;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case of any other overdue amount, the rate set out at paragraph (b) of Clause 7.3.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06" w:name="page207"/>
    <w:bookmarkEnd w:id="20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Calculation of default rate of interest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rates referred to in Clause 7.2 are:</w:t>
      </w:r>
    </w:p>
    <w:p>
      <w:pPr>
        <w:spacing w:after="0" w:line="131" w:lineRule="exact"/>
        <w:rPr>
          <w:sz w:val="20"/>
          <w:szCs w:val="20"/>
          <w:color w:val="auto"/>
        </w:rPr>
      </w:pPr>
    </w:p>
    <w:p>
      <w:pPr>
        <w:ind w:left="920" w:right="300" w:hanging="912"/>
        <w:spacing w:after="0" w:line="277" w:lineRule="auto"/>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rate applicable to the overdue principal amount immediately prior to the relevant date (but only for any unexpired part of any then current Interest Period);</w:t>
      </w:r>
    </w:p>
    <w:p>
      <w:pPr>
        <w:spacing w:after="0" w:line="75"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Margin plus, in respect of successive periods of any duration (including at call) up to 3 months which the Facility Agent may select from time to time:</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LIBOR; or</w:t>
      </w:r>
    </w:p>
    <w:p>
      <w:pPr>
        <w:spacing w:after="0" w:line="130" w:lineRule="exact"/>
        <w:rPr>
          <w:rFonts w:ascii="Arial" w:cs="Arial" w:eastAsia="Arial" w:hAnsi="Arial"/>
          <w:sz w:val="18"/>
          <w:szCs w:val="18"/>
          <w:color w:val="auto"/>
        </w:rPr>
      </w:pPr>
    </w:p>
    <w:p>
      <w:pPr>
        <w:ind w:left="1700" w:right="100" w:hanging="787"/>
        <w:spacing w:after="0" w:line="259" w:lineRule="auto"/>
        <w:tabs>
          <w:tab w:leader="none" w:pos="17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if the Facility Agent determines that Dollar deposits for any such period are not being made available to a Lender or (as the case may be) Lenders by leading banks in the London interbank market in the ordinary course of business, a rate from time to time determined by the Facility Agent by reference to the cost of funds to the Facility Agent from such other sources as the Facility Agent may from time to time determine.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Notification of interest periods and default rates</w:t>
      </w:r>
    </w:p>
    <w:p>
      <w:pPr>
        <w:spacing w:after="0" w:line="121" w:lineRule="exact"/>
        <w:rPr>
          <w:sz w:val="20"/>
          <w:szCs w:val="20"/>
          <w:color w:val="auto"/>
        </w:rPr>
      </w:pPr>
    </w:p>
    <w:p>
      <w:pPr>
        <w:ind w:left="920" w:right="140"/>
        <w:spacing w:after="0" w:line="286" w:lineRule="auto"/>
        <w:rPr>
          <w:sz w:val="20"/>
          <w:szCs w:val="20"/>
          <w:color w:val="auto"/>
        </w:rPr>
      </w:pPr>
      <w:r>
        <w:rPr>
          <w:rFonts w:ascii="Arial" w:cs="Arial" w:eastAsia="Arial" w:hAnsi="Arial"/>
          <w:sz w:val="17"/>
          <w:szCs w:val="17"/>
          <w:color w:val="auto"/>
        </w:rPr>
        <w:t>The Facility Agent shall promptly notify the Lenders and the Borrowers of each interest rate determined by the Facility Agent under Clause 7.3 and of each period selected by the Facility Agent for the purposes of paragraph (b) of that Clause; but this shall not be taken to imply that the Borrowers are liable to pay such interest only with effect from the date of the Facility Agent’s notification.</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Payment of accrued default interest</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Subject to the other provisions of this Agreement, any interest due under this Clause shall be paid on the last day of the period by reference to which it was determined; and the payment shall be made to the Facility Agent for the account of the Creditor Party to which the overdue amount is due.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Compounding of default interest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such interest which is not paid at the end of the period by reference to which it was determined shall thereupon be compounded.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720"/>
        <w:spacing w:after="0" w:line="308" w:lineRule="auto"/>
        <w:rPr>
          <w:sz w:val="20"/>
          <w:szCs w:val="20"/>
          <w:color w:val="auto"/>
        </w:rPr>
      </w:pPr>
      <w:r>
        <w:rPr>
          <w:rFonts w:ascii="Arial" w:cs="Arial" w:eastAsia="Arial" w:hAnsi="Arial"/>
          <w:sz w:val="17"/>
          <w:szCs w:val="17"/>
          <w:color w:val="auto"/>
        </w:rPr>
        <w:t>For the avoidance of doubt, this Clause 7 does not apply to any amount payable under a Master Agreement in respect of any continuing Designated Transaction as to which section 2(e) (Default Interest; Other Amounts) of a Master Agreement shall apply.</w:t>
      </w:r>
    </w:p>
    <w:p>
      <w:pPr>
        <w:spacing w:after="0" w:line="291" w:lineRule="exact"/>
        <w:rPr>
          <w:sz w:val="20"/>
          <w:szCs w:val="20"/>
          <w:color w:val="auto"/>
        </w:rPr>
      </w:pPr>
    </w:p>
    <w:p>
      <w:pPr>
        <w:ind w:left="920" w:hanging="912"/>
        <w:spacing w:after="0"/>
        <w:tabs>
          <w:tab w:leader="none" w:pos="9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Repayment Instalments</w:t>
      </w:r>
    </w:p>
    <w:p>
      <w:pPr>
        <w:spacing w:after="0" w:line="135" w:lineRule="exact"/>
        <w:rPr>
          <w:sz w:val="20"/>
          <w:szCs w:val="20"/>
          <w:color w:val="auto"/>
        </w:rPr>
      </w:pPr>
    </w:p>
    <w:p>
      <w:pPr>
        <w:ind w:left="920" w:hanging="912"/>
        <w:spacing w:after="0"/>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Prior to exercising an Option, the Borrowers shall repay each Tranche, by:</w:t>
      </w:r>
    </w:p>
    <w:p>
      <w:pPr>
        <w:spacing w:after="0" w:line="126" w:lineRule="exact"/>
        <w:rPr>
          <w:rFonts w:ascii="Arial" w:cs="Arial" w:eastAsia="Arial" w:hAnsi="Arial"/>
          <w:sz w:val="18"/>
          <w:szCs w:val="18"/>
          <w:color w:val="auto"/>
        </w:rPr>
      </w:pPr>
    </w:p>
    <w:p>
      <w:pPr>
        <w:ind w:left="1700" w:right="20" w:hanging="787"/>
        <w:spacing w:after="0" w:line="266" w:lineRule="auto"/>
        <w:tabs>
          <w:tab w:leader="none" w:pos="17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28 equal consecutive quarterly repayments instalments (each a “</w:t>
      </w:r>
      <w:r>
        <w:rPr>
          <w:rFonts w:ascii="Arial" w:cs="Arial" w:eastAsia="Arial" w:hAnsi="Arial"/>
          <w:sz w:val="18"/>
          <w:szCs w:val="18"/>
          <w:b w:val="1"/>
          <w:bCs w:val="1"/>
          <w:color w:val="auto"/>
        </w:rPr>
        <w:t>Pre-Option Repayment 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Pre-Option</w:t>
      </w:r>
      <w:r>
        <w:rPr>
          <w:rFonts w:ascii="Arial" w:cs="Arial" w:eastAsia="Arial" w:hAnsi="Arial"/>
          <w:sz w:val="18"/>
          <w:szCs w:val="18"/>
          <w:color w:val="auto"/>
        </w:rPr>
        <w:t xml:space="preserve"> </w:t>
      </w:r>
      <w:r>
        <w:rPr>
          <w:rFonts w:ascii="Arial" w:cs="Arial" w:eastAsia="Arial" w:hAnsi="Arial"/>
          <w:sz w:val="18"/>
          <w:szCs w:val="18"/>
          <w:b w:val="1"/>
          <w:bCs w:val="1"/>
          <w:color w:val="auto"/>
        </w:rPr>
        <w:t>Repayment Instalments</w:t>
      </w:r>
      <w:r>
        <w:rPr>
          <w:rFonts w:ascii="Arial" w:cs="Arial" w:eastAsia="Arial" w:hAnsi="Arial"/>
          <w:sz w:val="18"/>
          <w:szCs w:val="18"/>
          <w:color w:val="auto"/>
        </w:rPr>
        <w:t>”), each in an amount equal to 1/60th of the aggregate of the Advances drawn down in respect of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Tranche; and</w:t>
      </w:r>
    </w:p>
    <w:p>
      <w:pPr>
        <w:spacing w:after="0" w:line="81" w:lineRule="exact"/>
        <w:rPr>
          <w:rFonts w:ascii="Arial" w:cs="Arial" w:eastAsia="Arial" w:hAnsi="Arial"/>
          <w:sz w:val="18"/>
          <w:szCs w:val="18"/>
          <w:color w:val="auto"/>
        </w:rPr>
      </w:pPr>
    </w:p>
    <w:p>
      <w:pPr>
        <w:ind w:left="1700" w:right="560" w:hanging="787"/>
        <w:spacing w:after="0" w:line="347" w:lineRule="auto"/>
        <w:tabs>
          <w:tab w:leader="none" w:pos="170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 balloon instalment (in respect of each Tranche, a “</w:t>
      </w:r>
      <w:r>
        <w:rPr>
          <w:rFonts w:ascii="Arial" w:cs="Arial" w:eastAsia="Arial" w:hAnsi="Arial"/>
          <w:sz w:val="16"/>
          <w:szCs w:val="16"/>
          <w:b w:val="1"/>
          <w:bCs w:val="1"/>
          <w:color w:val="auto"/>
        </w:rPr>
        <w:t>Pre-Option Balloon Instalment</w:t>
      </w:r>
      <w:r>
        <w:rPr>
          <w:rFonts w:ascii="Arial" w:cs="Arial" w:eastAsia="Arial" w:hAnsi="Arial"/>
          <w:sz w:val="16"/>
          <w:szCs w:val="16"/>
          <w:color w:val="auto"/>
        </w:rPr>
        <w:t>”, and together, the “</w:t>
      </w:r>
      <w:r>
        <w:rPr>
          <w:rFonts w:ascii="Arial" w:cs="Arial" w:eastAsia="Arial" w:hAnsi="Arial"/>
          <w:sz w:val="16"/>
          <w:szCs w:val="16"/>
          <w:b w:val="1"/>
          <w:bCs w:val="1"/>
          <w:color w:val="auto"/>
        </w:rPr>
        <w:t>Pre-Option Balloon</w:t>
      </w:r>
      <w:r>
        <w:rPr>
          <w:rFonts w:ascii="Arial" w:cs="Arial" w:eastAsia="Arial" w:hAnsi="Arial"/>
          <w:sz w:val="16"/>
          <w:szCs w:val="16"/>
          <w:color w:val="auto"/>
        </w:rPr>
        <w:t xml:space="preserve"> </w:t>
      </w:r>
      <w:r>
        <w:rPr>
          <w:rFonts w:ascii="Arial" w:cs="Arial" w:eastAsia="Arial" w:hAnsi="Arial"/>
          <w:sz w:val="16"/>
          <w:szCs w:val="16"/>
          <w:b w:val="1"/>
          <w:bCs w:val="1"/>
          <w:color w:val="auto"/>
        </w:rPr>
        <w:t>Instalments</w:t>
      </w:r>
      <w:r>
        <w:rPr>
          <w:rFonts w:ascii="Arial" w:cs="Arial" w:eastAsia="Arial" w:hAnsi="Arial"/>
          <w:sz w:val="16"/>
          <w:szCs w:val="16"/>
          <w:color w:val="auto"/>
        </w:rPr>
        <w:t>”) equal to 32/60ths of the aggregate of the Advances drawn down in respect of the relevant Tranche; and</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0" w:right="259" w:bottom="1440" w:gutter="0" w:footer="0" w:header="0"/>
        </w:sectPr>
      </w:pPr>
    </w:p>
    <w:bookmarkStart w:id="207" w:name="page208"/>
    <w:bookmarkEnd w:id="207"/>
    <w:p>
      <w:pPr>
        <w:ind w:left="920" w:right="60" w:hanging="912"/>
        <w:spacing w:after="0" w:line="277" w:lineRule="auto"/>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exercising an Option, the Borrowers (or, subject to Clause 29.2, each applicable Affected Borrower), shall repay the Tranche relating to the Chartered Ship in relation to which the Option has been exercised, by:</w:t>
      </w:r>
    </w:p>
    <w:p>
      <w:pPr>
        <w:spacing w:after="0" w:line="71" w:lineRule="exact"/>
        <w:rPr>
          <w:rFonts w:ascii="Arial" w:cs="Arial" w:eastAsia="Arial" w:hAnsi="Arial"/>
          <w:sz w:val="18"/>
          <w:szCs w:val="18"/>
          <w:color w:val="auto"/>
        </w:rPr>
      </w:pPr>
    </w:p>
    <w:p>
      <w:pPr>
        <w:jc w:val="both"/>
        <w:ind w:left="1700" w:right="160" w:hanging="787"/>
        <w:spacing w:after="0" w:line="266" w:lineRule="auto"/>
        <w:tabs>
          <w:tab w:leader="none" w:pos="17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equal consecutive quarterly repayments instalments (each a “</w:t>
      </w:r>
      <w:r>
        <w:rPr>
          <w:rFonts w:ascii="Arial" w:cs="Arial" w:eastAsia="Arial" w:hAnsi="Arial"/>
          <w:sz w:val="18"/>
          <w:szCs w:val="18"/>
          <w:b w:val="1"/>
          <w:bCs w:val="1"/>
          <w:color w:val="auto"/>
        </w:rPr>
        <w:t>Post-Option Repayment 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Post-Option</w:t>
      </w:r>
      <w:r>
        <w:rPr>
          <w:rFonts w:ascii="Arial" w:cs="Arial" w:eastAsia="Arial" w:hAnsi="Arial"/>
          <w:sz w:val="18"/>
          <w:szCs w:val="18"/>
          <w:color w:val="auto"/>
        </w:rPr>
        <w:t xml:space="preserve"> </w:t>
      </w:r>
      <w:r>
        <w:rPr>
          <w:rFonts w:ascii="Arial" w:cs="Arial" w:eastAsia="Arial" w:hAnsi="Arial"/>
          <w:sz w:val="18"/>
          <w:szCs w:val="18"/>
          <w:b w:val="1"/>
          <w:bCs w:val="1"/>
          <w:color w:val="auto"/>
        </w:rPr>
        <w:t>Repayment Instalments</w:t>
      </w:r>
      <w:r>
        <w:rPr>
          <w:rFonts w:ascii="Arial" w:cs="Arial" w:eastAsia="Arial" w:hAnsi="Arial"/>
          <w:sz w:val="18"/>
          <w:szCs w:val="18"/>
          <w:color w:val="auto"/>
        </w:rPr>
        <w:t>”, and together with the Pre-Option Repayment Instalments, the “</w:t>
      </w:r>
      <w:r>
        <w:rPr>
          <w:rFonts w:ascii="Arial" w:cs="Arial" w:eastAsia="Arial" w:hAnsi="Arial"/>
          <w:sz w:val="18"/>
          <w:szCs w:val="18"/>
          <w:b w:val="1"/>
          <w:bCs w:val="1"/>
          <w:color w:val="auto"/>
        </w:rPr>
        <w:t>Repayment Instalments</w:t>
      </w:r>
      <w:r>
        <w:rPr>
          <w:rFonts w:ascii="Arial" w:cs="Arial" w:eastAsia="Arial" w:hAnsi="Arial"/>
          <w:sz w:val="18"/>
          <w:szCs w:val="18"/>
          <w:color w:val="auto"/>
        </w:rPr>
        <w:t>” in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G), each in an amount of D; and</w:t>
      </w:r>
    </w:p>
    <w:p>
      <w:pPr>
        <w:spacing w:after="0" w:line="81" w:lineRule="exact"/>
        <w:rPr>
          <w:rFonts w:ascii="Arial" w:cs="Arial" w:eastAsia="Arial" w:hAnsi="Arial"/>
          <w:sz w:val="18"/>
          <w:szCs w:val="18"/>
          <w:color w:val="auto"/>
        </w:rPr>
      </w:pPr>
    </w:p>
    <w:p>
      <w:pPr>
        <w:ind w:left="1700" w:right="420" w:hanging="787"/>
        <w:spacing w:after="0" w:line="347" w:lineRule="auto"/>
        <w:tabs>
          <w:tab w:leader="none" w:pos="17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 balloon instalment (in respect of each Tranche, a “</w:t>
      </w:r>
      <w:r>
        <w:rPr>
          <w:rFonts w:ascii="Arial" w:cs="Arial" w:eastAsia="Arial" w:hAnsi="Arial"/>
          <w:sz w:val="16"/>
          <w:szCs w:val="16"/>
          <w:b w:val="1"/>
          <w:bCs w:val="1"/>
          <w:color w:val="auto"/>
        </w:rPr>
        <w:t>Post-Option Balloon Instalment</w:t>
      </w:r>
      <w:r>
        <w:rPr>
          <w:rFonts w:ascii="Arial" w:cs="Arial" w:eastAsia="Arial" w:hAnsi="Arial"/>
          <w:sz w:val="16"/>
          <w:szCs w:val="16"/>
          <w:color w:val="auto"/>
        </w:rPr>
        <w:t>”, and together, the “</w:t>
      </w:r>
      <w:r>
        <w:rPr>
          <w:rFonts w:ascii="Arial" w:cs="Arial" w:eastAsia="Arial" w:hAnsi="Arial"/>
          <w:sz w:val="16"/>
          <w:szCs w:val="16"/>
          <w:b w:val="1"/>
          <w:bCs w:val="1"/>
          <w:color w:val="auto"/>
        </w:rPr>
        <w:t>Post-Option Balloon</w:t>
      </w:r>
      <w:r>
        <w:rPr>
          <w:rFonts w:ascii="Arial" w:cs="Arial" w:eastAsia="Arial" w:hAnsi="Arial"/>
          <w:sz w:val="16"/>
          <w:szCs w:val="16"/>
          <w:color w:val="auto"/>
        </w:rPr>
        <w:t xml:space="preserve"> </w:t>
      </w:r>
      <w:r>
        <w:rPr>
          <w:rFonts w:ascii="Arial" w:cs="Arial" w:eastAsia="Arial" w:hAnsi="Arial"/>
          <w:sz w:val="16"/>
          <w:szCs w:val="16"/>
          <w:b w:val="1"/>
          <w:bCs w:val="1"/>
          <w:color w:val="auto"/>
        </w:rPr>
        <w:t>Instalments</w:t>
      </w:r>
      <w:r>
        <w:rPr>
          <w:rFonts w:ascii="Arial" w:cs="Arial" w:eastAsia="Arial" w:hAnsi="Arial"/>
          <w:sz w:val="16"/>
          <w:szCs w:val="16"/>
          <w:color w:val="auto"/>
        </w:rPr>
        <w:t>”, and together with the Pre-Option Balloon Instalments, the “</w:t>
      </w:r>
      <w:r>
        <w:rPr>
          <w:rFonts w:ascii="Arial" w:cs="Arial" w:eastAsia="Arial" w:hAnsi="Arial"/>
          <w:sz w:val="16"/>
          <w:szCs w:val="16"/>
          <w:b w:val="1"/>
          <w:bCs w:val="1"/>
          <w:color w:val="auto"/>
        </w:rPr>
        <w:t>Balloon Instalments</w:t>
      </w:r>
      <w:r>
        <w:rPr>
          <w:rFonts w:ascii="Arial" w:cs="Arial" w:eastAsia="Arial" w:hAnsi="Arial"/>
          <w:sz w:val="16"/>
          <w:szCs w:val="16"/>
          <w:color w:val="auto"/>
        </w:rPr>
        <w:t>”), each in the amount of H.</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8.1(b):</w:t>
      </w:r>
    </w:p>
    <w:p>
      <w:pPr>
        <w:spacing w:after="0" w:line="113"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 subject to full compliance with, and the making of any prepayment due in accordance with Clause 4.9, the aggregate of all Advances made in respect of the Tranche relating to the Ship in respect of which the Option is exercised;</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13 minus the Age of the relevant Ship as at the date of exercise of the Option;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means A divided by B;</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 means C divided by 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w:t>
      </w:r>
      <w:r>
        <w:rPr>
          <w:rFonts w:ascii="Arial" w:cs="Arial" w:eastAsia="Arial" w:hAnsi="Arial"/>
          <w:sz w:val="18"/>
          <w:szCs w:val="18"/>
          <w:color w:val="auto"/>
        </w:rPr>
        <w:t>” means D multiplied by G;</w:t>
      </w:r>
    </w:p>
    <w:p>
      <w:pPr>
        <w:spacing w:after="0" w:line="117" w:lineRule="exact"/>
        <w:rPr>
          <w:sz w:val="20"/>
          <w:szCs w:val="20"/>
          <w:color w:val="auto"/>
        </w:rPr>
      </w:pPr>
    </w:p>
    <w:p>
      <w:pPr>
        <w:ind w:left="92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w:t>
      </w:r>
      <w:r>
        <w:rPr>
          <w:rFonts w:ascii="Arial" w:cs="Arial" w:eastAsia="Arial" w:hAnsi="Arial"/>
          <w:sz w:val="18"/>
          <w:szCs w:val="18"/>
          <w:color w:val="auto"/>
        </w:rPr>
        <w:t xml:space="preserve">” means the number of months between the date on which the Option is exercised and the Final Maturity Date in respect of the relevant Tranche minus 24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if such number is below zero, F shall be deemed to be zero;</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w:t>
      </w:r>
      <w:r>
        <w:rPr>
          <w:rFonts w:ascii="Arial" w:cs="Arial" w:eastAsia="Arial" w:hAnsi="Arial"/>
          <w:sz w:val="18"/>
          <w:szCs w:val="18"/>
          <w:color w:val="auto"/>
        </w:rPr>
        <w:t>” means F divided by 4; 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w:t>
      </w:r>
      <w:r>
        <w:rPr>
          <w:rFonts w:ascii="Arial" w:cs="Arial" w:eastAsia="Arial" w:hAnsi="Arial"/>
          <w:sz w:val="18"/>
          <w:szCs w:val="18"/>
          <w:color w:val="auto"/>
        </w:rPr>
        <w:t>” means, in respect of that Chartered Ship, A for that Ship minus 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Repayment Dates</w:t>
      </w:r>
    </w:p>
    <w:p>
      <w:pPr>
        <w:spacing w:after="0" w:line="135" w:lineRule="exact"/>
        <w:rPr>
          <w:sz w:val="20"/>
          <w:szCs w:val="20"/>
          <w:color w:val="auto"/>
        </w:rPr>
      </w:pPr>
    </w:p>
    <w:p>
      <w:pPr>
        <w:ind w:left="920" w:right="280" w:hanging="912"/>
        <w:spacing w:after="0" w:line="259" w:lineRule="auto"/>
        <w:tabs>
          <w:tab w:leader="none" w:pos="9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Prior to exercising the Option, the first Repayment Instalment in respect of each Tranche shall be repaid on the date falling 3 months after the Drawdown Date of the Delivery Advance of that Tranche and each subsequent Repayment Instalment shall be repaid at 3 monthly intervals thereafter and the last Repayment Instalment shall be repaid on the Final Maturity Date in respect of the Tranche together with the relevant Balloon Instalment; and</w:t>
      </w:r>
    </w:p>
    <w:p>
      <w:pPr>
        <w:spacing w:after="0" w:line="92" w:lineRule="exact"/>
        <w:rPr>
          <w:rFonts w:ascii="Arial" w:cs="Arial" w:eastAsia="Arial" w:hAnsi="Arial"/>
          <w:sz w:val="18"/>
          <w:szCs w:val="18"/>
          <w:color w:val="auto"/>
        </w:rPr>
      </w:pPr>
    </w:p>
    <w:p>
      <w:pPr>
        <w:ind w:left="920" w:right="60" w:hanging="912"/>
        <w:spacing w:after="0" w:line="259" w:lineRule="auto"/>
        <w:tabs>
          <w:tab w:leader="none" w:pos="9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after exercising Option in respect of a Ship, the first Repayment Instalment in respect of the Tranche which relates to the Chartered Ship shall be repaid on the date falling on the second anniversary of the date on which the Option was exercised and each subsequent Repayment Instalment shall be repaid at 3-monthly intervals thereafter and the last Repayment Instalment shall be repaid on the Final Maturity Date together with the relevant Balloon Instalment.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Final Repayment Date</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On the final Repayment Date, the Borrowers shall additionally pay to the Facility Agent for the account of the Creditor Parties all other sums then accrued or owing under any Finance Document.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208" w:name="page209"/>
    <w:bookmarkEnd w:id="20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8.4</w:t>
      </w:r>
      <w:r>
        <w:rPr>
          <w:sz w:val="20"/>
          <w:szCs w:val="20"/>
          <w:color w:val="auto"/>
        </w:rPr>
        <w:tab/>
      </w:r>
      <w:r>
        <w:rPr>
          <w:rFonts w:ascii="Arial" w:cs="Arial" w:eastAsia="Arial" w:hAnsi="Arial"/>
          <w:sz w:val="16"/>
          <w:szCs w:val="16"/>
          <w:b w:val="1"/>
          <w:bCs w:val="1"/>
          <w:color w:val="auto"/>
        </w:rPr>
        <w:t>Optional facility cancellation</w:t>
      </w:r>
    </w:p>
    <w:p>
      <w:pPr>
        <w:spacing w:after="0" w:line="121" w:lineRule="exact"/>
        <w:rPr>
          <w:sz w:val="20"/>
          <w:szCs w:val="20"/>
          <w:color w:val="auto"/>
        </w:rPr>
      </w:pPr>
    </w:p>
    <w:p>
      <w:pPr>
        <w:ind w:left="920" w:right="60"/>
        <w:spacing w:after="0" w:line="297" w:lineRule="auto"/>
        <w:rPr>
          <w:sz w:val="20"/>
          <w:szCs w:val="20"/>
          <w:color w:val="auto"/>
        </w:rPr>
      </w:pPr>
      <w:r>
        <w:rPr>
          <w:rFonts w:ascii="Arial" w:cs="Arial" w:eastAsia="Arial" w:hAnsi="Arial"/>
          <w:sz w:val="16"/>
          <w:szCs w:val="16"/>
          <w:color w:val="auto"/>
        </w:rPr>
        <w:t>The Borrowers shall be entitled, upon giving to the Facility Agent not less than 3 Business Days prior written notice (which notice shall be irrevocable), to cancel, in whole or in part, and, if in part, by an amount that reduces the undrawn balance of the Total Commitments in a minimum amount equal to a Repayment Instalment or an integral multiple thereof. Upon such cancellation taking effect on expiry of such notice the several obligations of the Lenders to make their respective Commitments available in relation to the portion of the Total Commitments to which such notice relates shall terminate and the commitment fee referred to in Clause 20.1) on such portion shall cease to accrue.</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Voluntary prepayment</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Subject to the following conditions, the Borrowers may prepay the whole or any part of the Loan on the last day of an Interest Period in respect thereof.</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Conditions for voluntary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conditions referred to in Clause 8.5 are that:</w:t>
      </w:r>
    </w:p>
    <w:p>
      <w:pPr>
        <w:spacing w:after="0" w:line="131" w:lineRule="exact"/>
        <w:rPr>
          <w:sz w:val="20"/>
          <w:szCs w:val="20"/>
          <w:color w:val="auto"/>
        </w:rPr>
      </w:pPr>
    </w:p>
    <w:p>
      <w:pPr>
        <w:ind w:left="920" w:right="100" w:hanging="912"/>
        <w:spacing w:after="0" w:line="277" w:lineRule="auto"/>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partial prepayment shall be in an amount that reduces the Loan by a minimum amount equal to a Repayment Instalment or an integral multiple thereof;</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Facility Agent has received from the Borrowers at least 10 Business Days’ prior written notice specifying:</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amount to be prepaid and the date on which the prepayment is to be made; and</w:t>
      </w:r>
    </w:p>
    <w:p>
      <w:pPr>
        <w:spacing w:after="0" w:line="130" w:lineRule="exact"/>
        <w:rPr>
          <w:rFonts w:ascii="Arial" w:cs="Arial" w:eastAsia="Arial" w:hAnsi="Arial"/>
          <w:sz w:val="18"/>
          <w:szCs w:val="18"/>
          <w:color w:val="auto"/>
        </w:rPr>
      </w:pPr>
    </w:p>
    <w:p>
      <w:pPr>
        <w:ind w:left="1700" w:right="140" w:hanging="787"/>
        <w:spacing w:after="0" w:line="264" w:lineRule="auto"/>
        <w:tabs>
          <w:tab w:leader="none" w:pos="17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whether such prepayment will be applied against a Tranche, in which case the Borrowers will specify the Tranche against which that prepayment should be applied. A failure by the Borrowers to make such a designation shall result in the prepayment being applied against each Tranche in accordance with Clause 8.11(a); and</w:t>
      </w:r>
    </w:p>
    <w:p>
      <w:pPr>
        <w:spacing w:after="0" w:line="86" w:lineRule="exact"/>
        <w:rPr>
          <w:rFonts w:ascii="Arial" w:cs="Arial" w:eastAsia="Arial" w:hAnsi="Arial"/>
          <w:sz w:val="18"/>
          <w:szCs w:val="18"/>
          <w:color w:val="auto"/>
        </w:rPr>
      </w:pPr>
    </w:p>
    <w:p>
      <w:pPr>
        <w:ind w:left="920" w:right="200" w:hanging="912"/>
        <w:spacing w:after="0" w:line="264" w:lineRule="auto"/>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Borrowers have provided evidence satisfactory to the Facility Agent that any consent required by the Borrowers or any Security Party in connection with the prepayment has been obtained and remains in force, and that any requirement relevant to this Agreement which affects the Borrowers or any Security Party has been complied with.</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Effect of notice of prepayment</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 prepayment notice may not be withdrawn or amended without the consent of the Facility Agent, given with the authority of the Majority Lenders, and the amount specified in the prepayment notice shall become due and payable by the Borrowers on the date for prepayment specified in the prepayment notice.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Notification of notice of prepayment</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Facility Agent shall notify the Lenders promptly upon receiving a prepayment notice, and shall provide any Lender which so requests with a copy of any document delivered by the Borrowers under Clause 8.6(c).</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Mandatory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Borrowers (or, subject to Clause 29.2, each Affected Borrower) shall be obliged to prepay the Relevant Amount:</w:t>
      </w:r>
    </w:p>
    <w:p>
      <w:pPr>
        <w:spacing w:after="0" w:line="131" w:lineRule="exact"/>
        <w:rPr>
          <w:sz w:val="20"/>
          <w:szCs w:val="20"/>
          <w:color w:val="auto"/>
        </w:rPr>
      </w:pPr>
    </w:p>
    <w:p>
      <w:pPr>
        <w:ind w:left="920" w:right="300" w:hanging="912"/>
        <w:spacing w:after="0" w:line="277" w:lineRule="auto"/>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 Borrower transfers, assigns or novates its rights and obligations under the Shipbuilding Contract to which it is a party before the Delivery Date relative to its Ship;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209" w:name="page210"/>
    <w:bookmarkEnd w:id="209"/>
    <w:p>
      <w:pPr>
        <w:ind w:left="912" w:right="160" w:hanging="912"/>
        <w:spacing w:after="0" w:line="277" w:lineRule="auto"/>
        <w:tabs>
          <w:tab w:leader="none" w:pos="912"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sale at any time after the Delivery Date relative to that Ship, on or before the date on which the sale is completed by delivery of that Ship to the buyer; or</w:t>
      </w:r>
    </w:p>
    <w:p>
      <w:pPr>
        <w:spacing w:after="0" w:line="75" w:lineRule="exact"/>
        <w:rPr>
          <w:rFonts w:ascii="Arial" w:cs="Arial" w:eastAsia="Arial" w:hAnsi="Arial"/>
          <w:sz w:val="18"/>
          <w:szCs w:val="18"/>
          <w:color w:val="auto"/>
        </w:rPr>
      </w:pPr>
    </w:p>
    <w:p>
      <w:pPr>
        <w:ind w:left="912" w:right="160" w:hanging="912"/>
        <w:spacing w:after="0" w:line="277" w:lineRule="auto"/>
        <w:tabs>
          <w:tab w:leader="none" w:pos="91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the case of a Total Loss, on the earlier of the date falling 180 days after the Total Loss Date and the date of receipt by the Security Trustee of the proceeds of insurance relating to such Total Loss;</w:t>
      </w:r>
    </w:p>
    <w:p>
      <w:pPr>
        <w:spacing w:after="0" w:line="75" w:lineRule="exact"/>
        <w:rPr>
          <w:rFonts w:ascii="Arial" w:cs="Arial" w:eastAsia="Arial" w:hAnsi="Arial"/>
          <w:sz w:val="18"/>
          <w:szCs w:val="18"/>
          <w:color w:val="auto"/>
        </w:rPr>
      </w:pPr>
    </w:p>
    <w:p>
      <w:pPr>
        <w:ind w:left="912" w:hanging="912"/>
        <w:spacing w:after="0"/>
        <w:tabs>
          <w:tab w:leader="none" w:pos="91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any of the following occurs, unless otherwise instructed by the Facility Agent (acting on the instructions of the Lenders):</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of the events specified in Article XI (Buyer’s default) of any Shipbuilding Contract occurs; or</w:t>
      </w:r>
    </w:p>
    <w:p>
      <w:pPr>
        <w:spacing w:after="0" w:line="130" w:lineRule="exact"/>
        <w:rPr>
          <w:rFonts w:ascii="Arial" w:cs="Arial" w:eastAsia="Arial" w:hAnsi="Arial"/>
          <w:sz w:val="18"/>
          <w:szCs w:val="18"/>
          <w:color w:val="auto"/>
        </w:rPr>
      </w:pPr>
    </w:p>
    <w:p>
      <w:pPr>
        <w:ind w:left="1692" w:right="80" w:hanging="787"/>
        <w:spacing w:after="0" w:line="259" w:lineRule="auto"/>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Refund Guarantee is repudiated, cancelled, rescinded or otherwise terminated or expires (other than by the return of such Refund Guarantee to the Builder and/or the Refund Guarantor following the delivery to the relevant Borrower of the relevant Ship) or the Refund Guarantor becomes subject to bankruptcy, re-organization, dissolution, insolvency, winding-up or any similar event those described in Clause 19.1(g); or</w:t>
      </w:r>
    </w:p>
    <w:p>
      <w:pPr>
        <w:spacing w:after="0" w:line="92" w:lineRule="exact"/>
        <w:rPr>
          <w:rFonts w:ascii="Arial" w:cs="Arial" w:eastAsia="Arial" w:hAnsi="Arial"/>
          <w:sz w:val="18"/>
          <w:szCs w:val="18"/>
          <w:color w:val="auto"/>
        </w:rPr>
      </w:pPr>
    </w:p>
    <w:p>
      <w:pPr>
        <w:ind w:left="1692" w:hanging="787"/>
        <w:spacing w:after="0"/>
        <w:tabs>
          <w:tab w:leader="none" w:pos="169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any Underlying Document is cancelled, terminated, rescinded or suspended or otherwise ceases to remain in force for any reason; or</w:t>
      </w:r>
    </w:p>
    <w:p>
      <w:pPr>
        <w:spacing w:after="0" w:line="153" w:lineRule="exact"/>
        <w:rPr>
          <w:rFonts w:ascii="Arial" w:cs="Arial" w:eastAsia="Arial" w:hAnsi="Arial"/>
          <w:sz w:val="16"/>
          <w:szCs w:val="16"/>
          <w:color w:val="auto"/>
        </w:rPr>
      </w:pPr>
    </w:p>
    <w:p>
      <w:pPr>
        <w:ind w:left="1692" w:right="560" w:hanging="787"/>
        <w:spacing w:after="0" w:line="277" w:lineRule="auto"/>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Underlying Document is amended or varied without the prior written consent of the Lenders except for any amendment or variation permitted by this Agreement or any other relevant Finance Document; or</w:t>
      </w:r>
    </w:p>
    <w:p>
      <w:pPr>
        <w:spacing w:after="0" w:line="75" w:lineRule="exact"/>
        <w:rPr>
          <w:rFonts w:ascii="Arial" w:cs="Arial" w:eastAsia="Arial" w:hAnsi="Arial"/>
          <w:sz w:val="18"/>
          <w:szCs w:val="18"/>
          <w:color w:val="auto"/>
        </w:rPr>
      </w:pPr>
    </w:p>
    <w:p>
      <w:pPr>
        <w:ind w:left="1692" w:right="740" w:hanging="787"/>
        <w:spacing w:after="0" w:line="277" w:lineRule="auto"/>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 Ship has not for any reason been delivered to, and accepted by, the Borrower which is the buyer thereof under the relevant Shipbuilding Contract by the end of the applicable Availability Period; or</w:t>
      </w:r>
    </w:p>
    <w:p>
      <w:pPr>
        <w:spacing w:after="0" w:line="75" w:lineRule="exact"/>
        <w:rPr>
          <w:rFonts w:ascii="Arial" w:cs="Arial" w:eastAsia="Arial" w:hAnsi="Arial"/>
          <w:sz w:val="18"/>
          <w:szCs w:val="18"/>
          <w:color w:val="auto"/>
        </w:rPr>
      </w:pPr>
    </w:p>
    <w:p>
      <w:pPr>
        <w:ind w:left="1692" w:right="300" w:hanging="787"/>
        <w:spacing w:after="0" w:line="264" w:lineRule="auto"/>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there is a change in the legal (other than in the case of a Dropdown) or ultimate beneficial ownership or control of any Borrower, subject to Clause 19.1(m), or the Guarantor or, following a Dropdown, the Substitute Guarantor from that disclosed to the Facility Agent on or before the date of this Agreement; or</w:t>
      </w:r>
    </w:p>
    <w:p>
      <w:pPr>
        <w:spacing w:after="0" w:line="86" w:lineRule="exact"/>
        <w:rPr>
          <w:rFonts w:ascii="Arial" w:cs="Arial" w:eastAsia="Arial" w:hAnsi="Arial"/>
          <w:sz w:val="18"/>
          <w:szCs w:val="18"/>
          <w:color w:val="auto"/>
        </w:rPr>
      </w:pPr>
    </w:p>
    <w:p>
      <w:pPr>
        <w:ind w:left="1692" w:right="120" w:hanging="787"/>
        <w:spacing w:after="0" w:line="277" w:lineRule="auto"/>
        <w:tabs>
          <w:tab w:leader="none" w:pos="169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following a Dropdown, there is a change in the legal or ultimate beneficial ownership or control of the Affected Borrower, subject to Clause 19.1(m), from that disclosed to the Facility Agent on or before the date of the relevant Dropdown.</w:t>
      </w:r>
    </w:p>
    <w:p>
      <w:pPr>
        <w:spacing w:after="0" w:line="5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 this Clause 8.9, “</w:t>
      </w:r>
      <w:r>
        <w:rPr>
          <w:rFonts w:ascii="Arial" w:cs="Arial" w:eastAsia="Arial" w:hAnsi="Arial"/>
          <w:sz w:val="18"/>
          <w:szCs w:val="18"/>
          <w:b w:val="1"/>
          <w:bCs w:val="1"/>
          <w:color w:val="auto"/>
        </w:rPr>
        <w:t>Relevant Amount</w:t>
      </w:r>
      <w:r>
        <w:rPr>
          <w:rFonts w:ascii="Arial" w:cs="Arial" w:eastAsia="Arial" w:hAnsi="Arial"/>
          <w:sz w:val="18"/>
          <w:szCs w:val="18"/>
          <w:color w:val="auto"/>
        </w:rPr>
        <w:t>” means:</w:t>
      </w:r>
    </w:p>
    <w:p>
      <w:pPr>
        <w:spacing w:after="0" w:line="135" w:lineRule="exact"/>
        <w:rPr>
          <w:sz w:val="20"/>
          <w:szCs w:val="20"/>
          <w:color w:val="auto"/>
        </w:rPr>
      </w:pPr>
    </w:p>
    <w:p>
      <w:pPr>
        <w:ind w:left="1692" w:hanging="787"/>
        <w:spacing w:after="0"/>
        <w:tabs>
          <w:tab w:leader="none" w:pos="169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cases of sub-paragraphs (a), (b), (c) and (d) (other than (d)(vi) and (d)(vii) of this Clause 8.9, an amount equal to the higher of</w:t>
      </w:r>
    </w:p>
    <w:p>
      <w:pPr>
        <w:spacing w:after="0" w:line="46" w:lineRule="exact"/>
        <w:rPr>
          <w:rFonts w:ascii="Arial" w:cs="Arial" w:eastAsia="Arial" w:hAnsi="Arial"/>
          <w:sz w:val="16"/>
          <w:szCs w:val="16"/>
          <w:color w:val="auto"/>
        </w:rPr>
      </w:pPr>
    </w:p>
    <w:p>
      <w:pPr>
        <w:ind w:left="1692"/>
        <w:spacing w:after="0" w:line="253" w:lineRule="auto"/>
        <w:rPr>
          <w:rFonts w:ascii="Arial" w:cs="Arial" w:eastAsia="Arial" w:hAnsi="Arial"/>
          <w:sz w:val="16"/>
          <w:szCs w:val="16"/>
          <w:color w:val="auto"/>
        </w:rPr>
      </w:pPr>
      <w:r>
        <w:rPr>
          <w:rFonts w:ascii="Arial" w:cs="Arial" w:eastAsia="Arial" w:hAnsi="Arial"/>
          <w:sz w:val="18"/>
          <w:szCs w:val="18"/>
          <w:color w:val="auto"/>
        </w:rPr>
        <w:t>(A) the outstanding amount of the Tranche which has been used in part-financing the construction and/or acquisition cost of the Ship which has become subject to any of the events listed in this Clause 8.9 and (B) an amount, which after giving credit to the prepayment required to be made pursuant to this Clause 8.9, results in the applicable Security Cover Ratio being equal to or higher than the higher of (i) the applicable Security Cover Ratio maintained immediately prior to the prepayment made pursuant to this Clause 8.9 and (ii) 120 per cent.;</w:t>
      </w:r>
    </w:p>
    <w:p>
      <w:pPr>
        <w:spacing w:after="0" w:line="96" w:lineRule="exact"/>
        <w:rPr>
          <w:rFonts w:ascii="Arial" w:cs="Arial" w:eastAsia="Arial" w:hAnsi="Arial"/>
          <w:sz w:val="16"/>
          <w:szCs w:val="16"/>
          <w:color w:val="auto"/>
        </w:rPr>
      </w:pPr>
    </w:p>
    <w:p>
      <w:pPr>
        <w:ind w:left="1692" w:hanging="787"/>
        <w:spacing w:after="0"/>
        <w:tabs>
          <w:tab w:leader="none" w:pos="169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case of Clause 8.9(d)(vi), the Loan; and</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case of Clause 8.9(d)(vii), the Tranches owing by any Affected Borrower.</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274" w:right="279" w:bottom="1440" w:gutter="0" w:footer="0" w:header="0"/>
        </w:sectPr>
      </w:pPr>
    </w:p>
    <w:bookmarkStart w:id="210" w:name="page211"/>
    <w:bookmarkEnd w:id="21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8.10</w:t>
      </w:r>
      <w:r>
        <w:rPr>
          <w:sz w:val="20"/>
          <w:szCs w:val="20"/>
          <w:color w:val="auto"/>
        </w:rPr>
        <w:tab/>
      </w:r>
      <w:r>
        <w:rPr>
          <w:rFonts w:ascii="Arial" w:cs="Arial" w:eastAsia="Arial" w:hAnsi="Arial"/>
          <w:sz w:val="16"/>
          <w:szCs w:val="16"/>
          <w:b w:val="1"/>
          <w:bCs w:val="1"/>
          <w:color w:val="auto"/>
        </w:rPr>
        <w:t>Amounts payable on prepayment</w:t>
      </w:r>
    </w:p>
    <w:p>
      <w:pPr>
        <w:spacing w:after="0" w:line="121"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A prepayment shall be made together with accrued interest (and any other amount payable under Clause 21 below or otherwise) in respect of the amount prepaid and, if the prepayment is not made on the last day of an Interest Period together with any sums payable under Clause 21.1(b) but without premium or penalty.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Application of partial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partial prepayment shall be applied:</w:t>
      </w:r>
    </w:p>
    <w:p>
      <w:pPr>
        <w:spacing w:after="0" w:line="131" w:lineRule="exact"/>
        <w:rPr>
          <w:sz w:val="20"/>
          <w:szCs w:val="20"/>
          <w:color w:val="auto"/>
        </w:rPr>
      </w:pPr>
    </w:p>
    <w:p>
      <w:pPr>
        <w:ind w:left="920" w:hanging="912"/>
        <w:spacing w:after="0" w:line="255" w:lineRule="auto"/>
        <w:tabs>
          <w:tab w:leader="none" w:pos="9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if made pursuant to Clause 8.5, pro rata between the then outstanding Tranches and thereafter in respect of each Tranche, pro rata against the Repayment Instalments in respect of that Tranche which are at the time being outstanding and the relevant Balloon Instalment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Borrowers may, at their option, request that a prepayment made in accordance with Clause 8.5 be applied against one Tranche only in which case such prepayment shall be applied pro rata against the Repayment Instalments in respect of that Tranche which are at the time being outstanding and the relevant Balloon Instalment or in any other manner of application requested by the Borrowers and agreed by the Lenders (in the Lenders’ absolute discretion);</w:t>
      </w:r>
    </w:p>
    <w:p>
      <w:pPr>
        <w:spacing w:after="0" w:line="98" w:lineRule="exact"/>
        <w:rPr>
          <w:rFonts w:ascii="Arial" w:cs="Arial" w:eastAsia="Arial" w:hAnsi="Arial"/>
          <w:sz w:val="18"/>
          <w:szCs w:val="18"/>
          <w:color w:val="auto"/>
        </w:rPr>
      </w:pPr>
    </w:p>
    <w:p>
      <w:pPr>
        <w:ind w:left="920" w:right="220" w:hanging="912"/>
        <w:spacing w:after="0" w:line="273" w:lineRule="auto"/>
        <w:tabs>
          <w:tab w:leader="none" w:pos="9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if made pursuant to Clause 8.9, in the cases of sub-paragraphs (a), (b) (c) and (d) (other than (d)(vi) and (d)(vii), first against the Balloon Instalment in respect of the Tranche related to the Ship being sold or which has become a Total Loss or whose Shipbuilding Contract is transferred, assigned, novated or which is the subject of any of the events set out in paragraphs (d)(i), (ii), (iii), (iv) or (v), secondly towards reduction of the outstanding Repayment Instalments in respect of that Tranche in inverse order of maturity, thirdly towards reduction of the Balloon Instalments in respect of the remaining Tranches, and fourthly against the then outstanding Repayment Instalments in respect of those Tranches in inverse order of maturity and pro-rata between those Tranches; and</w:t>
      </w:r>
    </w:p>
    <w:p>
      <w:pPr>
        <w:spacing w:after="0" w:line="83" w:lineRule="exact"/>
        <w:rPr>
          <w:rFonts w:ascii="Arial" w:cs="Arial" w:eastAsia="Arial" w:hAnsi="Arial"/>
          <w:sz w:val="17"/>
          <w:szCs w:val="17"/>
          <w:color w:val="auto"/>
        </w:rPr>
      </w:pPr>
    </w:p>
    <w:p>
      <w:pPr>
        <w:ind w:left="920" w:right="180" w:hanging="912"/>
        <w:spacing w:after="0" w:line="277" w:lineRule="auto"/>
        <w:tabs>
          <w:tab w:leader="none" w:pos="9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made pursuant to any other clause of this Agreement, pro-rata between the Tranches, first against reduction of the Balloon Instalments of the Tranches and secondly against the outstanding Repayment Instalments in respect of such Tranches.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amount prepaid or cancelled may be reborrowed.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color w:val="auto"/>
        </w:rPr>
        <w:t>Unwinding of Designated Transactions</w:t>
      </w:r>
    </w:p>
    <w:p>
      <w:pPr>
        <w:spacing w:after="0" w:line="121" w:lineRule="exact"/>
        <w:rPr>
          <w:sz w:val="20"/>
          <w:szCs w:val="20"/>
          <w:color w:val="auto"/>
        </w:rPr>
      </w:pPr>
    </w:p>
    <w:p>
      <w:pPr>
        <w:ind w:left="920" w:right="80"/>
        <w:spacing w:after="0" w:line="302" w:lineRule="auto"/>
        <w:rPr>
          <w:sz w:val="20"/>
          <w:szCs w:val="20"/>
          <w:color w:val="auto"/>
        </w:rPr>
      </w:pPr>
      <w:r>
        <w:rPr>
          <w:rFonts w:ascii="Arial" w:cs="Arial" w:eastAsia="Arial" w:hAnsi="Arial"/>
          <w:sz w:val="16"/>
          <w:szCs w:val="16"/>
          <w:color w:val="auto"/>
        </w:rPr>
        <w:t>On or prior to any repayment or prepayment of the Loan under this Clause 8 or any other provision of this Agreement, the Borrowers shall wholly or partially reverse, offset, unwind or otherwise terminate one or more of the continuing Designated Transactions to the extent necessary to ensure that the notional principal amount of the continuing Designated Transactions thereafter remaining does not and will not in the future (taking into account the scheduled amortisation) exceed the amount of the Loan as reducing from time to time thereafter pursuant to Clause 8.1.</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b w:val="1"/>
          <w:bCs w:val="1"/>
          <w:color w:val="auto"/>
        </w:rPr>
        <w:t>Prepayment of swap benefit</w:t>
      </w:r>
    </w:p>
    <w:p>
      <w:pPr>
        <w:spacing w:after="0" w:line="121" w:lineRule="exact"/>
        <w:rPr>
          <w:sz w:val="20"/>
          <w:szCs w:val="20"/>
          <w:color w:val="auto"/>
        </w:rPr>
      </w:pPr>
    </w:p>
    <w:p>
      <w:pPr>
        <w:jc w:val="both"/>
        <w:ind w:left="920" w:right="140"/>
        <w:spacing w:after="0" w:line="264" w:lineRule="auto"/>
        <w:rPr>
          <w:sz w:val="20"/>
          <w:szCs w:val="20"/>
          <w:color w:val="auto"/>
        </w:rPr>
      </w:pPr>
      <w:r>
        <w:rPr>
          <w:rFonts w:ascii="Arial" w:cs="Arial" w:eastAsia="Arial" w:hAnsi="Arial"/>
          <w:sz w:val="18"/>
          <w:szCs w:val="18"/>
          <w:color w:val="auto"/>
        </w:rPr>
        <w:t>If a Designated Transaction is terminated in circumstances where the Swap Bank would be obliged to pay an amount to any Borrower under a Master Agreement, each Borrower hereby agrees that such payment shall be applied in prepayment of the Loan in accordance with Clause 8.11 and authorises the Swap Bank to pay such amount to the Facility Agent for such purpose.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211" w:name="page212"/>
    <w:bookmarkEnd w:id="21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8.15</w:t>
      </w:r>
      <w:r>
        <w:rPr>
          <w:sz w:val="20"/>
          <w:szCs w:val="20"/>
          <w:color w:val="auto"/>
        </w:rPr>
        <w:tab/>
      </w:r>
      <w:r>
        <w:rPr>
          <w:rFonts w:ascii="Arial" w:cs="Arial" w:eastAsia="Arial" w:hAnsi="Arial"/>
          <w:sz w:val="16"/>
          <w:szCs w:val="16"/>
          <w:b w:val="1"/>
          <w:bCs w:val="1"/>
          <w:color w:val="auto"/>
        </w:rPr>
        <w:t>Right of cancellation in relation to a Defaulting Lender</w:t>
      </w:r>
    </w:p>
    <w:p>
      <w:pPr>
        <w:spacing w:after="0" w:line="135" w:lineRule="exact"/>
        <w:rPr>
          <w:sz w:val="20"/>
          <w:szCs w:val="20"/>
          <w:color w:val="auto"/>
        </w:rPr>
      </w:pPr>
    </w:p>
    <w:p>
      <w:pPr>
        <w:ind w:left="920" w:right="300" w:hanging="912"/>
        <w:spacing w:after="0" w:line="277" w:lineRule="auto"/>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Facility Agent 5 Business Days’ notice of cancellation of the undrawn Commitment of that Lender;</w:t>
      </w:r>
    </w:p>
    <w:p>
      <w:pPr>
        <w:spacing w:after="0" w:line="75" w:lineRule="exact"/>
        <w:rPr>
          <w:rFonts w:ascii="Arial" w:cs="Arial" w:eastAsia="Arial" w:hAnsi="Arial"/>
          <w:sz w:val="18"/>
          <w:szCs w:val="18"/>
          <w:color w:val="auto"/>
        </w:rPr>
      </w:pPr>
    </w:p>
    <w:p>
      <w:pPr>
        <w:ind w:left="920" w:right="200" w:hanging="912"/>
        <w:spacing w:after="0" w:line="277" w:lineRule="auto"/>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the undrawn Commitment of the Defaulting Lender shall immediately be reduced to zero;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Facility Agent shall as soon as practicable after receipt of a notice referred to in paragraph (a) above, notify all the Lenders.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8.16</w:t>
      </w:r>
      <w:r>
        <w:rPr>
          <w:sz w:val="20"/>
          <w:szCs w:val="20"/>
          <w:color w:val="auto"/>
        </w:rPr>
        <w:tab/>
      </w:r>
      <w:r>
        <w:rPr>
          <w:rFonts w:ascii="Arial" w:cs="Arial" w:eastAsia="Arial" w:hAnsi="Arial"/>
          <w:sz w:val="16"/>
          <w:szCs w:val="16"/>
          <w:b w:val="1"/>
          <w:bCs w:val="1"/>
          <w:color w:val="auto"/>
        </w:rPr>
        <w:t>Right of repayment and cancellation in relation to a single Lender</w:t>
      </w:r>
    </w:p>
    <w:p>
      <w:pPr>
        <w:spacing w:after="0" w:line="135" w:lineRule="exact"/>
        <w:rPr>
          <w:sz w:val="20"/>
          <w:szCs w:val="20"/>
          <w:color w:val="auto"/>
        </w:rPr>
      </w:pPr>
    </w:p>
    <w:p>
      <w:pPr>
        <w:ind w:left="920" w:hanging="912"/>
        <w:spacing w:after="0"/>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00" w:right="100" w:hanging="787"/>
        <w:spacing w:after="0" w:line="277" w:lineRule="auto"/>
        <w:tabs>
          <w:tab w:leader="none" w:pos="17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sum payable to any Lender by a Borrower is required to be increased under paragraph (c) of Clause 22.2 or under that clause as incorporated by reference or in full in any other Finance Document; or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Lender claims indemnification from a Borrower under Clause 22.3 or Clause 24,</w:t>
      </w:r>
    </w:p>
    <w:p>
      <w:pPr>
        <w:spacing w:after="0" w:line="117" w:lineRule="exact"/>
        <w:rPr>
          <w:sz w:val="20"/>
          <w:szCs w:val="20"/>
          <w:color w:val="auto"/>
        </w:rPr>
      </w:pPr>
    </w:p>
    <w:p>
      <w:pPr>
        <w:ind w:left="920" w:right="280"/>
        <w:spacing w:after="0" w:line="264" w:lineRule="auto"/>
        <w:rPr>
          <w:sz w:val="20"/>
          <w:szCs w:val="20"/>
          <w:color w:val="auto"/>
        </w:rPr>
      </w:pPr>
      <w:r>
        <w:rPr>
          <w:rFonts w:ascii="Arial" w:cs="Arial" w:eastAsia="Arial" w:hAnsi="Arial"/>
          <w:sz w:val="18"/>
          <w:szCs w:val="18"/>
          <w:color w:val="auto"/>
        </w:rPr>
        <w:t>the Borrowers may whilst in the case of sub-paragraphs (i) and (ii) above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87" w:lineRule="exact"/>
        <w:rPr>
          <w:sz w:val="20"/>
          <w:szCs w:val="20"/>
          <w:color w:val="auto"/>
        </w:rPr>
      </w:pPr>
    </w:p>
    <w:p>
      <w:pPr>
        <w:ind w:left="920" w:hanging="912"/>
        <w:spacing w:after="0"/>
        <w:tabs>
          <w:tab w:leader="none" w:pos="9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On receipt of a notice of cancellation referred to in paragraph (a) above, the Commitment of that Lender shall immediately be reduced to zero.</w:t>
      </w:r>
    </w:p>
    <w:p>
      <w:pPr>
        <w:spacing w:after="0" w:line="153" w:lineRule="exact"/>
        <w:rPr>
          <w:rFonts w:ascii="Arial" w:cs="Arial" w:eastAsia="Arial" w:hAnsi="Arial"/>
          <w:sz w:val="16"/>
          <w:szCs w:val="16"/>
          <w:color w:val="auto"/>
        </w:rPr>
      </w:pPr>
    </w:p>
    <w:p>
      <w:pPr>
        <w:ind w:left="920" w:hanging="912"/>
        <w:spacing w:after="0" w:line="342" w:lineRule="auto"/>
        <w:tabs>
          <w:tab w:leader="none" w:pos="9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29" w:lineRule="exact"/>
        <w:rPr>
          <w:rFonts w:ascii="Arial" w:cs="Arial" w:eastAsia="Arial" w:hAnsi="Arial"/>
          <w:sz w:val="16"/>
          <w:szCs w:val="16"/>
          <w:color w:val="auto"/>
        </w:rPr>
      </w:pPr>
    </w:p>
    <w:p>
      <w:pPr>
        <w:ind w:left="920" w:right="60" w:hanging="912"/>
        <w:spacing w:after="0" w:line="277" w:lineRule="auto"/>
        <w:tabs>
          <w:tab w:leader="none" w:pos="9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Any partial prepayment under this Clause 8.16 shall reduce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the amount of each Repayment Instalment falling after that prepayment by the amount prepaid.</w:t>
      </w:r>
    </w:p>
    <w:p>
      <w:pPr>
        <w:spacing w:after="0" w:line="315" w:lineRule="exact"/>
        <w:rPr>
          <w:sz w:val="20"/>
          <w:szCs w:val="20"/>
          <w:color w:val="auto"/>
        </w:rPr>
      </w:pPr>
    </w:p>
    <w:p>
      <w:pPr>
        <w:ind w:left="920" w:hanging="912"/>
        <w:spacing w:after="0"/>
        <w:tabs>
          <w:tab w:leader="none" w:pos="92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/SUBSEQUENT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Documents, fees and no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Lender’s obligation to contribute to an Advance is subject to the following conditions precedent:</w:t>
      </w:r>
    </w:p>
    <w:p>
      <w:pPr>
        <w:spacing w:after="0" w:line="131" w:lineRule="exact"/>
        <w:rPr>
          <w:sz w:val="20"/>
          <w:szCs w:val="20"/>
          <w:color w:val="auto"/>
        </w:rPr>
      </w:pPr>
    </w:p>
    <w:p>
      <w:pPr>
        <w:ind w:left="920" w:hanging="912"/>
        <w:spacing w:after="0"/>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on or before the date of this Agreement, the Facility Agent receives: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documents described in Part A of Schedule 3 in a form and substance satisfactory to the Facility Agent and its lawyers; and</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payment in full of any expenses payable pursuant to Clause 20.2;</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on the Drawdown Date in respect of each Delivery Advance, the Facility Agent receives: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documents described in Part B of Schedule 3 in form and substance satisfactory to it and its lawyers;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all accrued commitment fee due and payable pursuant to Clause 20.1;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270" w:right="359" w:bottom="1440" w:gutter="0" w:footer="0" w:header="0"/>
        </w:sectPr>
      </w:pPr>
    </w:p>
    <w:bookmarkStart w:id="212" w:name="page213"/>
    <w:bookmarkEnd w:id="212"/>
    <w:p>
      <w:pPr>
        <w:ind w:left="1700" w:hanging="787"/>
        <w:spacing w:after="0"/>
        <w:tabs>
          <w:tab w:leader="none" w:pos="17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full of any expenses payable pursuant to Clause 20.2 which are due and payable on that Drawdown Date;</w:t>
      </w:r>
    </w:p>
    <w:p>
      <w:pPr>
        <w:spacing w:after="0" w:line="130"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that, on or before service of a Drawdown Notice in respect of an Advance under Tranche D or E (other than the Delivery Advance), the Facility Agent receives:</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documents described in Part C of Schedule 3 in form and substance satisfactory to it and its lawyers;</w:t>
      </w:r>
    </w:p>
    <w:p>
      <w:pPr>
        <w:spacing w:after="0" w:line="131" w:lineRule="exact"/>
        <w:rPr>
          <w:sz w:val="20"/>
          <w:szCs w:val="20"/>
          <w:color w:val="auto"/>
        </w:rPr>
      </w:pPr>
    </w:p>
    <w:p>
      <w:pPr>
        <w:ind w:left="1700" w:hanging="787"/>
        <w:spacing w:after="0"/>
        <w:tabs>
          <w:tab w:leader="none" w:pos="17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accrued commitment fee due and payable pursuant to Clause 20.1;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payment in full of any expenses payable pursuant to Clause 20.2 which are due and payable on the relevant Drawdown Date;</w:t>
      </w:r>
    </w:p>
    <w:p>
      <w:pPr>
        <w:spacing w:after="0" w:line="1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that both at the date of each Drawdown Notice and at each Drawdown Date:</w:t>
      </w:r>
    </w:p>
    <w:p>
      <w:pPr>
        <w:spacing w:after="0" w:line="135" w:lineRule="exact"/>
        <w:rPr>
          <w:sz w:val="20"/>
          <w:szCs w:val="20"/>
          <w:color w:val="auto"/>
        </w:rPr>
      </w:pPr>
    </w:p>
    <w:p>
      <w:pPr>
        <w:ind w:left="1700" w:right="220" w:hanging="787"/>
        <w:spacing w:after="0" w:line="277" w:lineRule="auto"/>
        <w:tabs>
          <w:tab w:leader="none" w:pos="17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borrowing of the relevant Advance; and</w:t>
      </w:r>
    </w:p>
    <w:p>
      <w:pPr>
        <w:spacing w:after="0" w:line="75" w:lineRule="exact"/>
        <w:rPr>
          <w:rFonts w:ascii="Arial" w:cs="Arial" w:eastAsia="Arial" w:hAnsi="Arial"/>
          <w:sz w:val="18"/>
          <w:szCs w:val="18"/>
          <w:color w:val="auto"/>
        </w:rPr>
      </w:pPr>
    </w:p>
    <w:p>
      <w:pPr>
        <w:jc w:val="both"/>
        <w:ind w:left="1700" w:hanging="787"/>
        <w:spacing w:after="0" w:line="342" w:lineRule="auto"/>
        <w:tabs>
          <w:tab w:leader="none" w:pos="170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representations and warranties in Clause 10 and those of any Borrower or any Security Party which are set out in the other Finance Documents would be true and not misleading if repeated on each of those dates with reference to the circumstances then existing; and</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5.6 has occurred and is continuing;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there is no Material Adverse Change in existence;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Facility Agent receives any fees referred to in Clause 20.1 which are due and payable at that time;</w:t>
      </w:r>
    </w:p>
    <w:p>
      <w:pPr>
        <w:spacing w:after="0" w:line="130" w:lineRule="exact"/>
        <w:rPr>
          <w:rFonts w:ascii="Arial" w:cs="Arial" w:eastAsia="Arial" w:hAnsi="Arial"/>
          <w:sz w:val="18"/>
          <w:szCs w:val="18"/>
          <w:color w:val="auto"/>
        </w:rPr>
      </w:pPr>
    </w:p>
    <w:p>
      <w:pPr>
        <w:ind w:left="920" w:right="40" w:hanging="912"/>
        <w:spacing w:after="0" w:line="277"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that, if either Security Cover Ratio were applied immediately following the making of the relevant Advance, the Borrowers would not be obliged to provide additional security or prepay part of the Loan under that Clause; and</w:t>
      </w:r>
    </w:p>
    <w:p>
      <w:pPr>
        <w:spacing w:after="0" w:line="75" w:lineRule="exact"/>
        <w:rPr>
          <w:rFonts w:ascii="Arial" w:cs="Arial" w:eastAsia="Arial" w:hAnsi="Arial"/>
          <w:sz w:val="18"/>
          <w:szCs w:val="18"/>
          <w:color w:val="auto"/>
        </w:rPr>
      </w:pPr>
    </w:p>
    <w:p>
      <w:pPr>
        <w:jc w:val="both"/>
        <w:ind w:left="920" w:right="260" w:hanging="912"/>
        <w:spacing w:after="0" w:line="264" w:lineRule="auto"/>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that the Facility Agent has received, and found to be acceptable to it, any further opinions, consents, agreements and documents in connection with the Finance Documents which the Facility Agent may, with the authorisation of the Majority Lenders, request by notice to the Borrowers prior to the relevant Drawdown Date.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Waiver of conditions precedent</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If the Majority Lenders, at their discretion, permit an Advance to be borrowed before certain of the conditions referred to in Clause 9.1 are satisfied, the Borrowers shall ensure that those conditions are satisfied within 5 Business Days after the relevant Drawdown Date (or such longer period as the Facility Agent may, with the authorisation of the Majority Lenders, specify).</w:t>
      </w:r>
    </w:p>
    <w:p>
      <w:pPr>
        <w:spacing w:after="0" w:line="326" w:lineRule="exact"/>
        <w:rPr>
          <w:sz w:val="20"/>
          <w:szCs w:val="20"/>
          <w:color w:val="auto"/>
        </w:rPr>
      </w:pPr>
    </w:p>
    <w:p>
      <w:pPr>
        <w:ind w:left="920" w:hanging="912"/>
        <w:spacing w:after="0"/>
        <w:tabs>
          <w:tab w:leader="none" w:pos="92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Each Borrower represents and warrants to each Creditor Party as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13" w:name="page214"/>
    <w:bookmarkEnd w:id="21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is a company duly incorporated, validly existing and in good standing under the laws of Liberia.</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Capital</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Each Borrower has an authorised share capital divided into 100 registered and/or bearer shares, each of no par value, all of which shares have been fully paid issued in registered form and the legal title and beneficial ownership of all shares is held free of any Security Interests (except for Permitted Security Interests) or any other claim by the person or persons disclosed by the Borrowers to the Facility Agent in writing on or prior to the date of this Agreement.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Each Borrower has the corporate capacity, and has taken all partnership or corporate action and obtained all consents necessary for it:</w:t>
      </w:r>
    </w:p>
    <w:p>
      <w:pPr>
        <w:spacing w:after="0" w:line="131" w:lineRule="exact"/>
        <w:rPr>
          <w:sz w:val="20"/>
          <w:szCs w:val="20"/>
          <w:color w:val="auto"/>
        </w:rPr>
      </w:pPr>
    </w:p>
    <w:p>
      <w:pPr>
        <w:ind w:left="920" w:right="80" w:hanging="912"/>
        <w:spacing w:after="0" w:line="277" w:lineRule="auto"/>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execute the Shipbuilding Contract to which it is a party and any addenda thereto, to purchase and pay for the Ship to be owned by it under the relevant Shipbuilding Contract and register the Ship in its name under an Approved Flag;</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enter into, and perform its obligations under, any Charterparty to which it is or, as the case may be, is to become a party;</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execute the Finance Documents to which that Borrower is a party; and</w:t>
      </w:r>
    </w:p>
    <w:p>
      <w:pPr>
        <w:spacing w:after="0" w:line="13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borrow under this Agreement, to enter into Designated Transactions under a Master Agreement and to make all the payments contemplated by, and to comply with, those Finance Documents to which that Borrower is a party.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The Finance Documents to which each Borrower is a party, do now or, as the case may be, will, upon execution and delivery (and, where applicable, registration as provided for in the Finance Documents):</w:t>
      </w:r>
    </w:p>
    <w:p>
      <w:pPr>
        <w:spacing w:after="0" w:line="76" w:lineRule="exact"/>
        <w:rPr>
          <w:sz w:val="20"/>
          <w:szCs w:val="20"/>
          <w:color w:val="auto"/>
        </w:rPr>
      </w:pPr>
    </w:p>
    <w:p>
      <w:pPr>
        <w:ind w:left="920" w:hanging="912"/>
        <w:spacing w:after="0"/>
        <w:tabs>
          <w:tab w:leader="none" w:pos="9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constitute that Borrower’s legal, valid and binding obligations enforceable against that Borrower in accordance with their respective terms; and</w:t>
      </w:r>
    </w:p>
    <w:p>
      <w:pPr>
        <w:spacing w:after="0" w:line="153" w:lineRule="exact"/>
        <w:rPr>
          <w:rFonts w:ascii="Arial" w:cs="Arial" w:eastAsia="Arial" w:hAnsi="Arial"/>
          <w:sz w:val="16"/>
          <w:szCs w:val="16"/>
          <w:color w:val="auto"/>
        </w:rPr>
      </w:pPr>
    </w:p>
    <w:p>
      <w:pPr>
        <w:ind w:left="920" w:right="140" w:hanging="912"/>
        <w:spacing w:after="0" w:line="277" w:lineRule="auto"/>
        <w:tabs>
          <w:tab w:leader="none" w:pos="9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Without limiting the generality of Clause 10.6, at the time of the execution and delivery of each Finance Document to which that Borrower is a party:</w:t>
      </w:r>
    </w:p>
    <w:p>
      <w:pPr>
        <w:spacing w:after="0" w:line="76" w:lineRule="exact"/>
        <w:rPr>
          <w:sz w:val="20"/>
          <w:szCs w:val="20"/>
          <w:color w:val="auto"/>
        </w:rPr>
      </w:pPr>
    </w:p>
    <w:p>
      <w:pPr>
        <w:ind w:left="5620" w:right="1780" w:hanging="5612"/>
        <w:spacing w:after="0" w:line="449" w:lineRule="auto"/>
        <w:tabs>
          <w:tab w:leader="none" w:pos="90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that Borrower will have the right to create all the Security Interests which that Finance Document purports to create; and 40</w:t>
      </w:r>
    </w:p>
    <w:p>
      <w:pPr>
        <w:sectPr>
          <w:pgSz w:w="11900" w:h="16838" w:orient="portrait"/>
          <w:cols w:equalWidth="0" w:num="1">
            <w:col w:w="11380"/>
          </w:cols>
          <w:pgMar w:left="240" w:top="270" w:right="279" w:bottom="1440" w:gutter="0" w:footer="0" w:header="0"/>
        </w:sectPr>
      </w:pPr>
    </w:p>
    <w:bookmarkStart w:id="214" w:name="page215"/>
    <w:bookmarkEnd w:id="214"/>
    <w:p>
      <w:pPr>
        <w:ind w:left="920" w:hanging="912"/>
        <w:spacing w:after="0" w:line="277" w:lineRule="auto"/>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third party will have any Security Interest (except for Permitted Security Interests) or any other interest, right or claim over, in or in relation to any asset to which any such Security Interest, by its terms, relates.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The execution by each Borrower of each Finance Document to which it is a party, and the borrowing by that Borrower of the Loan, and its compliance with each Finance Document to which it is a party will not involve or lead to a contravention of:</w:t>
      </w:r>
    </w:p>
    <w:p>
      <w:pPr>
        <w:sectPr>
          <w:pgSz w:w="11900" w:h="16838" w:orient="portrait"/>
          <w:cols w:equalWidth="0" w:num="1">
            <w:col w:w="11380"/>
          </w:cols>
          <w:pgMar w:left="240" w:top="274" w:right="27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any law or regulation; or</w:t>
      </w:r>
    </w:p>
    <w:p>
      <w:pPr>
        <w:spacing w:after="0" w:line="154" w:lineRule="exact"/>
        <w:rPr>
          <w:sz w:val="20"/>
          <w:szCs w:val="20"/>
          <w:color w:val="auto"/>
        </w:rPr>
      </w:pPr>
    </w:p>
    <w:p>
      <w:pPr>
        <w:sectPr>
          <w:pgSz w:w="11900" w:h="16838" w:orient="portrait"/>
          <w:cols w:equalWidth="0" w:num="2">
            <w:col w:w="200" w:space="720"/>
            <w:col w:w="10460"/>
          </w:cols>
          <w:pgMar w:left="240" w:top="274" w:right="27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constitutional documents of that Borrower; or</w:t>
      </w:r>
    </w:p>
    <w:p>
      <w:pPr>
        <w:spacing w:after="0" w:line="153" w:lineRule="exact"/>
        <w:rPr>
          <w:sz w:val="20"/>
          <w:szCs w:val="20"/>
          <w:color w:val="auto"/>
        </w:rPr>
      </w:pPr>
    </w:p>
    <w:p>
      <w:pPr>
        <w:sectPr>
          <w:pgSz w:w="11900" w:h="16838" w:orient="portrait"/>
          <w:cols w:equalWidth="0" w:num="2">
            <w:col w:w="220" w:space="700"/>
            <w:col w:w="1046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contractual or other obligation or restriction which is binding on that Borrower or any of its assets,</w:t>
      </w:r>
    </w:p>
    <w:p>
      <w:pPr>
        <w:spacing w:after="0" w:line="140" w:lineRule="exact"/>
        <w:rPr>
          <w:sz w:val="20"/>
          <w:szCs w:val="20"/>
          <w:color w:val="auto"/>
        </w:rPr>
      </w:pPr>
    </w:p>
    <w:p>
      <w:pPr>
        <w:sectPr>
          <w:pgSz w:w="11900" w:h="16838" w:orient="portrait"/>
          <w:cols w:equalWidth="0" w:num="2">
            <w:col w:w="200" w:space="720"/>
            <w:col w:w="10460"/>
          </w:cols>
          <w:pgMar w:left="240" w:top="274"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and will not have a Material Adverse Effect.</w:t>
      </w:r>
    </w:p>
    <w:p>
      <w:pPr>
        <w:sectPr>
          <w:pgSz w:w="11900" w:h="16838" w:orient="portrait"/>
          <w:cols w:equalWidth="0" w:num="1">
            <w:col w:w="11380"/>
          </w:cols>
          <w:pgMar w:left="240" w:top="274" w:right="279" w:bottom="1440" w:gutter="0" w:footer="0" w:header="0"/>
          <w:type w:val="continuous"/>
        </w:sect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10.9</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withholding taxes</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All payments which each Borrower is liable to make under the Finance Documents may be made without deduction or withholding for or on</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account of any tax payable under any law of any Pertinent Jurisdiction.</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10.10</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default</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No Event of Default or Potential Event of Default has occurred and is continuing.</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10.11</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Information</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All information which has been provided in writing by or on behalf of each Borrower or any Security Party to any Creditor Party in connection</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with any Finance Document satisfied the requirements of Clause 11.5; all audited and unaudited accounts which have been so provided satisfied</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the requirements of Clause 11.7; and there has been no material adverse change in the financial position or state of affairs of any Borrower from</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that disclosed in the latest of those accounts which is likely to have a Material Adverse Effect.</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10.12</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litigation</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No legal or administrative action involving any Borrower or any Security Party (including action relating to any alleged or actual breach of the</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ISM Code or the ISPC Code) has been commenced or taken or, to any Borrower’s knowledge, is likely to be commenced or taken which would,</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in either case, be likely to have a Material Adverse Effect.</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10.13</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Validity and completeness of Underlying Documents</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Each of the Underlying Documents constitutes valid, binding and enforceable obligations of the parties thereto in accordance with its terms; and:</w:t>
            </w:r>
          </w:p>
        </w:tc>
      </w:tr>
    </w:tbl>
    <w:p>
      <w:pPr>
        <w:spacing w:after="0" w:line="107" w:lineRule="exact"/>
        <w:rPr>
          <w:sz w:val="20"/>
          <w:szCs w:val="20"/>
          <w:color w:val="auto"/>
        </w:rPr>
      </w:pPr>
    </w:p>
    <w:p>
      <w:pPr>
        <w:ind w:left="920" w:right="180" w:hanging="912"/>
        <w:spacing w:after="0" w:line="277" w:lineRule="auto"/>
        <w:tabs>
          <w:tab w:leader="none" w:pos="9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copies of each Underlying Document delivered to the Facility Agent before the date of this Agreement is a true and complete copy thereof; and</w:t>
      </w:r>
    </w:p>
    <w:p>
      <w:pPr>
        <w:spacing w:after="0" w:line="75" w:lineRule="exact"/>
        <w:rPr>
          <w:rFonts w:ascii="Arial" w:cs="Arial" w:eastAsia="Arial" w:hAnsi="Arial"/>
          <w:sz w:val="18"/>
          <w:szCs w:val="18"/>
          <w:color w:val="auto"/>
        </w:rPr>
      </w:pPr>
    </w:p>
    <w:p>
      <w:pPr>
        <w:ind w:left="920" w:right="380" w:hanging="912"/>
        <w:spacing w:after="0" w:line="277" w:lineRule="auto"/>
        <w:tabs>
          <w:tab w:leader="none" w:pos="9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amendments or additions to any Underlying Document have been agreed nor has any of the parties thereto waived any of their respective rights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type w:val="continuous"/>
        </w:sectPr>
      </w:pPr>
    </w:p>
    <w:bookmarkStart w:id="215" w:name="page216"/>
    <w:bookmarkEnd w:id="21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10.14</w:t>
      </w:r>
      <w:r>
        <w:rPr>
          <w:sz w:val="20"/>
          <w:szCs w:val="20"/>
          <w:color w:val="auto"/>
        </w:rPr>
        <w:tab/>
      </w:r>
      <w:r>
        <w:rPr>
          <w:rFonts w:ascii="Arial" w:cs="Arial" w:eastAsia="Arial" w:hAnsi="Arial"/>
          <w:sz w:val="15"/>
          <w:szCs w:val="15"/>
          <w:b w:val="1"/>
          <w:bCs w:val="1"/>
          <w:color w:val="auto"/>
        </w:rPr>
        <w:t>No rebates etc.</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There is no agreement or understanding to allow or pay any rebate, premium, commission, discount or other benefit or payment (howsoever described) to any Borrower, any other member of a Group or any affiliate thereof (including, without limitation, the Substitute Guarantor or any subsidiary of the Substitute Guarantor) in connection with the acquisition of any of the Ships.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10.15</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Compliance with certain undertakings</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At the date of this Agreement, each Borrower is in compliance with Clauses 11.2, 11.4, 11.7 and 11.12.</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10.16</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Taxes paid</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Each Borrower has paid all taxes applicable to, or imposed on or in relation to that Borrower and its business.</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10.17</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ISM and ISPS Code compliance</w:t>
            </w:r>
          </w:p>
        </w:tc>
      </w:tr>
      <w:tr>
        <w:trPr>
          <w:trHeight w:val="310"/>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All requirements of (i) the ISM Code as they relate to the Approved Manager have been complied with and (ii) the ISM Code and the ISPS Code</w:t>
            </w:r>
          </w:p>
        </w:tc>
      </w:tr>
      <w:tr>
        <w:trPr>
          <w:trHeight w:val="230"/>
        </w:trPr>
        <w:tc>
          <w:tcPr>
            <w:tcW w:w="66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as they relate to each Borrower and each Ship will be complied with by no later than the actual Delivery Date relative thereto.</w:t>
            </w:r>
          </w:p>
        </w:tc>
      </w:tr>
      <w:tr>
        <w:trPr>
          <w:trHeight w:val="581"/>
        </w:trPr>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10.18</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 Money laundering</w:t>
            </w:r>
          </w:p>
        </w:tc>
      </w:tr>
      <w:tr>
        <w:trPr>
          <w:trHeight w:val="324"/>
        </w:trPr>
        <w:tc>
          <w:tcPr>
            <w:tcW w:w="66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No Borrower will, and will procure that no Security Party, to the extent applicable, will, in connection with this Agreement or any of the other</w:t>
            </w:r>
          </w:p>
        </w:tc>
      </w:tr>
    </w:tbl>
    <w:p>
      <w:pPr>
        <w:ind w:left="920" w:right="40"/>
        <w:spacing w:after="0" w:line="253" w:lineRule="auto"/>
        <w:rPr>
          <w:sz w:val="20"/>
          <w:szCs w:val="20"/>
          <w:color w:val="auto"/>
        </w:rPr>
      </w:pPr>
      <w:r>
        <w:rPr>
          <w:rFonts w:ascii="Arial" w:cs="Arial" w:eastAsia="Arial" w:hAnsi="Arial"/>
          <w:sz w:val="18"/>
          <w:szCs w:val="18"/>
          <w:color w:val="auto"/>
        </w:rPr>
        <w:t>Finance Documents, contravene or permit any subsidiary to contravene, any law, official requirement or other regulatory measure or procedure implemented to combat “money laundering” (as defined in Article 1 of the Directive 2005/60/EC of the European Parliament and of the Council of the European Union of 26 October 2005) and comparable United States Federal and state laws. Each Borrower shall further submit any documents and declarations on request, if such documents or declarations are required by any Creditor Party to comply with its domestic money laundering and/or legal identification requirements; and</w:t>
      </w:r>
    </w:p>
    <w:p>
      <w:pPr>
        <w:spacing w:after="0" w:line="83"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Each Borrower will promptly inform the Facility Agent by written notice, if it is not or ceases to be the beneficiary and will provide in writing the name and address of the beneficiary.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Facility Agent shall promptly notify the Lenders of any written notice it receives under this Clause 10.8.</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color w:val="auto"/>
        </w:rPr>
        <w:t>No Immunity</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Each Borrower is subject to suit and to commercial law and neither it nor any of its properties have any right of immunity from suit, execution, attachment or other legal process in the Republic of Liberia.</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5"/>
          <w:szCs w:val="15"/>
          <w:b w:val="1"/>
          <w:bCs w:val="1"/>
          <w:color w:val="auto"/>
        </w:rPr>
        <w:t>Sanctions</w:t>
      </w:r>
    </w:p>
    <w:p>
      <w:pPr>
        <w:spacing w:after="0" w:line="135" w:lineRule="exact"/>
        <w:rPr>
          <w:sz w:val="20"/>
          <w:szCs w:val="20"/>
          <w:color w:val="auto"/>
        </w:rPr>
      </w:pPr>
    </w:p>
    <w:p>
      <w:pPr>
        <w:ind w:left="920" w:right="20" w:hanging="912"/>
        <w:spacing w:after="0" w:line="264" w:lineRule="auto"/>
        <w:tabs>
          <w:tab w:leader="none" w:pos="9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Borrower, the Guarantor and its subsidiaries and any other member of a Group, each other Security Party and their respective directors, officers, employees and, to the best of each Borrower’s knowledge and belief having made due and careful enquiry, agents or representatives has been and is in compliance with applicable Sanctions;</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Borrower, no Security Party and no member of a Group:</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is a Designated Person;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has violated or is violating any applicable Sanctions;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0" w:right="299" w:bottom="1440" w:gutter="0" w:footer="0" w:header="0"/>
        </w:sectPr>
      </w:pPr>
    </w:p>
    <w:bookmarkStart w:id="216" w:name="page217"/>
    <w:bookmarkEnd w:id="216"/>
    <w:p>
      <w:pPr>
        <w:ind w:left="1700" w:right="100" w:hanging="787"/>
        <w:spacing w:after="0" w:line="302" w:lineRule="auto"/>
        <w:tabs>
          <w:tab w:leader="none" w:pos="17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using or will use, directly or indirectly, the proceeds of the Loan, or lend, contribute or otherwise make available such proceeds to any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 whether as underwriter, advisor, investor, or otherwise); or</w:t>
      </w:r>
    </w:p>
    <w:p>
      <w:pPr>
        <w:spacing w:after="0" w:line="59" w:lineRule="exact"/>
        <w:rPr>
          <w:rFonts w:ascii="Arial" w:cs="Arial" w:eastAsia="Arial" w:hAnsi="Arial"/>
          <w:sz w:val="16"/>
          <w:szCs w:val="16"/>
          <w:color w:val="auto"/>
        </w:rPr>
      </w:pPr>
    </w:p>
    <w:p>
      <w:pPr>
        <w:ind w:left="1700" w:right="180" w:hanging="787"/>
        <w:spacing w:after="0" w:line="277" w:lineRule="auto"/>
        <w:tabs>
          <w:tab w:leader="none" w:pos="17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is subject to or involved in any inquiry, claim, action, suit, proceeding or investigation against it with respect to applicable Sanctions by any Sanctions Authority;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Designated Person directly or indirectly holds any of a Borrower’s or Security Party’s share capital.</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6"/>
          <w:szCs w:val="16"/>
          <w:b w:val="1"/>
          <w:bCs w:val="1"/>
          <w:color w:val="auto"/>
        </w:rPr>
        <w:t>Choice of law</w:t>
      </w:r>
    </w:p>
    <w:p>
      <w:pPr>
        <w:spacing w:after="0" w:line="12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The choice of the laws of England to govern the Loan Agreement and those other Finance Documents which are expressed to be governed by the laws of England constitutes a valid choice of law and the submission by each Borrower thereunder to the non-exclusive jurisdiction of the Courts of England is a valid submission and does not contravene the laws of Liberia and the laws of England will be applied by the Courts of Liberia if the Loan Agreement or those other Finance Documents or any claim thereunder comes under their jurisdiction upon proof of the relevant provisions of the laws of England.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representations and warranties in this Clause 10 shall be deemed to be repeated by each Borrower:</w:t>
      </w:r>
    </w:p>
    <w:p>
      <w:pPr>
        <w:spacing w:after="0" w:line="131" w:lineRule="exact"/>
        <w:rPr>
          <w:sz w:val="20"/>
          <w:szCs w:val="20"/>
          <w:color w:val="auto"/>
        </w:rPr>
      </w:pPr>
    </w:p>
    <w:p>
      <w:pPr>
        <w:ind w:left="920" w:hanging="912"/>
        <w:spacing w:after="0"/>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on the date of service of each Drawdown Notice;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on each Drawdown Date; and</w:t>
      </w:r>
    </w:p>
    <w:p>
      <w:pPr>
        <w:spacing w:after="0" w:line="130" w:lineRule="exact"/>
        <w:rPr>
          <w:rFonts w:ascii="Arial" w:cs="Arial" w:eastAsia="Arial" w:hAnsi="Arial"/>
          <w:sz w:val="18"/>
          <w:szCs w:val="18"/>
          <w:color w:val="auto"/>
        </w:rPr>
      </w:pPr>
    </w:p>
    <w:p>
      <w:pPr>
        <w:ind w:left="920" w:right="4380" w:hanging="912"/>
        <w:spacing w:after="0" w:line="483" w:lineRule="auto"/>
        <w:tabs>
          <w:tab w:leader="none" w:pos="91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with the exception of Clauses 10.9 and 10.12, on the first day of each Interest Period, as if made with reference to the facts and circumstances existing on each such day.</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10.23</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nor any Security Party is a FATCA FFI or a US Tax Obligor.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10.24</w:t>
      </w:r>
      <w:r>
        <w:rPr>
          <w:sz w:val="20"/>
          <w:szCs w:val="20"/>
          <w:color w:val="auto"/>
        </w:rPr>
        <w:tab/>
      </w:r>
      <w:r>
        <w:rPr>
          <w:rFonts w:ascii="Arial" w:cs="Arial" w:eastAsia="Arial" w:hAnsi="Arial"/>
          <w:sz w:val="16"/>
          <w:szCs w:val="16"/>
          <w:b w:val="1"/>
          <w:bCs w:val="1"/>
          <w:color w:val="auto"/>
        </w:rPr>
        <w:t>Delivery Security and other documentation and evidence</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If a Drawdown Notice is not issued in respect of the Delivery Advance of Tranche D or Tranche E or, in the case of Tranche A, Tranche B or Tranche C, the Tranche itself or any of the aforementioned Advances or Tranches is not for any reason made available, the Borrower owning the Ship to be financed by such Tranche shall, on the Delivery Date of such Ship, execute and deliver the documents and evidence referred to in Part C of Schedule 3, with necessary modifications (if any) to reflect that the relevant Delivery Advance or such Tranche has not been made available, in form and substance satisfactory to the Facility Agent.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217" w:name="page218"/>
    <w:bookmarkEnd w:id="217"/>
    <w:p>
      <w:pPr>
        <w:ind w:left="920" w:hanging="912"/>
        <w:spacing w:after="0"/>
        <w:tabs>
          <w:tab w:leader="none" w:pos="92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Each Borrower undertakes with each Creditor Party to comply with the following provisions of this Clause 11 at all times during the Security Period except as the Facility Agent may, with the authorisation of the Majority Lenders, or, where specified, all Lenders, otherwise permit (which permission shall not be unreasonably withheld or delayed in connection with Clause 11.11).</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Title; negative pledge and pari passu ranking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w:t>
      </w:r>
    </w:p>
    <w:p>
      <w:pPr>
        <w:spacing w:after="0" w:line="131" w:lineRule="exact"/>
        <w:rPr>
          <w:sz w:val="20"/>
          <w:szCs w:val="20"/>
          <w:color w:val="auto"/>
        </w:rPr>
      </w:pPr>
    </w:p>
    <w:p>
      <w:pPr>
        <w:ind w:left="920" w:hanging="912"/>
        <w:spacing w:after="0" w:line="264" w:lineRule="auto"/>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from the Delivery Date of its Ship, hold the legal title to, and own the entire beneficial interest in its Ship free from all Security Interests and other interests and rights of every kind, except for those created by the Finance Documents and the effect of assignments contained in the Finance Documents and except for Permitted Security Interests;</w:t>
      </w:r>
    </w:p>
    <w:p>
      <w:pPr>
        <w:spacing w:after="0" w:line="86"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 create or permit to arise any Security Interest over any other asset, present or future other than in the normal course of its business of owning and operating of the Ship owned by it; and</w:t>
      </w:r>
    </w:p>
    <w:p>
      <w:pPr>
        <w:spacing w:after="0" w:line="75" w:lineRule="exact"/>
        <w:rPr>
          <w:rFonts w:ascii="Arial" w:cs="Arial" w:eastAsia="Arial" w:hAnsi="Arial"/>
          <w:sz w:val="18"/>
          <w:szCs w:val="18"/>
          <w:color w:val="auto"/>
        </w:rPr>
      </w:pPr>
    </w:p>
    <w:p>
      <w:pPr>
        <w:ind w:left="920" w:right="360" w:hanging="912"/>
        <w:spacing w:after="0" w:line="277" w:lineRule="auto"/>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No disposal of assets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will transfer, lease or otherwise dispose of:</w:t>
      </w:r>
    </w:p>
    <w:p>
      <w:pPr>
        <w:spacing w:after="0" w:line="131" w:lineRule="exact"/>
        <w:rPr>
          <w:sz w:val="20"/>
          <w:szCs w:val="20"/>
          <w:color w:val="auto"/>
        </w:rPr>
      </w:pPr>
    </w:p>
    <w:p>
      <w:pPr>
        <w:ind w:left="920" w:hanging="912"/>
        <w:spacing w:after="0"/>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Shipbuilding Contract to which it is a party;</w:t>
      </w:r>
    </w:p>
    <w:p>
      <w:pPr>
        <w:spacing w:after="0" w:line="130" w:lineRule="exact"/>
        <w:rPr>
          <w:rFonts w:ascii="Arial" w:cs="Arial" w:eastAsia="Arial" w:hAnsi="Arial"/>
          <w:sz w:val="18"/>
          <w:szCs w:val="18"/>
          <w:color w:val="auto"/>
        </w:rPr>
      </w:pPr>
    </w:p>
    <w:p>
      <w:pPr>
        <w:ind w:left="920" w:right="500" w:hanging="912"/>
        <w:spacing w:after="0" w:line="277" w:lineRule="auto"/>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or a substantial part of its assets, whether by one transaction or a number of transactions, whether related or not if such transfer, lease or disposal results or in the occurrence of an Event of Default; or</w:t>
      </w:r>
    </w:p>
    <w:p>
      <w:pPr>
        <w:spacing w:after="0" w:line="75" w:lineRule="exact"/>
        <w:rPr>
          <w:rFonts w:ascii="Arial" w:cs="Arial" w:eastAsia="Arial" w:hAnsi="Arial"/>
          <w:sz w:val="18"/>
          <w:szCs w:val="18"/>
          <w:color w:val="auto"/>
        </w:rPr>
      </w:pPr>
    </w:p>
    <w:p>
      <w:pPr>
        <w:ind w:left="920" w:right="1020" w:hanging="912"/>
        <w:spacing w:after="0" w:line="277" w:lineRule="auto"/>
        <w:tabs>
          <w:tab w:leader="none" w:pos="9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debt payable to it or any other right (present, future or contingent right) to receive a payment, including any right to damages or compensation,</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but paragraph (a) does not apply to any charter of a Ship as to which Clause 14.14 applies.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All financial and other information, including, but not limited to factual information, exhibits and reports, which is provided in writing by or on behalf of a Borrower under or in connection with any Finance Document will be true and not misleading and will not omit any material fact or consideration.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No other liabilities or obligations to be incurred</w:t>
      </w:r>
    </w:p>
    <w:p>
      <w:pPr>
        <w:spacing w:after="0" w:line="121"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No Borrower will incur any liability or obligation (including, without limitation, any Financial Indebtedness) except (a) any shareholder loan owing to the Guarantor in an amount not exceeding the amount of Tranche A provided that it is repaid by the Borrowers in full on the Drawdown Date in respect of Ship A, (b) liabilities and obligations under the Underlying Documents and the Finance Documents to which it is a party and</w:t>
      </w:r>
    </w:p>
    <w:p>
      <w:pPr>
        <w:ind w:left="920" w:right="60" w:firstLine="1"/>
        <w:spacing w:after="0" w:line="254" w:lineRule="auto"/>
        <w:tabs>
          <w:tab w:leader="none" w:pos="116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liabilities or obligations reasonably incurred in the ordinary course of operating and chartering its Ship and, should the Lenders consent to the incurrence by a Borrower of any such obligations and/or liabilities, then that Borrower shall ensure that any such obligations and/or liabilities shall at all times be subordinated in priority to the obligations and liabilities of such Borrower under this Agreement and the other Finance Documents.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218" w:name="page219"/>
    <w:bookmarkEnd w:id="21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w:t>
      </w:r>
      <w:r>
        <w:rPr>
          <w:sz w:val="20"/>
          <w:szCs w:val="20"/>
          <w:color w:val="auto"/>
        </w:rPr>
        <w:tab/>
      </w:r>
      <w:r>
        <w:rPr>
          <w:rFonts w:ascii="Arial" w:cs="Arial" w:eastAsia="Arial" w:hAnsi="Arial"/>
          <w:sz w:val="16"/>
          <w:szCs w:val="16"/>
          <w:b w:val="1"/>
          <w:bCs w:val="1"/>
          <w:color w:val="auto"/>
        </w:rPr>
        <w:t>Creditor notices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Borrower will send to the Facility Agent, at the same time as they are despatched, copies of all communications which are despatched to all of its creditors or to the whole or any class of them.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Each Borrower will maintain in force and promptly obtain or renew, and will promptly send certified copies to the Facility Agent of, all consents required:</w:t>
      </w:r>
    </w:p>
    <w:p>
      <w:pPr>
        <w:spacing w:after="0" w:line="76" w:lineRule="exact"/>
        <w:rPr>
          <w:sz w:val="20"/>
          <w:szCs w:val="20"/>
          <w:color w:val="auto"/>
        </w:rPr>
      </w:pPr>
    </w:p>
    <w:p>
      <w:pPr>
        <w:ind w:left="920" w:hanging="912"/>
        <w:spacing w:after="0"/>
        <w:tabs>
          <w:tab w:leader="none" w:pos="9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for that Borrower to perform its obligations under any Finance Document and any Underlying Document to which that Borrower is party;</w:t>
      </w:r>
    </w:p>
    <w:p>
      <w:pPr>
        <w:spacing w:after="0" w:line="142" w:lineRule="exact"/>
        <w:rPr>
          <w:rFonts w:ascii="Arial" w:cs="Arial" w:eastAsia="Arial" w:hAnsi="Arial"/>
          <w:sz w:val="17"/>
          <w:szCs w:val="17"/>
          <w:color w:val="auto"/>
        </w:rPr>
      </w:pPr>
    </w:p>
    <w:p>
      <w:pPr>
        <w:ind w:left="920" w:hanging="912"/>
        <w:spacing w:after="0"/>
        <w:tabs>
          <w:tab w:leader="none" w:pos="9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and any Underlying Document to which that Borrower is party;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after the Delivery Date of its Ship, for that Borrower to own and operate that Ship,</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that Borrower will comply (or procure compliance as the case may be) with the terms of all such consents.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w:t>
      </w:r>
    </w:p>
    <w:p>
      <w:pPr>
        <w:spacing w:after="0" w:line="131" w:lineRule="exact"/>
        <w:rPr>
          <w:sz w:val="20"/>
          <w:szCs w:val="20"/>
          <w:color w:val="auto"/>
        </w:rPr>
      </w:pPr>
    </w:p>
    <w:p>
      <w:pPr>
        <w:ind w:left="920" w:right="80" w:hanging="912"/>
        <w:spacing w:after="0" w:line="277"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920" w:right="60" w:hanging="912"/>
        <w:spacing w:after="0" w:line="302" w:lineRule="auto"/>
        <w:tabs>
          <w:tab w:leader="none" w:pos="9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without limiting the generality of paragraph (a) above, at its own cost, promptly register, file, record or enrol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Each Borrower will provide the Facility Agent with details of any legal or administrative action involving that Borrower, any Security Party, any Underlying Document to which it is a party, its Ship, its Earnings or its Insurances as soon as such action is instituted unless it is clear that the legal or administrative action cannot be considered material in the context of any Finance Document.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No amendment to Master Agreements;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will:</w:t>
      </w:r>
    </w:p>
    <w:p>
      <w:pPr>
        <w:spacing w:after="0" w:line="131" w:lineRule="exact"/>
        <w:rPr>
          <w:sz w:val="20"/>
          <w:szCs w:val="20"/>
          <w:color w:val="auto"/>
        </w:rPr>
      </w:pPr>
    </w:p>
    <w:p>
      <w:pPr>
        <w:ind w:left="920" w:hanging="912"/>
        <w:spacing w:after="0"/>
        <w:tabs>
          <w:tab w:leader="none" w:pos="9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agree to any amendment or supplement to, or waive or fail to enforce, a Master Agreement or any of its provisions;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enter into any Transaction pursuant to a Master Agreement except Designated Transactions.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0" w:right="279" w:bottom="1440" w:gutter="0" w:footer="0" w:header="0"/>
        </w:sectPr>
      </w:pPr>
    </w:p>
    <w:bookmarkStart w:id="219" w:name="page220"/>
    <w:bookmarkEnd w:id="21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11.11</w:t>
      </w:r>
      <w:r>
        <w:rPr>
          <w:sz w:val="20"/>
          <w:szCs w:val="20"/>
          <w:color w:val="auto"/>
        </w:rPr>
        <w:tab/>
      </w:r>
      <w:r>
        <w:rPr>
          <w:rFonts w:ascii="Arial" w:cs="Arial" w:eastAsia="Arial" w:hAnsi="Arial"/>
          <w:sz w:val="16"/>
          <w:szCs w:val="16"/>
          <w:b w:val="1"/>
          <w:bCs w:val="1"/>
          <w:color w:val="auto"/>
        </w:rPr>
        <w:t>No amendment to any Underlying Document</w:t>
      </w:r>
    </w:p>
    <w:p>
      <w:pPr>
        <w:spacing w:after="0" w:line="121" w:lineRule="exact"/>
        <w:rPr>
          <w:sz w:val="20"/>
          <w:szCs w:val="20"/>
          <w:color w:val="auto"/>
        </w:rPr>
      </w:pPr>
    </w:p>
    <w:p>
      <w:pPr>
        <w:ind w:left="920" w:right="420"/>
        <w:spacing w:after="0" w:line="308" w:lineRule="auto"/>
        <w:rPr>
          <w:sz w:val="20"/>
          <w:szCs w:val="20"/>
          <w:color w:val="auto"/>
        </w:rPr>
      </w:pPr>
      <w:r>
        <w:rPr>
          <w:rFonts w:ascii="Arial" w:cs="Arial" w:eastAsia="Arial" w:hAnsi="Arial"/>
          <w:sz w:val="17"/>
          <w:szCs w:val="17"/>
          <w:color w:val="auto"/>
        </w:rPr>
        <w:t>No Borrower will agree to any amendment or supplement to, or waive or fail to enforce, any Underlying Document or any of its provisions without the prior written consent of the Lenders such consent not to be unreasonably withheld, delayed or conditioned.</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color w:val="auto"/>
        </w:rPr>
        <w:t>Principal place of business</w:t>
      </w:r>
    </w:p>
    <w:p>
      <w:pPr>
        <w:spacing w:after="0" w:line="121"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Each Borrower will maintain its place of business, and keep its corporate documents and records, at the address stated at Clause 28.2(a) and that Borrower will not establish nor do anything as a result of which it would be deemed to have, a place of business in England or the United States of America.</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Borrower will, within 2 Business Days after service by the Facility Agent of a written request, serve on the Facility Agent a notice which is signed by an officer of that Borrower and which:</w:t>
      </w:r>
    </w:p>
    <w:p>
      <w:pPr>
        <w:spacing w:after="0" w:line="76" w:lineRule="exact"/>
        <w:rPr>
          <w:sz w:val="20"/>
          <w:szCs w:val="20"/>
          <w:color w:val="auto"/>
        </w:rPr>
      </w:pPr>
    </w:p>
    <w:p>
      <w:pPr>
        <w:ind w:left="920" w:hanging="912"/>
        <w:spacing w:after="0"/>
        <w:tabs>
          <w:tab w:leader="none" w:pos="9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states that no Event of Default has occurred;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states that no Event of Default has occurred, except for a specified event or matter, of which all material details are given,</w:t>
      </w:r>
    </w:p>
    <w:p>
      <w:pPr>
        <w:spacing w:after="0" w:line="117" w:lineRule="exact"/>
        <w:rPr>
          <w:rFonts w:ascii="Arial" w:cs="Arial" w:eastAsia="Arial" w:hAnsi="Arial"/>
          <w:sz w:val="18"/>
          <w:szCs w:val="18"/>
          <w:color w:val="auto"/>
        </w:rPr>
      </w:pPr>
    </w:p>
    <w:p>
      <w:pPr>
        <w:ind w:left="920" w:right="60"/>
        <w:spacing w:after="0" w:line="264" w:lineRule="auto"/>
        <w:rPr>
          <w:rFonts w:ascii="Arial" w:cs="Arial" w:eastAsia="Arial" w:hAnsi="Arial"/>
          <w:sz w:val="18"/>
          <w:szCs w:val="18"/>
          <w:color w:val="auto"/>
        </w:rPr>
      </w:pPr>
      <w:r>
        <w:rPr>
          <w:rFonts w:ascii="Arial" w:cs="Arial" w:eastAsia="Arial" w:hAnsi="Arial"/>
          <w:sz w:val="18"/>
          <w:szCs w:val="18"/>
          <w:color w:val="auto"/>
        </w:rPr>
        <w:t>the Facility Agent may serve requests under this Clause 11.13 from time to time but only if asked to do so by a Lender or Lenders having Contributions exceeding 10 per cent. of the Loan or Commitments exceeding 10 per cent. of the Total Commitments; this Clause 11.13 does not affect that Borrower’s obligations under Clause 11.14.</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 notify the Facility Agent as soon as that Borrower becomes aware of:</w:t>
      </w:r>
    </w:p>
    <w:p>
      <w:pPr>
        <w:spacing w:after="0" w:line="131" w:lineRule="exact"/>
        <w:rPr>
          <w:sz w:val="20"/>
          <w:szCs w:val="20"/>
          <w:color w:val="auto"/>
        </w:rPr>
      </w:pPr>
    </w:p>
    <w:p>
      <w:pPr>
        <w:ind w:left="920" w:right="240" w:hanging="912"/>
        <w:spacing w:after="0" w:line="277" w:lineRule="auto"/>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occurrence of a Potential Event of Default and/or an Event of Default (and the steps, if any, being taken to remedy such Potential Event of Default and/or Event of Default);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will thereafter keep the Facility Agent fully up-to-date with all developments.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Provision of further information</w:t>
      </w:r>
    </w:p>
    <w:p>
      <w:pPr>
        <w:spacing w:after="0" w:line="121"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Each Borrower will, as soon as practicable after receiving the request, provide the Facility Agent with any additional financial or other information relating:</w:t>
      </w:r>
    </w:p>
    <w:p>
      <w:pPr>
        <w:spacing w:after="0" w:line="76" w:lineRule="exact"/>
        <w:rPr>
          <w:sz w:val="20"/>
          <w:szCs w:val="20"/>
          <w:color w:val="auto"/>
        </w:rPr>
      </w:pPr>
    </w:p>
    <w:p>
      <w:pPr>
        <w:ind w:left="920" w:hanging="912"/>
        <w:spacing w:after="0"/>
        <w:tabs>
          <w:tab w:leader="none" w:pos="9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it, the Ship owned by it, its Insurances and its Earnings;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which may be requested by the Facility Agent, the Security Trustee or any Lender at any time.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General and administrative costs</w:t>
      </w:r>
    </w:p>
    <w:p>
      <w:pPr>
        <w:spacing w:after="0" w:line="121" w:lineRule="exact"/>
        <w:rPr>
          <w:sz w:val="20"/>
          <w:szCs w:val="20"/>
          <w:color w:val="auto"/>
        </w:rPr>
      </w:pPr>
    </w:p>
    <w:p>
      <w:pPr>
        <w:jc w:val="both"/>
        <w:ind w:left="920" w:right="260"/>
        <w:spacing w:after="0" w:line="312" w:lineRule="auto"/>
        <w:rPr>
          <w:sz w:val="20"/>
          <w:szCs w:val="20"/>
          <w:color w:val="auto"/>
        </w:rPr>
      </w:pPr>
      <w:r>
        <w:rPr>
          <w:rFonts w:ascii="Arial" w:cs="Arial" w:eastAsia="Arial" w:hAnsi="Arial"/>
          <w:sz w:val="16"/>
          <w:szCs w:val="16"/>
          <w:color w:val="auto"/>
        </w:rPr>
        <w:t>Each Borrower shall ensure that the payment of all its general and administrative costs in connection with the ownership and operation of the Ship owned by it (including, without limitation, the payment of the management fees pursuant to the Management Agreements) shall be fully subordinated to its payment obligations under this Agreement and the other Finance Documents throughout the Security Period.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0" w:right="299" w:bottom="1440" w:gutter="0" w:footer="0" w:header="0"/>
        </w:sectPr>
      </w:pPr>
    </w:p>
    <w:bookmarkStart w:id="220" w:name="page221"/>
    <w:bookmarkEnd w:id="22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11.17</w:t>
      </w:r>
      <w:r>
        <w:rPr>
          <w:sz w:val="20"/>
          <w:szCs w:val="20"/>
          <w:color w:val="auto"/>
        </w:rPr>
        <w:tab/>
      </w:r>
      <w:r>
        <w:rPr>
          <w:rFonts w:ascii="Arial" w:cs="Arial" w:eastAsia="Arial" w:hAnsi="Arial"/>
          <w:sz w:val="15"/>
          <w:szCs w:val="15"/>
          <w:b w:val="1"/>
          <w:bCs w:val="1"/>
          <w:color w:val="auto"/>
        </w:rPr>
        <w:t>Provision of copies and translation of documents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Each Borrower will supply the Facility Agent with a sufficient number of copies of the documents referred to above to provide one copy for each Creditor Party; and if the Facility Agent so requires in respect of any of those documents, the Borrowers will provide a certified English translation prepared by a translator approved by the Facility Agent.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Hedging of interest rate risks</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Borrower may from time to time enter into Designated Transactions with the Swap Bank in order to hedge all or part of the interest rate risk under this Agreement.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Borrower shall and each Borrower shall ensure that none of the Security Parties shall become a FATCA FFI or a US Tax Obligor.</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20" w:right="260" w:hanging="912"/>
        <w:spacing w:after="0" w:line="277" w:lineRule="auto"/>
        <w:tabs>
          <w:tab w:leader="none" w:pos="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change in the status of that Borrower or any Security Party after the date of this Agreement (including a situation where a shareholder’s share in a Borrower or any Security Party rises above 25% of the total number of shares); or</w:t>
      </w:r>
    </w:p>
    <w:p>
      <w:pPr>
        <w:spacing w:after="0" w:line="75"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rFonts w:ascii="Arial" w:cs="Arial" w:eastAsia="Arial" w:hAnsi="Arial"/>
          <w:sz w:val="18"/>
          <w:szCs w:val="18"/>
          <w:color w:val="auto"/>
        </w:rPr>
      </w:pPr>
    </w:p>
    <w:p>
      <w:pPr>
        <w:ind w:left="920" w:right="60"/>
        <w:spacing w:after="0" w:line="291" w:lineRule="auto"/>
        <w:rPr>
          <w:rFonts w:ascii="Arial" w:cs="Arial" w:eastAsia="Arial" w:hAnsi="Arial"/>
          <w:sz w:val="18"/>
          <w:szCs w:val="18"/>
          <w:color w:val="auto"/>
        </w:rPr>
      </w:pPr>
      <w:r>
        <w:rPr>
          <w:rFonts w:ascii="Arial" w:cs="Arial" w:eastAsia="Arial" w:hAnsi="Arial"/>
          <w:sz w:val="16"/>
          <w:szCs w:val="16"/>
          <w:color w:val="auto"/>
        </w:rPr>
        <w:t>obliges the Facility Agent or any Lender (or, in the case of paragraph (c), any prospective new Lender) to comply with “know your customer” or similar identification procedures in circumstances where the necessary information is not already available to it, the Borrowers shall promptly upon the request of the Facility Agent or the Lender concerned supply, or procure the supply of, such documentation and other evidence as is reasonably requested by the Facility Agent (for itself or on behalf of any Lender) or the Lender concerned (for itself or, in the case of the event described in paragraph (c), on behalf of any prospective new Lender) in order for the Facility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5"/>
          <w:szCs w:val="15"/>
          <w:b w:val="1"/>
          <w:bCs w:val="1"/>
          <w:color w:val="auto"/>
        </w:rPr>
        <w:t>Sanctions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Borrower shall and shall procure that each member of a Group:</w:t>
      </w:r>
    </w:p>
    <w:p>
      <w:pPr>
        <w:spacing w:after="0" w:line="131" w:lineRule="exact"/>
        <w:rPr>
          <w:sz w:val="20"/>
          <w:szCs w:val="20"/>
          <w:color w:val="auto"/>
        </w:rPr>
      </w:pPr>
    </w:p>
    <w:p>
      <w:pPr>
        <w:ind w:left="920" w:hanging="912"/>
        <w:spacing w:after="0"/>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will comply in all respects with Sanctions;</w:t>
      </w:r>
    </w:p>
    <w:p>
      <w:pPr>
        <w:spacing w:after="0" w:line="130" w:lineRule="exact"/>
        <w:rPr>
          <w:rFonts w:ascii="Arial" w:cs="Arial" w:eastAsia="Arial" w:hAnsi="Arial"/>
          <w:sz w:val="18"/>
          <w:szCs w:val="18"/>
          <w:color w:val="auto"/>
        </w:rPr>
      </w:pPr>
    </w:p>
    <w:p>
      <w:pPr>
        <w:ind w:left="920" w:right="120" w:hanging="912"/>
        <w:spacing w:after="0" w:line="257" w:lineRule="auto"/>
        <w:tabs>
          <w:tab w:leader="none" w:pos="9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will not, directly or indirectly, use the proceeds of the Loan, or lend, contribute or otherwise make available such proceeds to any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transactions contemplated by this Agreement and the Finance Documents, whether as underwriter, advisor, investor, or otherwise);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0" w:right="259" w:bottom="1440" w:gutter="0" w:footer="0" w:header="0"/>
        </w:sectPr>
      </w:pPr>
    </w:p>
    <w:bookmarkStart w:id="221" w:name="page222"/>
    <w:bookmarkEnd w:id="221"/>
    <w:p>
      <w:pPr>
        <w:ind w:left="920" w:right="220" w:hanging="912"/>
        <w:spacing w:after="0" w:line="342" w:lineRule="auto"/>
        <w:tabs>
          <w:tab w:leader="none" w:pos="9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fund all or part of any payment under a Finance Document out of proceeds derived from business or transactions with a Designated Person or from any action which would be prohibited by Sanctions or would otherwise cause any person to be in breach of Sanctions.</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Borrower, no Security Party, nor any member of a Group, shall be a Designated Person.</w:t>
      </w:r>
    </w:p>
    <w:p>
      <w:pPr>
        <w:spacing w:after="0" w:line="370" w:lineRule="exact"/>
        <w:rPr>
          <w:sz w:val="20"/>
          <w:szCs w:val="20"/>
          <w:color w:val="auto"/>
        </w:rPr>
      </w:pPr>
    </w:p>
    <w:p>
      <w:pPr>
        <w:ind w:left="920" w:hanging="912"/>
        <w:spacing w:after="0"/>
        <w:tabs>
          <w:tab w:leader="none" w:pos="92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460"/>
        <w:spacing w:after="0" w:line="308" w:lineRule="auto"/>
        <w:rPr>
          <w:sz w:val="20"/>
          <w:szCs w:val="20"/>
          <w:color w:val="auto"/>
        </w:rPr>
      </w:pPr>
      <w:r>
        <w:rPr>
          <w:rFonts w:ascii="Arial" w:cs="Arial" w:eastAsia="Arial" w:hAnsi="Arial"/>
          <w:sz w:val="17"/>
          <w:szCs w:val="17"/>
          <w:color w:val="auto"/>
        </w:rPr>
        <w:t>Each Borrower also undertakes with each Creditor Party to comply with the following provisions of this Clause 12 at all times during the Security Period except as the Facility Agent may, with the authorisation of the Majority Lenders, otherwise permit.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Maintenance of status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will maintain its separate existence as a company and remain in good standing under the laws of Liberia.</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Negative Undertakings</w:t>
      </w:r>
    </w:p>
    <w:p>
      <w:pPr>
        <w:spacing w:after="0" w:line="135" w:lineRule="exact"/>
        <w:rPr>
          <w:sz w:val="20"/>
          <w:szCs w:val="20"/>
          <w:color w:val="auto"/>
        </w:rPr>
      </w:pPr>
    </w:p>
    <w:p>
      <w:pPr>
        <w:ind w:left="920" w:hanging="912"/>
        <w:spacing w:after="0"/>
        <w:tabs>
          <w:tab w:leader="none" w:pos="9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Borrower will:</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carry on any business other than the ownership, chartering and operation of its Ship; or</w:t>
      </w:r>
    </w:p>
    <w:p>
      <w:pPr>
        <w:spacing w:after="0" w:line="130" w:lineRule="exact"/>
        <w:rPr>
          <w:rFonts w:ascii="Arial" w:cs="Arial" w:eastAsia="Arial" w:hAnsi="Arial"/>
          <w:sz w:val="18"/>
          <w:szCs w:val="18"/>
          <w:color w:val="auto"/>
        </w:rPr>
      </w:pPr>
    </w:p>
    <w:p>
      <w:pPr>
        <w:ind w:left="1700" w:right="180" w:hanging="787"/>
        <w:spacing w:after="0" w:line="277" w:lineRule="auto"/>
        <w:tabs>
          <w:tab w:leader="none" w:pos="17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pay any dividend or make any other form of distribution or effect any form of redemption, purchase or return of share capital if an Event of Default has occurred and is continuing or would result from such payment or distribution; or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any Borrower’s share or loan capital; or</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17" w:lineRule="exact"/>
        <w:rPr>
          <w:sz w:val="20"/>
          <w:szCs w:val="20"/>
          <w:color w:val="auto"/>
        </w:rPr>
      </w:pPr>
    </w:p>
    <w:p>
      <w:pPr>
        <w:ind w:left="1720" w:right="320"/>
        <w:spacing w:after="0" w:line="277" w:lineRule="auto"/>
        <w:rPr>
          <w:sz w:val="20"/>
          <w:szCs w:val="20"/>
          <w:color w:val="auto"/>
        </w:rPr>
      </w:pPr>
      <w:r>
        <w:rPr>
          <w:rFonts w:ascii="Arial" w:cs="Arial" w:eastAsia="Arial" w:hAnsi="Arial"/>
          <w:sz w:val="18"/>
          <w:szCs w:val="18"/>
          <w:color w:val="auto"/>
        </w:rPr>
        <w:t>enter into any transaction with or involving such a person or company on terms which are, in any respect, less favourable to any Borrower than those which it could obtain in a bargain made at arms’ length;</w:t>
      </w:r>
    </w:p>
    <w:p>
      <w:pPr>
        <w:spacing w:after="0" w:line="76" w:lineRule="exact"/>
        <w:rPr>
          <w:sz w:val="20"/>
          <w:szCs w:val="20"/>
          <w:color w:val="auto"/>
        </w:rPr>
      </w:pPr>
    </w:p>
    <w:p>
      <w:pPr>
        <w:ind w:left="1700" w:right="60" w:hanging="787"/>
        <w:spacing w:after="0" w:line="277" w:lineRule="auto"/>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open or maintain any account with any bank or financial institution except accounts with the Lender for the purposes of the Finance Documents including, without limitation, its Earnings Account;</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issue, allot or grant any person a right to any shares in its capital or repurchase or reduce its issued share capital;</w:t>
      </w:r>
    </w:p>
    <w:p>
      <w:pPr>
        <w:spacing w:after="0" w:line="130" w:lineRule="exact"/>
        <w:rPr>
          <w:rFonts w:ascii="Arial" w:cs="Arial" w:eastAsia="Arial" w:hAnsi="Arial"/>
          <w:sz w:val="18"/>
          <w:szCs w:val="18"/>
          <w:color w:val="auto"/>
        </w:rPr>
      </w:pPr>
    </w:p>
    <w:p>
      <w:pPr>
        <w:ind w:left="1700" w:hanging="787"/>
        <w:spacing w:after="0" w:line="277" w:lineRule="auto"/>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acquire any shares or other securities other than US or UK Treasury bills and certificates of deposit issued by major North American or European banks, or enter into any transaction in a derivative;</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enter into any form of amalgamation, merger or de-merger or any form of reconstruction or reorganisation; or</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acquire any vessel other than its Ship.</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274" w:right="399" w:bottom="1440" w:gutter="0" w:footer="0" w:header="0"/>
        </w:sectPr>
      </w:pPr>
    </w:p>
    <w:bookmarkStart w:id="222" w:name="page223"/>
    <w:bookmarkEnd w:id="222"/>
    <w:p>
      <w:pPr>
        <w:ind w:left="920" w:hanging="912"/>
        <w:spacing w:after="0"/>
        <w:tabs>
          <w:tab w:leader="none" w:pos="92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240"/>
        <w:spacing w:after="0" w:line="264" w:lineRule="auto"/>
        <w:rPr>
          <w:sz w:val="20"/>
          <w:szCs w:val="20"/>
          <w:color w:val="auto"/>
        </w:rPr>
      </w:pPr>
      <w:r>
        <w:rPr>
          <w:rFonts w:ascii="Arial" w:cs="Arial" w:eastAsia="Arial" w:hAnsi="Arial"/>
          <w:sz w:val="18"/>
          <w:szCs w:val="18"/>
          <w:color w:val="auto"/>
        </w:rPr>
        <w:t>Each Borrower undertakes with each Creditor Party to comply with the following provisions of this Clause 13 at all times during the Security Period (as from the Delivery Date of the Ship owned by that Borrower and at all times thereafter) except as the Facility Agent may, with the authorisation of the Majority Lenders, otherwise permit.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keep the Ship owned by it insured at the expense of that Borrower against:</w:t>
      </w:r>
    </w:p>
    <w:p>
      <w:pPr>
        <w:spacing w:after="0" w:line="131" w:lineRule="exact"/>
        <w:rPr>
          <w:sz w:val="20"/>
          <w:szCs w:val="20"/>
          <w:color w:val="auto"/>
        </w:rPr>
      </w:pPr>
    </w:p>
    <w:p>
      <w:pPr>
        <w:ind w:left="920" w:hanging="912"/>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war risks (including protection and indemnity war risks with a separate limit not less than hull value);</w:t>
      </w:r>
    </w:p>
    <w:p>
      <w:pPr>
        <w:spacing w:after="0" w:line="130"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protection and indemnity risks (including, without limitation, pollution risks and protection and indemnity war risks in excess of the amount of war risks (hull) each in the highest amount available in the international insurance market); and</w:t>
      </w:r>
    </w:p>
    <w:p>
      <w:pPr>
        <w:spacing w:after="0" w:line="75" w:lineRule="exact"/>
        <w:rPr>
          <w:rFonts w:ascii="Arial" w:cs="Arial" w:eastAsia="Arial" w:hAnsi="Arial"/>
          <w:sz w:val="18"/>
          <w:szCs w:val="18"/>
          <w:color w:val="auto"/>
        </w:rPr>
      </w:pPr>
    </w:p>
    <w:p>
      <w:pPr>
        <w:ind w:left="920" w:right="40" w:hanging="912"/>
        <w:spacing w:after="0" w:line="308" w:lineRule="auto"/>
        <w:tabs>
          <w:tab w:leader="none" w:pos="9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any other risks against which the Facility Agent acting on the instructions of the Majority Lenders, having regard to practices, recommendations and other circumstances prevailing at the relevant time may from time to time require by notice to that Borrower.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effect such insurances:</w:t>
      </w:r>
    </w:p>
    <w:p>
      <w:pPr>
        <w:spacing w:after="0" w:line="131" w:lineRule="exact"/>
        <w:rPr>
          <w:sz w:val="20"/>
          <w:szCs w:val="20"/>
          <w:color w:val="auto"/>
        </w:rPr>
      </w:pPr>
    </w:p>
    <w:p>
      <w:pPr>
        <w:ind w:left="920" w:hanging="912"/>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Dollars;</w:t>
      </w:r>
    </w:p>
    <w:p>
      <w:pPr>
        <w:spacing w:after="0" w:line="130" w:lineRule="exact"/>
        <w:rPr>
          <w:rFonts w:ascii="Arial" w:cs="Arial" w:eastAsia="Arial" w:hAnsi="Arial"/>
          <w:sz w:val="18"/>
          <w:szCs w:val="18"/>
          <w:color w:val="auto"/>
        </w:rPr>
      </w:pPr>
    </w:p>
    <w:p>
      <w:pPr>
        <w:ind w:left="920" w:hanging="912"/>
        <w:spacing w:after="0" w:line="276" w:lineRule="auto"/>
        <w:tabs>
          <w:tab w:leader="none" w:pos="9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in the case of fire and usual marine risks and war risks (including, blocking and trapping), on an agreed value basis in approved amounts but not in any event and at any time less than (i) the higher of (i) the amount which when aggregated with the insured amounts for the other Ships which are then subject to a Mortgage is equal to 120 per cent. of the Loan and (ii) the Market Value of the Ship owned by that Borrower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hull and machinery cover to be effected in relation to each Ship shall be equal to at least 80 per cent. of the Market Value of each Ship with the balance of the cover to be effected by way of hull interest and freight interest insurance cover;</w:t>
      </w:r>
    </w:p>
    <w:p>
      <w:pPr>
        <w:spacing w:after="0" w:line="77" w:lineRule="exact"/>
        <w:rPr>
          <w:rFonts w:ascii="Arial" w:cs="Arial" w:eastAsia="Arial" w:hAnsi="Arial"/>
          <w:sz w:val="17"/>
          <w:szCs w:val="17"/>
          <w:color w:val="auto"/>
        </w:rPr>
      </w:pPr>
    </w:p>
    <w:p>
      <w:pPr>
        <w:jc w:val="both"/>
        <w:ind w:left="920" w:right="340" w:hanging="912"/>
        <w:spacing w:after="0" w:line="264" w:lineRule="auto"/>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aggregate amount equal to the highest level of cover from time to time available under basic protection and indemnity club entry (with the international group of protection and indemnity clubs) and the international marine insurance market (currently $1,000,000,000);</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the Ship owned by that Borrower;</w:t>
      </w:r>
    </w:p>
    <w:p>
      <w:pPr>
        <w:spacing w:after="0" w:line="130" w:lineRule="exact"/>
        <w:rPr>
          <w:rFonts w:ascii="Arial" w:cs="Arial" w:eastAsia="Arial" w:hAnsi="Arial"/>
          <w:sz w:val="18"/>
          <w:szCs w:val="18"/>
          <w:color w:val="auto"/>
        </w:rPr>
      </w:pPr>
    </w:p>
    <w:p>
      <w:pPr>
        <w:ind w:left="920" w:right="120" w:hanging="912"/>
        <w:spacing w:after="0" w:line="277" w:lineRule="auto"/>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relation to war risks insurance, extended to cover piracy and terrorism where piracy or, as the case may be, terrorism, are excluded under the fire and usual marine risks insurance;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approved terms; and</w:t>
      </w:r>
    </w:p>
    <w:p>
      <w:pPr>
        <w:spacing w:after="0" w:line="130" w:lineRule="exact"/>
        <w:rPr>
          <w:rFonts w:ascii="Arial" w:cs="Arial" w:eastAsia="Arial" w:hAnsi="Arial"/>
          <w:sz w:val="18"/>
          <w:szCs w:val="18"/>
          <w:color w:val="auto"/>
        </w:rPr>
      </w:pPr>
    </w:p>
    <w:p>
      <w:pPr>
        <w:ind w:left="920" w:right="80" w:hanging="912"/>
        <w:spacing w:after="0" w:line="308" w:lineRule="auto"/>
        <w:tabs>
          <w:tab w:leader="none" w:pos="9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through approved brokers and with approved insurance companies and/or underwriters or, in the case of war risks and protection and indemnity risks, in approved war risks and protection and indemnity risks associations which are members of the International Group</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270" w:right="319" w:bottom="1440" w:gutter="0" w:footer="0" w:header="0"/>
        </w:sectPr>
      </w:pPr>
    </w:p>
    <w:bookmarkStart w:id="223" w:name="page224"/>
    <w:bookmarkEnd w:id="223"/>
    <w:p>
      <w:pPr>
        <w:ind w:left="9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Protection and Indemnity Associations, and have a Standard &amp; Poor’s rating of at least BBB or a comparable rating by any other rating agency reasonably acceptable to the Facility Agent (acting with the authorisation of the Majority Lenders).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Further protections for the Creditor Parties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the terms set out in Clause 13.3, each Borrower shall procure that:</w:t>
      </w:r>
    </w:p>
    <w:p>
      <w:pPr>
        <w:spacing w:after="0" w:line="131" w:lineRule="exact"/>
        <w:rPr>
          <w:sz w:val="20"/>
          <w:szCs w:val="20"/>
          <w:color w:val="auto"/>
        </w:rPr>
      </w:pPr>
    </w:p>
    <w:p>
      <w:pPr>
        <w:ind w:left="920" w:right="500" w:hanging="912"/>
        <w:spacing w:after="0" w:line="277"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it and any and all third parties who are named assured or co-assured under any obligatory insurance shall assign their interest in any and all obligatory insurances and other Insurances if so required by the Facility Agent;</w:t>
      </w:r>
    </w:p>
    <w:p>
      <w:pPr>
        <w:spacing w:after="0" w:line="75" w:lineRule="exact"/>
        <w:rPr>
          <w:rFonts w:ascii="Arial" w:cs="Arial" w:eastAsia="Arial" w:hAnsi="Arial"/>
          <w:sz w:val="18"/>
          <w:szCs w:val="18"/>
          <w:color w:val="auto"/>
        </w:rPr>
      </w:pPr>
    </w:p>
    <w:p>
      <w:pPr>
        <w:ind w:left="920" w:right="20" w:hanging="912"/>
        <w:spacing w:after="0" w:line="259"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whenever the Security Trustee requires, the obligatory insurances name (or be amended to name) the Security Trustee as additional named assured for its rights and interests, warranted no operational interest and with full waiver of rights of subrogation against the Security Trustee, but without the Security Trustee thereby being liable to pay (but having the right to pay) premiums, calls or other assessments in respect of such insurances;</w:t>
      </w:r>
    </w:p>
    <w:p>
      <w:pPr>
        <w:spacing w:after="0" w:line="92"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interest of the Security Trustee as assignee and as loss payee shall be duly endorsed on all slips, cover notes, policies, certificates of entry or other instruments of insurance in respect of the obligatory insurances;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obligatory insurances shall name the Security Trustee as sole loss payee with such directions for payment as the Security Trustee may specify;</w:t>
      </w:r>
    </w:p>
    <w:p>
      <w:pPr>
        <w:spacing w:after="0" w:line="153" w:lineRule="exact"/>
        <w:rPr>
          <w:rFonts w:ascii="Arial" w:cs="Arial" w:eastAsia="Arial" w:hAnsi="Arial"/>
          <w:sz w:val="16"/>
          <w:szCs w:val="16"/>
          <w:color w:val="auto"/>
        </w:rPr>
      </w:pPr>
    </w:p>
    <w:p>
      <w:pPr>
        <w:ind w:left="920" w:right="240" w:hanging="912"/>
        <w:spacing w:after="0" w:line="277"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obligatory insurances shall 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ind w:left="920" w:right="20" w:hanging="912"/>
        <w:spacing w:after="0" w:line="255"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obligatory insurances shall 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(f) from making personal claims against persons (other than the Borrowers or any other Creditor Party) in circumstances where the insurers have fully discharged their liabilities and obligations under the relevant obligatory insurances;</w:t>
      </w:r>
    </w:p>
    <w:p>
      <w:pPr>
        <w:spacing w:after="0" w:line="98" w:lineRule="exact"/>
        <w:rPr>
          <w:rFonts w:ascii="Arial" w:cs="Arial" w:eastAsia="Arial" w:hAnsi="Arial"/>
          <w:sz w:val="18"/>
          <w:szCs w:val="18"/>
          <w:color w:val="auto"/>
        </w:rPr>
      </w:pPr>
    </w:p>
    <w:p>
      <w:pPr>
        <w:ind w:left="920" w:right="20" w:hanging="912"/>
        <w:spacing w:after="0" w:line="277" w:lineRule="auto"/>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obligatory insurances shall provide that such obligatory insurances shall be primary without right of contribution from other insurances which may be carried by the Security Trustee;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obligatory insurances shall provide that the Security Trustee may make proof of loss if that Borrower fails to do so; and</w:t>
      </w:r>
    </w:p>
    <w:p>
      <w:pPr>
        <w:spacing w:after="0" w:line="130" w:lineRule="exact"/>
        <w:rPr>
          <w:rFonts w:ascii="Arial" w:cs="Arial" w:eastAsia="Arial" w:hAnsi="Arial"/>
          <w:sz w:val="18"/>
          <w:szCs w:val="18"/>
          <w:color w:val="auto"/>
        </w:rPr>
      </w:pPr>
    </w:p>
    <w:p>
      <w:pPr>
        <w:ind w:left="920" w:right="40" w:hanging="912"/>
        <w:spacing w:after="0" w:line="279" w:lineRule="auto"/>
        <w:tabs>
          <w:tab w:leader="none" w:pos="92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obligatory insurances shall 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not be effective with respect to the Security Trustee for 30 days (or 7 days in the case of war risks) after receipt by the Security Trustee of prior written notice from the insurers of such cancellation, change or lapse.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224" w:name="page225"/>
    <w:bookmarkEnd w:id="22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13.5</w:t>
      </w:r>
      <w:r>
        <w:rPr>
          <w:sz w:val="20"/>
          <w:szCs w:val="20"/>
          <w:color w:val="auto"/>
        </w:rPr>
        <w:tab/>
      </w:r>
      <w:r>
        <w:rPr>
          <w:rFonts w:ascii="Arial" w:cs="Arial" w:eastAsia="Arial" w:hAnsi="Arial"/>
          <w:sz w:val="15"/>
          <w:szCs w:val="15"/>
          <w:b w:val="1"/>
          <w:bCs w:val="1"/>
          <w:color w:val="auto"/>
        </w:rPr>
        <w:t>Renewal of obligatory insurances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920" w:hanging="912"/>
        <w:spacing w:after="0"/>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 least 21 days before the expiry of any obligatory insurance:</w:t>
      </w:r>
    </w:p>
    <w:p>
      <w:pPr>
        <w:spacing w:after="0" w:line="130" w:lineRule="exact"/>
        <w:rPr>
          <w:rFonts w:ascii="Arial" w:cs="Arial" w:eastAsia="Arial" w:hAnsi="Arial"/>
          <w:sz w:val="18"/>
          <w:szCs w:val="18"/>
          <w:color w:val="auto"/>
        </w:rPr>
      </w:pPr>
    </w:p>
    <w:p>
      <w:pPr>
        <w:ind w:left="1700" w:right="680" w:hanging="787"/>
        <w:spacing w:after="0" w:line="342" w:lineRule="auto"/>
        <w:tabs>
          <w:tab w:leader="none" w:pos="17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notify the Security Trustee of the brokers, underwriters, insurance companies and any protection and indemnity or war risks association through or with whom that Borrower proposes to renew that insurance and of the proposed terms of renewal; and</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in case of any substantial change in insurance cover, obtain the Majority Lenders’ approval to the matters referred to in paragraph</w:t>
      </w:r>
    </w:p>
    <w:p>
      <w:pPr>
        <w:spacing w:after="0" w:line="46" w:lineRule="exact"/>
        <w:rPr>
          <w:rFonts w:ascii="Arial" w:cs="Arial" w:eastAsia="Arial" w:hAnsi="Arial"/>
          <w:sz w:val="16"/>
          <w:szCs w:val="16"/>
          <w:color w:val="auto"/>
        </w:rPr>
      </w:pPr>
    </w:p>
    <w:p>
      <w:pPr>
        <w:ind w:left="1700"/>
        <w:spacing w:after="0"/>
        <w:rPr>
          <w:rFonts w:ascii="Arial" w:cs="Arial" w:eastAsia="Arial" w:hAnsi="Arial"/>
          <w:sz w:val="16"/>
          <w:szCs w:val="16"/>
          <w:color w:val="auto"/>
        </w:rPr>
      </w:pPr>
      <w:r>
        <w:rPr>
          <w:rFonts w:ascii="Arial" w:cs="Arial" w:eastAsia="Arial" w:hAnsi="Arial"/>
          <w:sz w:val="18"/>
          <w:szCs w:val="18"/>
          <w:color w:val="auto"/>
        </w:rPr>
        <w:t>(i) above;</w:t>
      </w:r>
    </w:p>
    <w:p>
      <w:pPr>
        <w:spacing w:after="0" w:line="116" w:lineRule="exact"/>
        <w:rPr>
          <w:rFonts w:ascii="Arial" w:cs="Arial" w:eastAsia="Arial" w:hAnsi="Arial"/>
          <w:sz w:val="16"/>
          <w:szCs w:val="16"/>
          <w:color w:val="auto"/>
        </w:rPr>
      </w:pPr>
    </w:p>
    <w:p>
      <w:pPr>
        <w:ind w:left="920" w:hanging="912"/>
        <w:spacing w:after="0" w:line="277" w:lineRule="auto"/>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 least 14 days before the expiry of any obligatory insurance, renew that obligatory insurance in accordance with the Majority Lenders’ approval pursuant to paragraph (a); and</w:t>
      </w:r>
    </w:p>
    <w:p>
      <w:pPr>
        <w:spacing w:after="0" w:line="75" w:lineRule="exact"/>
        <w:rPr>
          <w:rFonts w:ascii="Arial" w:cs="Arial" w:eastAsia="Arial" w:hAnsi="Arial"/>
          <w:sz w:val="18"/>
          <w:szCs w:val="18"/>
          <w:color w:val="auto"/>
        </w:rPr>
      </w:pPr>
    </w:p>
    <w:p>
      <w:pPr>
        <w:ind w:left="920" w:right="360" w:hanging="912"/>
        <w:spacing w:after="0" w:line="277" w:lineRule="auto"/>
        <w:tabs>
          <w:tab w:leader="none" w:pos="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Each Borrower shall ensure that all approved brokers provide the Security Trustee with copies of all policies relating to the obligatory insurances which they effect or renew and of a letter or letters of undertaking in a form required by the Majority Lenders and including undertakings by the approved brokers that:</w:t>
      </w:r>
    </w:p>
    <w:p>
      <w:pPr>
        <w:spacing w:after="0" w:line="87" w:lineRule="exact"/>
        <w:rPr>
          <w:sz w:val="20"/>
          <w:szCs w:val="20"/>
          <w:color w:val="auto"/>
        </w:rPr>
      </w:pPr>
    </w:p>
    <w:p>
      <w:pPr>
        <w:ind w:left="920" w:right="80" w:hanging="912"/>
        <w:spacing w:after="0" w:line="277" w:lineRule="auto"/>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75" w:lineRule="exact"/>
        <w:rPr>
          <w:rFonts w:ascii="Arial" w:cs="Arial" w:eastAsia="Arial" w:hAnsi="Arial"/>
          <w:sz w:val="18"/>
          <w:szCs w:val="18"/>
          <w:color w:val="auto"/>
        </w:rPr>
      </w:pPr>
    </w:p>
    <w:p>
      <w:pPr>
        <w:ind w:left="920" w:right="420" w:hanging="912"/>
        <w:spacing w:after="0" w:line="277" w:lineRule="auto"/>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Trustee in accordance with the said loss payable clause;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130" w:lineRule="exact"/>
        <w:rPr>
          <w:rFonts w:ascii="Arial" w:cs="Arial" w:eastAsia="Arial" w:hAnsi="Arial"/>
          <w:sz w:val="18"/>
          <w:szCs w:val="18"/>
          <w:color w:val="auto"/>
        </w:rPr>
      </w:pPr>
    </w:p>
    <w:p>
      <w:pPr>
        <w:jc w:val="both"/>
        <w:ind w:left="920" w:hanging="912"/>
        <w:spacing w:after="0" w:line="264" w:lineRule="auto"/>
        <w:tabs>
          <w:tab w:leader="none" w:pos="9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that Borrower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ind w:left="920" w:right="120" w:hanging="912"/>
        <w:spacing w:after="0" w:line="276" w:lineRule="auto"/>
        <w:tabs>
          <w:tab w:leader="none" w:pos="9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Ship forthwith upon being so requested by the Security Trustee.</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Copies of certificates of entry</w:t>
      </w:r>
    </w:p>
    <w:p>
      <w:pPr>
        <w:spacing w:after="0" w:line="12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Each Borrower shall ensure that any protection and indemnity and/or war risks associations in which the Ship owned by that Borrower is entered provides the Security Trustee with:</w:t>
      </w:r>
    </w:p>
    <w:p>
      <w:pPr>
        <w:spacing w:after="0" w:line="76" w:lineRule="exact"/>
        <w:rPr>
          <w:sz w:val="20"/>
          <w:szCs w:val="20"/>
          <w:color w:val="auto"/>
        </w:rPr>
      </w:pPr>
    </w:p>
    <w:p>
      <w:pPr>
        <w:ind w:left="920" w:hanging="912"/>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letter or letters of undertaking in the Agreed Form; and</w:t>
      </w:r>
    </w:p>
    <w:p>
      <w:pPr>
        <w:spacing w:after="0" w:line="130" w:lineRule="exact"/>
        <w:rPr>
          <w:rFonts w:ascii="Arial" w:cs="Arial" w:eastAsia="Arial" w:hAnsi="Arial"/>
          <w:sz w:val="18"/>
          <w:szCs w:val="18"/>
          <w:color w:val="auto"/>
        </w:rPr>
      </w:pPr>
    </w:p>
    <w:p>
      <w:pPr>
        <w:jc w:val="both"/>
        <w:ind w:left="920" w:right="20" w:hanging="912"/>
        <w:spacing w:after="0" w:line="286" w:lineRule="auto"/>
        <w:tabs>
          <w:tab w:leader="none" w:pos="9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where required to be issued under the terms of insurance/indemnity provided by that Borrower’s protection and indemnity association, a certified copy of each United States of America voyage quarterly declaration (or other similar document or documents) made by that Borrower in relation to its Ship in accordance with the requirements of such protections and indemnity association;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225" w:name="page226"/>
    <w:bookmarkEnd w:id="225"/>
    <w:p>
      <w:pPr>
        <w:ind w:left="920" w:right="500" w:hanging="912"/>
        <w:spacing w:after="0" w:line="277" w:lineRule="auto"/>
        <w:tabs>
          <w:tab w:leader="none" w:pos="9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certified copy of each certificate of financial responsibility for pollution by oil or other Environmentally Sensitive Material issued by the relevant certifying authority in relation to that Ship.</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b w:val="1"/>
          <w:bCs w:val="1"/>
          <w:color w:val="auto"/>
        </w:rPr>
        <w:t>Deposit of original policies</w:t>
      </w:r>
    </w:p>
    <w:p>
      <w:pPr>
        <w:spacing w:after="0" w:line="121"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Each Borrower shall ensure that all policies relating to obligatory insurances are deposited with the approved brokers through which the insurances are effected or renewed.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Each Borrower shall punctually pay all premiums or other sums payable in respect of the obligatory insurances and produce all relevant receipts when so required by the Security Trustee.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color w:val="auto"/>
        </w:rPr>
        <w:t>Guarantees</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Each Borrower shall ensure that any guarantees required by a protection and indemnity or war risks association are promptly issued and remain in full force and effect.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5"/>
          <w:szCs w:val="15"/>
          <w:b w:val="1"/>
          <w:bCs w:val="1"/>
          <w:color w:val="auto"/>
        </w:rPr>
        <w:t>Restrictions on employment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Borrower shall employ the Ship owned by it, nor shall permit her to be employed, outside the cover provided by any obligatory insurances.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color w:val="auto"/>
        </w:rPr>
        <w:t>Compliance with terms of insurances</w:t>
      </w:r>
    </w:p>
    <w:p>
      <w:pPr>
        <w:spacing w:after="0" w:line="121" w:lineRule="exact"/>
        <w:rPr>
          <w:sz w:val="20"/>
          <w:szCs w:val="20"/>
          <w:color w:val="auto"/>
        </w:rPr>
      </w:pPr>
    </w:p>
    <w:p>
      <w:pPr>
        <w:ind w:left="920" w:right="560"/>
        <w:spacing w:after="0" w:line="342" w:lineRule="auto"/>
        <w:rPr>
          <w:sz w:val="20"/>
          <w:szCs w:val="20"/>
          <w:color w:val="auto"/>
        </w:rPr>
      </w:pPr>
      <w:r>
        <w:rPr>
          <w:rFonts w:ascii="Arial" w:cs="Arial" w:eastAsia="Arial" w:hAnsi="Arial"/>
          <w:sz w:val="16"/>
          <w:szCs w:val="16"/>
          <w:color w:val="auto"/>
        </w:rPr>
        <w:t>No Borrower shall do or omit to do (or permits to be done or not to be done) any act or thing which would or might render any obligatory insurance invalid, void, voidable or unenforceable or render any sum payable thereunder repayable in whole or in part; and in particular:</w:t>
      </w:r>
    </w:p>
    <w:p>
      <w:pPr>
        <w:spacing w:after="0" w:line="29" w:lineRule="exact"/>
        <w:rPr>
          <w:sz w:val="20"/>
          <w:szCs w:val="20"/>
          <w:color w:val="auto"/>
        </w:rPr>
      </w:pPr>
    </w:p>
    <w:p>
      <w:pPr>
        <w:ind w:left="920" w:right="80" w:hanging="912"/>
        <w:spacing w:after="0" w:line="264" w:lineRule="auto"/>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Borrower shall take all necessary action and comply with all requirements which may from time to time be applicable to the obligatory insurances, and (without limiting the obligation contained in Clause 13.6(c) above) ensure that the obligatory insurances are not made subject to any exclusions or qualifications to which the Security Trustee has not given its prior approval;</w:t>
      </w:r>
    </w:p>
    <w:p>
      <w:pPr>
        <w:spacing w:after="0" w:line="86" w:lineRule="exact"/>
        <w:rPr>
          <w:rFonts w:ascii="Arial" w:cs="Arial" w:eastAsia="Arial" w:hAnsi="Arial"/>
          <w:sz w:val="18"/>
          <w:szCs w:val="18"/>
          <w:color w:val="auto"/>
        </w:rPr>
      </w:pPr>
    </w:p>
    <w:p>
      <w:pPr>
        <w:ind w:left="920" w:right="600" w:hanging="912"/>
        <w:spacing w:after="0" w:line="277" w:lineRule="auto"/>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Borrower shall make any changes relating to the classification or classification society or manager or operator of the Ship owned by it approved by the underwriters of the obligatory insurances;</w:t>
      </w:r>
    </w:p>
    <w:p>
      <w:pPr>
        <w:spacing w:after="0" w:line="75" w:lineRule="exact"/>
        <w:rPr>
          <w:rFonts w:ascii="Arial" w:cs="Arial" w:eastAsia="Arial" w:hAnsi="Arial"/>
          <w:sz w:val="18"/>
          <w:szCs w:val="18"/>
          <w:color w:val="auto"/>
        </w:rPr>
      </w:pPr>
    </w:p>
    <w:p>
      <w:pPr>
        <w:ind w:left="920" w:hanging="912"/>
        <w:spacing w:after="0" w:line="279" w:lineRule="auto"/>
        <w:tabs>
          <w:tab w:leader="none" w:pos="92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each Borrower shall make (and promptly supply copies to the Facility Agent (upon its request))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 if applicable, shall procure that the Approved Manager complies with this requirement; and</w:t>
      </w:r>
    </w:p>
    <w:p>
      <w:pPr>
        <w:spacing w:after="0" w:line="76" w:lineRule="exact"/>
        <w:rPr>
          <w:rFonts w:ascii="Arial" w:cs="Arial" w:eastAsia="Arial" w:hAnsi="Arial"/>
          <w:sz w:val="17"/>
          <w:szCs w:val="17"/>
          <w:color w:val="auto"/>
        </w:rPr>
      </w:pPr>
    </w:p>
    <w:p>
      <w:pPr>
        <w:ind w:left="920" w:right="40" w:hanging="912"/>
        <w:spacing w:after="0" w:line="264" w:lineRule="auto"/>
        <w:tabs>
          <w:tab w:leader="none" w:pos="9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Borrower shall employ the Ship owned by it, nor shall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226" w:name="page227"/>
    <w:bookmarkEnd w:id="22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13.13</w:t>
      </w:r>
      <w:r>
        <w:rPr>
          <w:sz w:val="20"/>
          <w:szCs w:val="20"/>
          <w:color w:val="auto"/>
        </w:rPr>
        <w:tab/>
      </w:r>
      <w:r>
        <w:rPr>
          <w:rFonts w:ascii="Arial" w:cs="Arial" w:eastAsia="Arial" w:hAnsi="Arial"/>
          <w:sz w:val="16"/>
          <w:szCs w:val="16"/>
          <w:b w:val="1"/>
          <w:bCs w:val="1"/>
          <w:color w:val="auto"/>
        </w:rPr>
        <w:t>Alteration to terms of insurances</w:t>
      </w:r>
    </w:p>
    <w:p>
      <w:pPr>
        <w:spacing w:after="0" w:line="121"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No Borrower shall either make or agree to any alteration to the terms of any obligatory insurance or waive any right relating to any obligatory insurance other than where the alternatives are mandatory to comply with international conventions or Sanctions without the prior written consent of the Security Trustee.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color w:val="auto"/>
        </w:rPr>
        <w:t>Settlement of claims</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No Borrower shall settle, compromise or abandon any claim under any obligatory insurance for Total Loss or for a Major Casualty, and shall do all things necessary and provide all documents, evidence and information to enable the Security Trustee to collect or recover any moneys which at any time become payable in respect of the obligatory insurances.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5"/>
          <w:szCs w:val="15"/>
          <w:b w:val="1"/>
          <w:bCs w:val="1"/>
          <w:color w:val="auto"/>
        </w:rPr>
        <w:t>Provision of copies of communications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Borrower shall provide the Security Trustee, upon its request, copies of all written communications between that Borrower and:</w:t>
      </w:r>
    </w:p>
    <w:p>
      <w:pPr>
        <w:spacing w:after="0" w:line="252" w:lineRule="exact"/>
        <w:rPr>
          <w:sz w:val="20"/>
          <w:szCs w:val="20"/>
          <w:color w:val="auto"/>
        </w:rPr>
      </w:pPr>
    </w:p>
    <w:p>
      <w:pPr>
        <w:ind w:left="920" w:hanging="912"/>
        <w:spacing w:after="0"/>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approved brokers;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1700" w:right="40" w:hanging="787"/>
        <w:spacing w:after="0" w:line="277" w:lineRule="auto"/>
        <w:tabs>
          <w:tab w:leader="none" w:pos="17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that Borrower’s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any credit arrangements made between that Borrower and any of the persons referred to in paragraphs (a) or (b) above relating wholly or partly to the effecting or maintenance of the obligatory insurances.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6"/>
          <w:szCs w:val="16"/>
          <w:b w:val="1"/>
          <w:bCs w:val="1"/>
          <w:color w:val="auto"/>
        </w:rPr>
        <w:t>Provision of information and further undertakings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each Borrower shall promptly provide the Security Trustee (or any persons which it may designate) with any information which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Security Trustee (or any such designated person) requests for the purpose of:</w:t>
      </w:r>
    </w:p>
    <w:p>
      <w:pPr>
        <w:spacing w:after="0" w:line="116" w:lineRule="exact"/>
        <w:rPr>
          <w:sz w:val="20"/>
          <w:szCs w:val="20"/>
          <w:color w:val="auto"/>
        </w:rPr>
      </w:pPr>
    </w:p>
    <w:p>
      <w:pPr>
        <w:ind w:left="920" w:right="500" w:hanging="912"/>
        <w:spacing w:after="0" w:line="277" w:lineRule="auto"/>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920" w:right="460" w:hanging="912"/>
        <w:spacing w:after="0" w:line="277" w:lineRule="auto"/>
        <w:tabs>
          <w:tab w:leader="none" w:pos="9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13.17 below or dealing with or considering any matters relating to any such insurances,</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shall:</w:t>
      </w:r>
    </w:p>
    <w:p>
      <w:pPr>
        <w:spacing w:after="0" w:line="130" w:lineRule="exact"/>
        <w:rPr>
          <w:rFonts w:ascii="Arial" w:cs="Arial" w:eastAsia="Arial" w:hAnsi="Arial"/>
          <w:sz w:val="18"/>
          <w:szCs w:val="18"/>
          <w:color w:val="auto"/>
        </w:rPr>
      </w:pPr>
    </w:p>
    <w:p>
      <w:pPr>
        <w:ind w:left="1700" w:right="180" w:hanging="787"/>
        <w:spacing w:after="0" w:line="264" w:lineRule="auto"/>
        <w:tabs>
          <w:tab w:leader="none" w:pos="17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do all things necessary and provide the Facility Agent and the Security Trustee with all documents and information to enable the Security Trustee to collect or recover any moneys in respect of the Insurances which are payable to the Security Trustee pursuant to the Finance Documents; and</w:t>
      </w:r>
    </w:p>
    <w:p>
      <w:pPr>
        <w:spacing w:after="0" w:line="86" w:lineRule="exact"/>
        <w:rPr>
          <w:rFonts w:ascii="Arial" w:cs="Arial" w:eastAsia="Arial" w:hAnsi="Arial"/>
          <w:sz w:val="18"/>
          <w:szCs w:val="18"/>
          <w:color w:val="auto"/>
        </w:rPr>
      </w:pPr>
    </w:p>
    <w:p>
      <w:pPr>
        <w:ind w:left="1700" w:hanging="787"/>
        <w:spacing w:after="0" w:line="264" w:lineRule="auto"/>
        <w:tabs>
          <w:tab w:leader="none" w:pos="17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promptly provide the Facility Agent with full information regarding any Major Casualty or in consequence whereof the Ship owned by that Borrower has become or may become a Total Loss and agree to any settlement of such casualty or other accident or damage to that Ship only with the Facility Agent’s prior written consent,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0" w:right="299" w:bottom="1440" w:gutter="0" w:footer="0" w:header="0"/>
        </w:sectPr>
      </w:pPr>
    </w:p>
    <w:bookmarkStart w:id="227" w:name="page228"/>
    <w:bookmarkEnd w:id="227"/>
    <w:p>
      <w:pPr>
        <w:ind w:left="920"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that each Borrower shall, forthwith upon demand, indemnify the Security Trustee in respect of all reasonable fees and other expenses incurred by or for the account of the Security Trustee in connection with any such report as is referred to in paragraph (a) above.</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6"/>
          <w:szCs w:val="16"/>
          <w:b w:val="1"/>
          <w:bCs w:val="1"/>
          <w:color w:val="auto"/>
        </w:rPr>
        <w:t>Mortgagee’s interest, additional perils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Security Trustee shall be entitled from time to time to effect, maintain and renew all or any of the following insurances in an amount equal to 120 per cent. of the Loan, on such terms, through such insurers and generally in such manner as the Majority Lenders may from time to time consider appropriate:</w:t>
      </w:r>
    </w:p>
    <w:p>
      <w:pPr>
        <w:spacing w:after="0" w:line="87" w:lineRule="exact"/>
        <w:rPr>
          <w:sz w:val="20"/>
          <w:szCs w:val="20"/>
          <w:color w:val="auto"/>
        </w:rPr>
      </w:pPr>
    </w:p>
    <w:p>
      <w:pPr>
        <w:ind w:left="920" w:right="140" w:hanging="912"/>
        <w:spacing w:after="0" w:line="257" w:lineRule="auto"/>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mortgagee’s interest marine insurance in relation to each Ship in such amount as the Security Trustee may consider appropriate, providing for the indemnification of the Security Trustee for any losses under or in connection with any Finance Document which directly or indirectly result from loss of or damage to any Ship or a liability of any Ship or of any Borrower, being a loss or damage which is prima facie covered by an obligatory insurance but in respect of which there is a non-payment (or reduced payment) by the underwriters by reason of, or on the basis of an allegation concerning:</w:t>
      </w:r>
    </w:p>
    <w:p>
      <w:pPr>
        <w:spacing w:after="0" w:line="93" w:lineRule="exact"/>
        <w:rPr>
          <w:rFonts w:ascii="Arial" w:cs="Arial" w:eastAsia="Arial" w:hAnsi="Arial"/>
          <w:sz w:val="18"/>
          <w:szCs w:val="18"/>
          <w:color w:val="auto"/>
        </w:rPr>
      </w:pPr>
    </w:p>
    <w:p>
      <w:pPr>
        <w:ind w:left="1700" w:right="240" w:hanging="787"/>
        <w:spacing w:after="0" w:line="264" w:lineRule="auto"/>
        <w:tabs>
          <w:tab w:leader="none" w:pos="17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act or omission on the part of a Borrower, of any operator, charterer, manager or sub-manager of the Ship owned by it or of any officer, employee or agent of that Borrower or of any such person, including any breach of warranty or condition or any non-disclosure relating to such obligatory insurance;</w:t>
      </w:r>
    </w:p>
    <w:p>
      <w:pPr>
        <w:spacing w:after="0" w:line="86" w:lineRule="exact"/>
        <w:rPr>
          <w:rFonts w:ascii="Arial" w:cs="Arial" w:eastAsia="Arial" w:hAnsi="Arial"/>
          <w:sz w:val="18"/>
          <w:szCs w:val="18"/>
          <w:color w:val="auto"/>
        </w:rPr>
      </w:pPr>
    </w:p>
    <w:p>
      <w:pPr>
        <w:ind w:left="1700" w:right="100" w:hanging="787"/>
        <w:spacing w:after="0" w:line="264" w:lineRule="auto"/>
        <w:tabs>
          <w:tab w:leader="none" w:pos="17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act or omission, whether deliberate, negligent or accidental, or any knowledge or privity of a Borrower, any other person referred to in paragraph (i) above, or of any officer, employee or agent of that Borrower or of such a person, including the casting away or damaging of the Ship owned by it and/or the Ship owned by it being unseaworthy; and/or</w:t>
      </w:r>
    </w:p>
    <w:p>
      <w:pPr>
        <w:spacing w:after="0" w:line="86" w:lineRule="exact"/>
        <w:rPr>
          <w:rFonts w:ascii="Arial" w:cs="Arial" w:eastAsia="Arial" w:hAnsi="Arial"/>
          <w:sz w:val="18"/>
          <w:szCs w:val="18"/>
          <w:color w:val="auto"/>
        </w:rPr>
      </w:pPr>
    </w:p>
    <w:p>
      <w:pPr>
        <w:ind w:left="1700" w:right="720" w:hanging="787"/>
        <w:spacing w:after="0" w:line="277" w:lineRule="auto"/>
        <w:tabs>
          <w:tab w:leader="none" w:pos="17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other matter capable of being insured against under a mortgagee’s interest marine insurance whether or not similar to the foregoing;</w:t>
      </w:r>
    </w:p>
    <w:p>
      <w:pPr>
        <w:spacing w:after="0" w:line="75" w:lineRule="exact"/>
        <w:rPr>
          <w:rFonts w:ascii="Arial" w:cs="Arial" w:eastAsia="Arial" w:hAnsi="Arial"/>
          <w:sz w:val="18"/>
          <w:szCs w:val="18"/>
          <w:color w:val="auto"/>
        </w:rPr>
      </w:pPr>
    </w:p>
    <w:p>
      <w:pPr>
        <w:ind w:left="920" w:right="60" w:hanging="912"/>
        <w:spacing w:after="0" w:line="257" w:lineRule="auto"/>
        <w:tabs>
          <w:tab w:leader="none" w:pos="9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mortgagee’s interest additional perils insurance in relation to each Ship in such amount as the Security Trustee may consider appropriate, providing for the indemnification of the Security Trustee against, among other things, any possible losses or other consequences of any Environmental Claim, including the risk of expropriation, arrest or any form of detention of a Ship, the imposition of any Security Interest over a Ship and/or any other matter capable of being insured against under a mortgagee’s interest additional perils insurance whether or not similar to the foregoing,</w:t>
      </w:r>
    </w:p>
    <w:p>
      <w:pPr>
        <w:spacing w:after="0" w:line="80" w:lineRule="exact"/>
        <w:rPr>
          <w:rFonts w:ascii="Arial" w:cs="Arial" w:eastAsia="Arial" w:hAnsi="Arial"/>
          <w:sz w:val="18"/>
          <w:szCs w:val="18"/>
          <w:color w:val="auto"/>
        </w:rPr>
      </w:pPr>
    </w:p>
    <w:p>
      <w:pPr>
        <w:ind w:left="920"/>
        <w:spacing w:after="0" w:line="264" w:lineRule="auto"/>
        <w:rPr>
          <w:rFonts w:ascii="Arial" w:cs="Arial" w:eastAsia="Arial" w:hAnsi="Arial"/>
          <w:sz w:val="18"/>
          <w:szCs w:val="18"/>
          <w:color w:val="auto"/>
        </w:rPr>
      </w:pPr>
      <w:r>
        <w:rPr>
          <w:rFonts w:ascii="Arial" w:cs="Arial" w:eastAsia="Arial" w:hAnsi="Arial"/>
          <w:sz w:val="18"/>
          <w:szCs w:val="18"/>
          <w:color w:val="auto"/>
        </w:rPr>
        <w:t>and that Borrower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 under this Clause 13.17.</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6"/>
          <w:szCs w:val="16"/>
          <w:b w:val="1"/>
          <w:bCs w:val="1"/>
          <w:color w:val="auto"/>
        </w:rPr>
        <w:t>Review of insurance requirements</w:t>
      </w:r>
    </w:p>
    <w:p>
      <w:pPr>
        <w:spacing w:after="0" w:line="121" w:lineRule="exact"/>
        <w:rPr>
          <w:sz w:val="20"/>
          <w:szCs w:val="20"/>
          <w:color w:val="auto"/>
        </w:rPr>
      </w:pPr>
    </w:p>
    <w:p>
      <w:pPr>
        <w:ind w:left="920" w:right="40"/>
        <w:spacing w:after="0" w:line="293" w:lineRule="auto"/>
        <w:rPr>
          <w:sz w:val="20"/>
          <w:szCs w:val="20"/>
          <w:color w:val="auto"/>
        </w:rPr>
      </w:pPr>
      <w:r>
        <w:rPr>
          <w:rFonts w:ascii="Arial" w:cs="Arial" w:eastAsia="Arial" w:hAnsi="Arial"/>
          <w:sz w:val="16"/>
          <w:szCs w:val="16"/>
          <w:color w:val="auto"/>
        </w:rPr>
        <w:t>The Majority Lenders shall be entitled to review the requirements of this Clause 13 from time to time in order to take account of any changes in circumstances after the date of this Agreement which are, in the opinion of the Majority Lenders, significant and capable of affecting any Borrower or the Ship owned by it and its or their insurance (including, without limitation, changes in the availability or the cost of insurance coverage or the risks to which that Borrower may be subject), and may appoint insurance consultants in relation to this review at the cost of that Borrower and that Borrower shall upon demand fully indemnify the Facility Agent in respect of all fees and other expenses incurred by or for the account of the Facility Agent in appointing an independent marine insurance broker or adviser to conduct such review.</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28" w:name="page229"/>
    <w:bookmarkEnd w:id="22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13.19</w:t>
      </w:r>
      <w:r>
        <w:rPr>
          <w:sz w:val="20"/>
          <w:szCs w:val="20"/>
          <w:color w:val="auto"/>
        </w:rPr>
        <w:tab/>
      </w:r>
      <w:r>
        <w:rPr>
          <w:rFonts w:ascii="Arial" w:cs="Arial" w:eastAsia="Arial" w:hAnsi="Arial"/>
          <w:sz w:val="16"/>
          <w:szCs w:val="16"/>
          <w:b w:val="1"/>
          <w:bCs w:val="1"/>
          <w:color w:val="auto"/>
        </w:rPr>
        <w:t>Modification of insurance requirements</w:t>
      </w:r>
    </w:p>
    <w:p>
      <w:pPr>
        <w:spacing w:after="0" w:line="121" w:lineRule="exact"/>
        <w:rPr>
          <w:sz w:val="20"/>
          <w:szCs w:val="20"/>
          <w:color w:val="auto"/>
        </w:rPr>
      </w:pPr>
    </w:p>
    <w:p>
      <w:pPr>
        <w:ind w:left="920" w:right="220"/>
        <w:spacing w:after="0" w:line="286" w:lineRule="auto"/>
        <w:rPr>
          <w:sz w:val="20"/>
          <w:szCs w:val="20"/>
          <w:color w:val="auto"/>
        </w:rPr>
      </w:pPr>
      <w:r>
        <w:rPr>
          <w:rFonts w:ascii="Arial" w:cs="Arial" w:eastAsia="Arial" w:hAnsi="Arial"/>
          <w:sz w:val="17"/>
          <w:szCs w:val="17"/>
          <w:color w:val="auto"/>
        </w:rPr>
        <w:t>The Security Trustee shall notify each Borrower of any proposed modification under Clause 13.18 to the requirements of this Clause 13 which the Majority Lenders reasonably consider appropriate in the circumstances, and such modification shall take effect on and from the date it is notified in writing to the Borrowers as an amendment to this Clause 13 and shall bind the Borrowers accordingly.</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13.20</w:t>
      </w:r>
      <w:r>
        <w:rPr>
          <w:sz w:val="20"/>
          <w:szCs w:val="20"/>
          <w:color w:val="auto"/>
        </w:rPr>
        <w:tab/>
      </w:r>
      <w:r>
        <w:rPr>
          <w:rFonts w:ascii="Arial" w:cs="Arial" w:eastAsia="Arial" w:hAnsi="Arial"/>
          <w:sz w:val="16"/>
          <w:szCs w:val="16"/>
          <w:b w:val="1"/>
          <w:bCs w:val="1"/>
          <w:color w:val="auto"/>
        </w:rPr>
        <w:t>Compliance with mortgagee’s instructions</w:t>
      </w:r>
    </w:p>
    <w:p>
      <w:pPr>
        <w:spacing w:after="0" w:line="121"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The Security Trustee shall be entitled (without prejudice to or limitation of any other rights which it may have or acquire under any Finance Document) to require a Ship to remain at any safe port or to proceed to and remain at any safe port designated by the Security Trustee until the relevant Borrower implements any amendments to the terms of the obligatory insurances and any operational changes required as a result of a notice served under Clause 13.19.</w:t>
      </w:r>
    </w:p>
    <w:p>
      <w:pPr>
        <w:spacing w:after="0" w:line="331" w:lineRule="exact"/>
        <w:rPr>
          <w:sz w:val="20"/>
          <w:szCs w:val="20"/>
          <w:color w:val="auto"/>
        </w:rPr>
      </w:pPr>
    </w:p>
    <w:p>
      <w:pPr>
        <w:ind w:left="920" w:hanging="912"/>
        <w:spacing w:after="0"/>
        <w:tabs>
          <w:tab w:leader="none" w:pos="92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SHIP COVENANTS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Each Borrower also undertakes with each Creditor Party to comply with the following provisions of this Clause 14 at all times during the Security Period (after the Ship owned by it has been delivered to it under the relevant Shipbuilding Contract) except as the Facility Agent, with the authorisation of the Majority Lenders, may otherwise permit (in the case of the Clauses 14.2, 14.3(b), 14.13(e) and 14.14, such permission not to be unreasonably withheld).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Ship’s name and registration</w:t>
      </w:r>
    </w:p>
    <w:p>
      <w:pPr>
        <w:spacing w:after="0" w:line="121"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Each Borrower shall keep the Ship owned by it registered in its name under the relevant Approved Flag; shall not do, omit to do or allow to be done anything as a result of which such registration might be cancelled or imperilled and shall not change the name or port of registry of that Ship.</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Each Borrower shall keep the Ship owned by it in a good and safe condition and state of repair, sea and cargo worthy in all respects:</w:t>
      </w:r>
    </w:p>
    <w:p>
      <w:pPr>
        <w:spacing w:after="0" w:line="131" w:lineRule="exact"/>
        <w:rPr>
          <w:sz w:val="20"/>
          <w:szCs w:val="20"/>
          <w:color w:val="auto"/>
        </w:rPr>
      </w:pPr>
    </w:p>
    <w:p>
      <w:pPr>
        <w:ind w:left="920" w:hanging="912"/>
        <w:spacing w:after="0"/>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ind w:left="920" w:right="80" w:hanging="912"/>
        <w:spacing w:after="0" w:line="259" w:lineRule="auto"/>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so as to maintain the highest class with a classification society acceptable to the Majority Lenders (it being agreed that Lloyd’s Register and the American Bureau of Shipping shall be deemed acceptable) free of overdue recommendations and conditions and, upon the Security Trustee’s request, such classification society shall provide the Security Trustee with any information and documentation required in respect of that Ship as the same is maintained in the records of such classification society; and</w:t>
      </w:r>
    </w:p>
    <w:p>
      <w:pPr>
        <w:spacing w:after="0" w:line="92"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so as to comply with all laws and regulations applicable to vessels registered at ports in the relevant Approved Flag State or to vessels trading to any jurisdiction to which that Ship may trade from time to time, including but not limited to the ISM Code, the ISM Code Documentation and the ISPS Code,</w:t>
      </w:r>
    </w:p>
    <w:p>
      <w:pPr>
        <w:spacing w:after="0" w:line="73" w:lineRule="exact"/>
        <w:rPr>
          <w:rFonts w:ascii="Arial" w:cs="Arial" w:eastAsia="Arial" w:hAnsi="Arial"/>
          <w:sz w:val="18"/>
          <w:szCs w:val="18"/>
          <w:color w:val="auto"/>
        </w:rPr>
      </w:pPr>
    </w:p>
    <w:p>
      <w:pPr>
        <w:ind w:left="920" w:right="40"/>
        <w:spacing w:after="0" w:line="259" w:lineRule="auto"/>
        <w:rPr>
          <w:rFonts w:ascii="Arial" w:cs="Arial" w:eastAsia="Arial" w:hAnsi="Arial"/>
          <w:sz w:val="18"/>
          <w:szCs w:val="18"/>
          <w:color w:val="auto"/>
        </w:rPr>
      </w:pPr>
      <w:r>
        <w:rPr>
          <w:rFonts w:ascii="Arial" w:cs="Arial" w:eastAsia="Arial" w:hAnsi="Arial"/>
          <w:sz w:val="18"/>
          <w:szCs w:val="18"/>
          <w:color w:val="auto"/>
        </w:rPr>
        <w:t>and the Facility Agent shall be given power of attorney in the form attached as Schedule 6 to act on behalf of that Borrower in order to, inspect the class records and any files held by the classification society and to require the classification society to provide the Facility Agent or any of its nominees with any information, document or file, it might reasonably request and the classification society shall be fully entitled to rely hereon without any further inquiry.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0" w:right="259" w:bottom="1440" w:gutter="0" w:footer="0" w:header="0"/>
        </w:sectPr>
      </w:pPr>
    </w:p>
    <w:bookmarkStart w:id="229" w:name="page230"/>
    <w:bookmarkEnd w:id="22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14.4</w:t>
      </w:r>
      <w:r>
        <w:rPr>
          <w:sz w:val="20"/>
          <w:szCs w:val="20"/>
          <w:color w:val="auto"/>
        </w:rPr>
        <w:tab/>
      </w:r>
      <w:r>
        <w:rPr>
          <w:rFonts w:ascii="Arial" w:cs="Arial" w:eastAsia="Arial" w:hAnsi="Arial"/>
          <w:sz w:val="16"/>
          <w:szCs w:val="16"/>
          <w:b w:val="1"/>
          <w:bCs w:val="1"/>
          <w:color w:val="auto"/>
        </w:rPr>
        <w:t>Classification society undertaking</w:t>
      </w:r>
    </w:p>
    <w:p>
      <w:pPr>
        <w:spacing w:after="0" w:line="121" w:lineRule="exact"/>
        <w:rPr>
          <w:sz w:val="20"/>
          <w:szCs w:val="20"/>
          <w:color w:val="auto"/>
        </w:rPr>
      </w:pPr>
    </w:p>
    <w:p>
      <w:pPr>
        <w:ind w:left="920" w:right="840"/>
        <w:spacing w:after="0" w:line="277" w:lineRule="auto"/>
        <w:rPr>
          <w:sz w:val="20"/>
          <w:szCs w:val="20"/>
          <w:color w:val="auto"/>
        </w:rPr>
      </w:pPr>
      <w:r>
        <w:rPr>
          <w:rFonts w:ascii="Arial" w:cs="Arial" w:eastAsia="Arial" w:hAnsi="Arial"/>
          <w:sz w:val="18"/>
          <w:szCs w:val="18"/>
          <w:color w:val="auto"/>
        </w:rPr>
        <w:t>Each Borrower shall instruct the classification society referred to in Clause 14.3 (and shall use its best endeavours to procure that the classification society undertakes with the Security Trustee) in relation to the Ship owned by it:</w:t>
      </w:r>
    </w:p>
    <w:p>
      <w:pPr>
        <w:spacing w:after="0" w:line="76" w:lineRule="exact"/>
        <w:rPr>
          <w:sz w:val="20"/>
          <w:szCs w:val="20"/>
          <w:color w:val="auto"/>
        </w:rPr>
      </w:pPr>
    </w:p>
    <w:p>
      <w:pPr>
        <w:ind w:left="920" w:right="60" w:hanging="912"/>
        <w:spacing w:after="0" w:line="277" w:lineRule="auto"/>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send to the Security Trustee, following receipt of a written request from the Security Trustee, certified true copies of all original class records and any other related records held by the classification society in relation to that Ship;</w:t>
      </w:r>
    </w:p>
    <w:p>
      <w:pPr>
        <w:spacing w:after="0" w:line="75"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allow the Security Trustee (or its agents), at any time and from time to time, to inspect the original class and related records of that Ship at the offices of the classification society and to take copies of them;</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receives notification from that Borrower or any person that that Ship’s classification society is to be changed;</w:t>
      </w:r>
    </w:p>
    <w:p>
      <w:pPr>
        <w:spacing w:after="0" w:line="130" w:lineRule="exact"/>
        <w:rPr>
          <w:rFonts w:ascii="Arial" w:cs="Arial" w:eastAsia="Arial" w:hAnsi="Arial"/>
          <w:sz w:val="18"/>
          <w:szCs w:val="18"/>
          <w:color w:val="auto"/>
        </w:rPr>
      </w:pPr>
    </w:p>
    <w:p>
      <w:pPr>
        <w:ind w:left="1700" w:right="180" w:hanging="787"/>
        <w:spacing w:after="0" w:line="342" w:lineRule="auto"/>
        <w:tabs>
          <w:tab w:leader="none" w:pos="170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becomes aware of any facts or matters which may result in or have resulted in a change, suspension, discontinuance, withdrawal or expiry of that Ship’s class under the rules or terms and conditions of that Ship’s membership of the classification society;</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700" w:right="460" w:hanging="787"/>
        <w:spacing w:after="0" w:line="342" w:lineRule="auto"/>
        <w:tabs>
          <w:tab w:leader="none" w:pos="170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to confirm that that Borrower is not in default of any of its contractual obligations or liabilities to the classification society and, without limiting the foregoing, that it has paid in full all fees or other charges due and payable to the classification society; or</w:t>
      </w:r>
    </w:p>
    <w:p>
      <w:pPr>
        <w:spacing w:after="0" w:line="29" w:lineRule="exact"/>
        <w:rPr>
          <w:rFonts w:ascii="Arial" w:cs="Arial" w:eastAsia="Arial" w:hAnsi="Arial"/>
          <w:sz w:val="16"/>
          <w:szCs w:val="16"/>
          <w:color w:val="auto"/>
        </w:rPr>
      </w:pPr>
    </w:p>
    <w:p>
      <w:pPr>
        <w:jc w:val="both"/>
        <w:ind w:left="1700" w:right="140" w:hanging="787"/>
        <w:spacing w:after="0" w:line="264" w:lineRule="auto"/>
        <w:tabs>
          <w:tab w:leader="none" w:pos="1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that Borrower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No Borrower shall make any modification or repairs to, or replacement of, the Ship owned by it or equipment installed on her which would or might materially alter the structure, type or performance characteristics of that Ship or materially reduce her value.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ind w:left="920" w:right="100"/>
        <w:spacing w:after="0" w:line="297" w:lineRule="auto"/>
        <w:rPr>
          <w:sz w:val="20"/>
          <w:szCs w:val="20"/>
          <w:color w:val="auto"/>
        </w:rPr>
      </w:pPr>
      <w:r>
        <w:rPr>
          <w:rFonts w:ascii="Arial" w:cs="Arial" w:eastAsia="Arial" w:hAnsi="Arial"/>
          <w:sz w:val="16"/>
          <w:szCs w:val="16"/>
          <w:color w:val="auto"/>
        </w:rPr>
        <w:t xml:space="preserve">No Borrower shall remove any material part of the Ship owned by it, or any item of equipment installed on, that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relevant Ship the property of the relevant Borrower and subject to the security constituted by the Mortgage and any Deed of Covenant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 Borrower may install equipment owned by a third party if the equipment can be removed without any risk of damage to the Ship owned by it.</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270" w:right="339" w:bottom="1440" w:gutter="0" w:footer="0" w:header="0"/>
        </w:sectPr>
      </w:pPr>
    </w:p>
    <w:bookmarkStart w:id="230" w:name="page231"/>
    <w:bookmarkEnd w:id="23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14.7</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Each Borrower shall submit the Ship owned by it regularly to all periodical or other surveys which may be required for classification purposes and, if so required by the Majority Lenders provide the Security Trustee, with copies of all survey reports.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Technical Survey</w:t>
      </w:r>
    </w:p>
    <w:p>
      <w:pPr>
        <w:spacing w:after="0" w:line="121"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Without prejudice to a Borrower’s obligations pursuant to Clause14.7, if the survey report to be delivered as a condition to the drawdown of the Advance which shall be used to (inter alia) finance or refinance a Ship (as referred to in the applicable paragraph of Schedule 3) is not satisfactory to the Facility Agent (acting reasonably), that Borrower shall promptly following the request of the Facility Agent (to be made within 6 months of the Drawdown Date relative to the Advance which was used (inter alia) to finance or refinance the Delivery Advance of such Ship) submit the Ship owned by it for a technical survey by an independent surveyor or surveyors appointed by the Facility Agent. All fees and expenses incurred in relation to the appointment of the surveyor or surveyors and the preparation and issue of all technical reports pursuant to this Clause 14.8 shall be for the account of the Borrowers.</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ind w:left="920" w:right="40"/>
        <w:spacing w:after="0" w:line="276" w:lineRule="auto"/>
        <w:rPr>
          <w:sz w:val="20"/>
          <w:szCs w:val="20"/>
          <w:color w:val="auto"/>
        </w:rPr>
      </w:pPr>
      <w:r>
        <w:rPr>
          <w:rFonts w:ascii="Arial" w:cs="Arial" w:eastAsia="Arial" w:hAnsi="Arial"/>
          <w:sz w:val="17"/>
          <w:szCs w:val="17"/>
          <w:color w:val="auto"/>
        </w:rPr>
        <w:t xml:space="preserve">Each Borrower shall permit the Security Trustee (by surveyors or other persons appointed by it for that purpose) to board the Ship owned by it at all reasonable times to inspect her condition or to satisfy themselves about proposed or executed repairs and shall afford all proper facilities for such inspections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so long as a Ship is found to be in a satisfactory condition to the Facility Agent (acting reasonably) and no continuing Event of Default or Potential Event of Default shall be in existence, the Borrowers shall not be obliged to pay the fees and expenses incurred in connection with the inspection of the relevant Ship more than once in any twelve-month period.</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Prevention of and release from arrest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 discharge:</w:t>
      </w:r>
    </w:p>
    <w:p>
      <w:pPr>
        <w:spacing w:after="0" w:line="131" w:lineRule="exact"/>
        <w:rPr>
          <w:sz w:val="20"/>
          <w:szCs w:val="20"/>
          <w:color w:val="auto"/>
        </w:rPr>
      </w:pPr>
    </w:p>
    <w:p>
      <w:pPr>
        <w:ind w:left="920" w:right="200" w:hanging="912"/>
        <w:spacing w:after="0" w:line="277" w:lineRule="auto"/>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owned by it, its Earnings or Insurances;</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that Ship, its Earnings or Insurances;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all other outgoings whatsoever in respect of that Ship, its Earnings or Insurances,</w:t>
      </w:r>
    </w:p>
    <w:p>
      <w:pPr>
        <w:spacing w:after="0" w:line="117" w:lineRule="exact"/>
        <w:rPr>
          <w:rFonts w:ascii="Arial" w:cs="Arial" w:eastAsia="Arial" w:hAnsi="Arial"/>
          <w:sz w:val="18"/>
          <w:szCs w:val="18"/>
          <w:color w:val="auto"/>
        </w:rPr>
      </w:pPr>
    </w:p>
    <w:p>
      <w:pPr>
        <w:ind w:left="920" w:right="480"/>
        <w:spacing w:after="0" w:line="342" w:lineRule="auto"/>
        <w:rPr>
          <w:rFonts w:ascii="Arial" w:cs="Arial" w:eastAsia="Arial" w:hAnsi="Arial"/>
          <w:sz w:val="18"/>
          <w:szCs w:val="18"/>
          <w:color w:val="auto"/>
        </w:rPr>
      </w:pPr>
      <w:r>
        <w:rPr>
          <w:rFonts w:ascii="Arial" w:cs="Arial" w:eastAsia="Arial" w:hAnsi="Arial"/>
          <w:sz w:val="16"/>
          <w:szCs w:val="16"/>
          <w:color w:val="auto"/>
        </w:rPr>
        <w:t>and, forthwith upon receiving notice of the arrest of that Ship, or of her detention in exercise or purported exercise of any lien or claim, the Borrower which is the owner of that Ship shall procure her release by providing bail or otherwise as the circumstances may require.</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Compliance with laws etc.</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and shall procure that each Security Party shall:</w:t>
      </w:r>
    </w:p>
    <w:p>
      <w:pPr>
        <w:spacing w:after="0" w:line="131" w:lineRule="exact"/>
        <w:rPr>
          <w:sz w:val="20"/>
          <w:szCs w:val="20"/>
          <w:color w:val="auto"/>
        </w:rPr>
      </w:pPr>
    </w:p>
    <w:p>
      <w:pPr>
        <w:ind w:left="920" w:right="720" w:hanging="912"/>
        <w:spacing w:after="0" w:line="277" w:lineRule="auto"/>
        <w:tabs>
          <w:tab w:leader="none" w:pos="9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comply with the ISM Code, all Environmental Laws, all Sanctions, and all other laws or regulations relating to the Ship owned by it, its ownership, operation and management or to the business of that Borrower;</w:t>
      </w:r>
    </w:p>
    <w:p>
      <w:pPr>
        <w:spacing w:after="0" w:line="75" w:lineRule="exact"/>
        <w:rPr>
          <w:rFonts w:ascii="Arial" w:cs="Arial" w:eastAsia="Arial" w:hAnsi="Arial"/>
          <w:sz w:val="18"/>
          <w:szCs w:val="18"/>
          <w:color w:val="auto"/>
        </w:rPr>
      </w:pPr>
    </w:p>
    <w:p>
      <w:pPr>
        <w:ind w:left="920" w:right="720" w:hanging="912"/>
        <w:spacing w:after="0" w:line="277" w:lineRule="auto"/>
        <w:tabs>
          <w:tab w:leader="none" w:pos="9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not employ the Ship owned by it nor allow her employment in any manner contrary to any law or regulation in any relevant jurisdiction including, but not limited to, the ISM Code and the ISPS Code;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231" w:name="page232"/>
    <w:bookmarkEnd w:id="231"/>
    <w:p>
      <w:pPr>
        <w:jc w:val="both"/>
        <w:ind w:left="920" w:right="240" w:hanging="912"/>
        <w:spacing w:after="0" w:line="259" w:lineRule="auto"/>
        <w:tabs>
          <w:tab w:leader="none" w:pos="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hostilities in any part of the world (whether war is declared or not), not cause or permit the Ship owned by it to enter or trade to any zone which is declared a war zone by any government or by that Ship’s war risks insurers unless the prior written consent of the Majority Lenders has been given and that Borrower has (at its expense) effected any special, additional or modified insurance cover which the Majority Lenders may require.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 provide the Security Trustee with any information which the Majority Lenders request regarding:</w:t>
      </w:r>
    </w:p>
    <w:p>
      <w:pPr>
        <w:spacing w:after="0" w:line="131" w:lineRule="exact"/>
        <w:rPr>
          <w:sz w:val="20"/>
          <w:szCs w:val="20"/>
          <w:color w:val="auto"/>
        </w:rPr>
      </w:pPr>
    </w:p>
    <w:p>
      <w:pPr>
        <w:ind w:left="920" w:hanging="912"/>
        <w:spacing w:after="0"/>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Ship owned by it, her employment, position and engagements;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the Ship owned by it;</w:t>
      </w:r>
    </w:p>
    <w:p>
      <w:pPr>
        <w:spacing w:after="0" w:line="13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the Ship owned by it and any payments made in respect of that Ship;</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its compliance, and the compliance of the Ship owned by it with the ISM Code and the ISPS Code,</w:t>
      </w:r>
    </w:p>
    <w:p>
      <w:pPr>
        <w:spacing w:after="0" w:line="117" w:lineRule="exact"/>
        <w:rPr>
          <w:rFonts w:ascii="Arial" w:cs="Arial" w:eastAsia="Arial" w:hAnsi="Arial"/>
          <w:sz w:val="18"/>
          <w:szCs w:val="18"/>
          <w:color w:val="auto"/>
        </w:rPr>
      </w:pPr>
    </w:p>
    <w:p>
      <w:pPr>
        <w:ind w:left="920" w:right="640"/>
        <w:spacing w:after="0" w:line="277" w:lineRule="auto"/>
        <w:rPr>
          <w:rFonts w:ascii="Arial" w:cs="Arial" w:eastAsia="Arial" w:hAnsi="Arial"/>
          <w:sz w:val="18"/>
          <w:szCs w:val="18"/>
          <w:color w:val="auto"/>
        </w:rPr>
      </w:pPr>
      <w:r>
        <w:rPr>
          <w:rFonts w:ascii="Arial" w:cs="Arial" w:eastAsia="Arial" w:hAnsi="Arial"/>
          <w:sz w:val="18"/>
          <w:szCs w:val="18"/>
          <w:color w:val="auto"/>
        </w:rPr>
        <w:t>and, upon the Security Trustee’s request, provide copies of any current charter relating to the Ship owned by it and of any current charter guarantee, and copies of the ISM Code Documentation and the ISCC.</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color w:val="auto"/>
        </w:rPr>
        <w:t>Notification of certain events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immediately notify the Security Trustee by letter of:</w:t>
      </w:r>
    </w:p>
    <w:p>
      <w:pPr>
        <w:spacing w:after="0" w:line="131" w:lineRule="exact"/>
        <w:rPr>
          <w:sz w:val="20"/>
          <w:szCs w:val="20"/>
          <w:color w:val="auto"/>
        </w:rPr>
      </w:pPr>
    </w:p>
    <w:p>
      <w:pPr>
        <w:ind w:left="920" w:hanging="912"/>
        <w:spacing w:after="0"/>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any occurrence as a result of which the Ship owned by it has become or is, by the passing of time or otherwise, likely to become a Total Loss;</w:t>
      </w:r>
    </w:p>
    <w:p>
      <w:pPr>
        <w:spacing w:after="0" w:line="153" w:lineRule="exact"/>
        <w:rPr>
          <w:rFonts w:ascii="Arial" w:cs="Arial" w:eastAsia="Arial" w:hAnsi="Arial"/>
          <w:sz w:val="16"/>
          <w:szCs w:val="16"/>
          <w:color w:val="auto"/>
        </w:rPr>
      </w:pPr>
    </w:p>
    <w:p>
      <w:pPr>
        <w:ind w:left="920" w:right="80" w:hanging="912"/>
        <w:spacing w:after="0" w:line="277" w:lineRule="auto"/>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requirement, overdue condition or recommendation made by any insurer or classification society or by any competent authority which is not immediately complied with;</w:t>
      </w:r>
    </w:p>
    <w:p>
      <w:pPr>
        <w:spacing w:after="0" w:line="75"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arrest or detention of the Ship owned by it, any exercise or purported exercise of any lien on that Ship or her Earnings or any requisition of that Ship for hire,</w:t>
      </w:r>
    </w:p>
    <w:p>
      <w:pPr>
        <w:spacing w:after="0" w:line="75"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intended dry docking of the Ship owned by it where the cost of the dry docking will, or is likely to, exceed $1,500,000 (or the equivalent in any other currency) in aggregate;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Environmental Claim made against that Borrower or in connection with the Ship owned by it or any Environmental Incident;</w:t>
      </w:r>
    </w:p>
    <w:p>
      <w:pPr>
        <w:spacing w:after="0" w:line="130" w:lineRule="exact"/>
        <w:rPr>
          <w:rFonts w:ascii="Arial" w:cs="Arial" w:eastAsia="Arial" w:hAnsi="Arial"/>
          <w:sz w:val="18"/>
          <w:szCs w:val="18"/>
          <w:color w:val="auto"/>
        </w:rPr>
      </w:pPr>
    </w:p>
    <w:p>
      <w:pPr>
        <w:ind w:left="920" w:right="260" w:hanging="912"/>
        <w:spacing w:after="0" w:line="277" w:lineRule="auto"/>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that Borrower, the Approved Manager or otherwise in connection with the Ship owned by it; or</w:t>
      </w:r>
    </w:p>
    <w:p>
      <w:pPr>
        <w:spacing w:after="0" w:line="75" w:lineRule="exact"/>
        <w:rPr>
          <w:rFonts w:ascii="Arial" w:cs="Arial" w:eastAsia="Arial" w:hAnsi="Arial"/>
          <w:sz w:val="18"/>
          <w:szCs w:val="18"/>
          <w:color w:val="auto"/>
        </w:rPr>
      </w:pPr>
    </w:p>
    <w:p>
      <w:pPr>
        <w:ind w:left="920" w:right="500" w:hanging="912"/>
        <w:spacing w:after="0" w:line="277" w:lineRule="auto"/>
        <w:tabs>
          <w:tab w:leader="none" w:pos="9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232" w:name="page233"/>
    <w:bookmarkEnd w:id="232"/>
    <w:p>
      <w:pPr>
        <w:ind w:left="92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that Borrower shall keep the Security Trustee advised in writing on a regular basis and in such detail as the Security Trustee shall require of that Borrower’s, the Approved Manager’s or any other person’s response to any of those events or matters.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5"/>
          <w:szCs w:val="15"/>
          <w:b w:val="1"/>
          <w:bCs w:val="1"/>
          <w:color w:val="auto"/>
        </w:rPr>
        <w:t>Restrictions on, appointment of managers etc.</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shall:</w:t>
      </w:r>
    </w:p>
    <w:p>
      <w:pPr>
        <w:spacing w:after="0" w:line="131" w:lineRule="exact"/>
        <w:rPr>
          <w:sz w:val="20"/>
          <w:szCs w:val="20"/>
          <w:color w:val="auto"/>
        </w:rPr>
      </w:pPr>
    </w:p>
    <w:p>
      <w:pPr>
        <w:ind w:left="920" w:right="100" w:hanging="912"/>
        <w:spacing w:after="0" w:line="277" w:lineRule="auto"/>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enter into any time charter (including, without limitation, any Charterparty) in relation to the Ship owned by it under which more than 2 months’ hire (or the equivalent) is payable in advance;</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charter the Ship owned by it otherwise than on bona fide arm’s length terms at the time when the Ship is fixed;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appoint a manager of the Ship owned by it other than the Approved Manager;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de-activate or lay up the Ship owned by it; or</w:t>
      </w:r>
    </w:p>
    <w:p>
      <w:pPr>
        <w:spacing w:after="0" w:line="130" w:lineRule="exact"/>
        <w:rPr>
          <w:rFonts w:ascii="Arial" w:cs="Arial" w:eastAsia="Arial" w:hAnsi="Arial"/>
          <w:sz w:val="18"/>
          <w:szCs w:val="18"/>
          <w:color w:val="auto"/>
        </w:rPr>
      </w:pPr>
    </w:p>
    <w:p>
      <w:pPr>
        <w:ind w:left="920" w:right="140" w:hanging="912"/>
        <w:spacing w:after="0" w:line="286" w:lineRule="auto"/>
        <w:tabs>
          <w:tab w:leader="none" w:pos="92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put the Ship owned by it into the possession of any person for the purpose of work being done upon her in an amount exceeding or likely to exceed $1,000,000 (or the equivalent in any other currency) unless that person has first given to the Security Trustee and in terms satisfactory to it a written undertaking not to exercise any lien on that Ship or her Earnings for the cost of such work or otherwise.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Notice of Mortgage</w:t>
      </w:r>
    </w:p>
    <w:p>
      <w:pPr>
        <w:spacing w:after="0" w:line="121"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Each Borrower shall keep the Mortgage registered against the Ship owned by it as a valid first priority or, as the case may be, preferred mortgage, carry on board that Ship a certified copy of the relevant Mortgage and place and maintain in a conspicuous place in the navigation room and the Master’s cabin of that Ship a framed printed notice stating that that Ship is mortgaged by that Borrower to the Security Trustee.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color w:val="auto"/>
        </w:rPr>
        <w:t>Sharing of Earnings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Borrower shall:</w:t>
      </w:r>
    </w:p>
    <w:p>
      <w:pPr>
        <w:spacing w:after="0" w:line="131" w:lineRule="exact"/>
        <w:rPr>
          <w:sz w:val="20"/>
          <w:szCs w:val="20"/>
          <w:color w:val="auto"/>
        </w:rPr>
      </w:pPr>
    </w:p>
    <w:p>
      <w:pPr>
        <w:ind w:left="920" w:hanging="912"/>
        <w:spacing w:after="0"/>
        <w:tabs>
          <w:tab w:leader="none" w:pos="9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enter into any agreement or arrangement for the sharing of any Earnings;</w:t>
      </w:r>
    </w:p>
    <w:p>
      <w:pPr>
        <w:spacing w:after="0" w:line="130" w:lineRule="exact"/>
        <w:rPr>
          <w:rFonts w:ascii="Arial" w:cs="Arial" w:eastAsia="Arial" w:hAnsi="Arial"/>
          <w:sz w:val="18"/>
          <w:szCs w:val="18"/>
          <w:color w:val="auto"/>
        </w:rPr>
      </w:pPr>
    </w:p>
    <w:p>
      <w:pPr>
        <w:ind w:left="920" w:right="320" w:hanging="912"/>
        <w:spacing w:after="0" w:line="277" w:lineRule="auto"/>
        <w:tabs>
          <w:tab w:leader="none" w:pos="9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enter into any agreement or arrangement for the postponement of any date on which any Earnings are due; the reduction of the amount of any Earnings or otherwise for the release or adverse alteration of any right of that Borrower to any Earnings;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enter into any agreement or arrangement for the release of, or adverse alteration to, any guarantee or Security Interest relating to any Earnings.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14.17</w:t>
      </w:r>
      <w:r>
        <w:rPr>
          <w:sz w:val="20"/>
          <w:szCs w:val="20"/>
          <w:color w:val="auto"/>
        </w:rPr>
        <w:tab/>
      </w:r>
      <w:r>
        <w:rPr>
          <w:rFonts w:ascii="Arial" w:cs="Arial" w:eastAsia="Arial" w:hAnsi="Arial"/>
          <w:sz w:val="16"/>
          <w:szCs w:val="16"/>
          <w:b w:val="1"/>
          <w:bCs w:val="1"/>
          <w:color w:val="auto"/>
        </w:rPr>
        <w:t>ISPS Code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comply with the ISPS Code and in particular, without limitation, shall:</w:t>
      </w:r>
    </w:p>
    <w:p>
      <w:pPr>
        <w:spacing w:after="0" w:line="131" w:lineRule="exact"/>
        <w:rPr>
          <w:sz w:val="20"/>
          <w:szCs w:val="20"/>
          <w:color w:val="auto"/>
        </w:rPr>
      </w:pPr>
    </w:p>
    <w:p>
      <w:pPr>
        <w:ind w:left="920" w:hanging="912"/>
        <w:spacing w:after="0"/>
        <w:tabs>
          <w:tab w:leader="none" w:pos="9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procure that the Ship and the company responsible for that Ship’s compliance with the ISPS Code comply with the ISPS Code;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maintain for that Ship an ISSC; and</w:t>
      </w:r>
    </w:p>
    <w:p>
      <w:pPr>
        <w:spacing w:after="0" w:line="130" w:lineRule="exact"/>
        <w:rPr>
          <w:rFonts w:ascii="Arial" w:cs="Arial" w:eastAsia="Arial" w:hAnsi="Arial"/>
          <w:sz w:val="18"/>
          <w:szCs w:val="18"/>
          <w:color w:val="auto"/>
        </w:rPr>
      </w:pPr>
    </w:p>
    <w:p>
      <w:pPr>
        <w:ind w:left="5620" w:right="280" w:hanging="5612"/>
        <w:spacing w:after="0" w:line="449" w:lineRule="auto"/>
        <w:tabs>
          <w:tab w:leader="none" w:pos="90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notify the Facility Agent immediately in writing of any actual or threatened withdrawal, suspension, cancellation or modification of the ISSC. 59</w:t>
      </w:r>
    </w:p>
    <w:p>
      <w:pPr>
        <w:sectPr>
          <w:pgSz w:w="11900" w:h="16838" w:orient="portrait"/>
          <w:cols w:equalWidth="0" w:num="1">
            <w:col w:w="11420"/>
          </w:cols>
          <w:pgMar w:left="240" w:top="274" w:right="239" w:bottom="1440" w:gutter="0" w:footer="0" w:header="0"/>
        </w:sectPr>
      </w:pPr>
    </w:p>
    <w:bookmarkStart w:id="233" w:name="page234"/>
    <w:bookmarkEnd w:id="23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14.18</w:t>
      </w:r>
      <w:r>
        <w:rPr>
          <w:sz w:val="20"/>
          <w:szCs w:val="20"/>
          <w:color w:val="auto"/>
        </w:rPr>
        <w:tab/>
      </w:r>
      <w:r>
        <w:rPr>
          <w:rFonts w:ascii="Arial" w:cs="Arial" w:eastAsia="Arial" w:hAnsi="Arial"/>
          <w:sz w:val="16"/>
          <w:szCs w:val="16"/>
          <w:b w:val="1"/>
          <w:bCs w:val="1"/>
          <w:color w:val="auto"/>
        </w:rPr>
        <w:t>Time Charter Assignment</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If any Borrower enters into any Charterparty in respect of its Ship, the relevant Borrower shall execute a Charterparty Assignment, and shall deliver to the Facility Agent such other documents equivalent to those referred to at paragraphs 3, 4, 5 and 7 of Part A of Schedule 3 hereof as the Facility Agent may require.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14.19</w:t>
      </w:r>
      <w:r>
        <w:rPr>
          <w:sz w:val="20"/>
          <w:szCs w:val="20"/>
          <w:color w:val="auto"/>
        </w:rPr>
        <w:tab/>
      </w:r>
      <w:r>
        <w:rPr>
          <w:rFonts w:ascii="Arial" w:cs="Arial" w:eastAsia="Arial" w:hAnsi="Arial"/>
          <w:sz w:val="15"/>
          <w:szCs w:val="15"/>
          <w:b w:val="1"/>
          <w:bCs w:val="1"/>
          <w:color w:val="auto"/>
        </w:rPr>
        <w:t>Sanctions Provisions</w:t>
      </w:r>
    </w:p>
    <w:p>
      <w:pPr>
        <w:spacing w:after="0" w:line="135" w:lineRule="exact"/>
        <w:rPr>
          <w:sz w:val="20"/>
          <w:szCs w:val="20"/>
          <w:color w:val="auto"/>
        </w:rPr>
      </w:pPr>
    </w:p>
    <w:p>
      <w:pPr>
        <w:ind w:left="920" w:right="60" w:hanging="912"/>
        <w:spacing w:after="0" w:line="259" w:lineRule="auto"/>
        <w:tabs>
          <w:tab w:leader="none" w:pos="9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Borrower shall, and shall procure that the Guarantor and each other Security Party shall, in respect of any charterer of any of the Ships (including any Approved Charterer), shall use all reasonable endeavours to procure that the charterer shall, comply in all respects with all laws to which it may be subject, including, without limitation, all national and international laws, directives, regulations, decrees, rulings and such analogous rules, including, but not limited to, rules relating to Sanctions.</w:t>
      </w:r>
    </w:p>
    <w:p>
      <w:pPr>
        <w:spacing w:after="0" w:line="92" w:lineRule="exact"/>
        <w:rPr>
          <w:rFonts w:ascii="Arial" w:cs="Arial" w:eastAsia="Arial" w:hAnsi="Arial"/>
          <w:sz w:val="18"/>
          <w:szCs w:val="18"/>
          <w:color w:val="auto"/>
        </w:rPr>
      </w:pPr>
    </w:p>
    <w:p>
      <w:pPr>
        <w:ind w:left="920" w:right="140" w:hanging="912"/>
        <w:spacing w:after="0" w:line="277" w:lineRule="auto"/>
        <w:tabs>
          <w:tab w:leader="none" w:pos="9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Borrower undertakes to make the Approved Charterer and all other charterers and operators of each Ship aware of the requirements of this Clause 14.19 and of Clause 10.20 and shall procure that they act in accordance with these requirements.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SECURITY COVER</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15.1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Minimum required security cover</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Clause 15.2 applies if the Facility Agent notifies the Borrowers that either Security Cover Ratio is below 120 per cent.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15.2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Provision of additional security; prepayment</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If the Facility Agent serves a notice on the Borrowers under Clause 15.1, the Borrowers shall prepay such part (at least) of the outstanding</w:t>
            </w:r>
          </w:p>
        </w:tc>
      </w:tr>
      <w:tr>
        <w:trPr>
          <w:trHeight w:val="212"/>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amount of the Loan as will eliminate the shortfall on or before the date falling 45 days after the date on which the Facility Agent’s notice is</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served under Clause 15.1 (the “</w:t>
            </w:r>
            <w:r>
              <w:rPr>
                <w:rFonts w:ascii="Arial" w:cs="Arial" w:eastAsia="Arial" w:hAnsi="Arial"/>
                <w:sz w:val="18"/>
                <w:szCs w:val="18"/>
                <w:b w:val="1"/>
                <w:bCs w:val="1"/>
                <w:color w:val="auto"/>
                <w:w w:val="90"/>
              </w:rPr>
              <w:t>Prepayment Date</w:t>
            </w:r>
            <w:r>
              <w:rPr>
                <w:rFonts w:ascii="Arial" w:cs="Arial" w:eastAsia="Arial" w:hAnsi="Arial"/>
                <w:sz w:val="18"/>
                <w:szCs w:val="18"/>
                <w:color w:val="auto"/>
                <w:w w:val="90"/>
              </w:rPr>
              <w:t>”) unless at least 1 Business Day before the Prepayment Date prepays such part of the Loan as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shall eliminate the shortfall or they have provided, or ensured that a third party has provided, additional security acceptable to the Majority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Lenders and which, in the opinion of the Majority Lenders, has a net realisable value at least equal to the shortfall and is documented in such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terms and securing such part of the Loan and such Swap Exposure as the Facility Agent may, with authorisation from the Majority Lenders,</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approve or require.</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15.3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Requirement for additional documents</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The Borrowers shall not be deemed to have complied with Clause 15.2 above until the Facility Agent has received in connection with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additional security certified copies of documents of the kinds referred to in paragraphs 3, 4 and 5 of Schedule 3, Part A and such legal opinions in</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terms acceptable to the Majority Lenders from such lawyers as they may select.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15.4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Valuation of Ships</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The Market Value of a Ship at any date is that shown by the arithmetic average of two valuations each prepared:</w:t>
            </w:r>
          </w:p>
        </w:tc>
      </w:tr>
    </w:tbl>
    <w:p>
      <w:pPr>
        <w:spacing w:after="0" w:line="107" w:lineRule="exact"/>
        <w:rPr>
          <w:sz w:val="20"/>
          <w:szCs w:val="20"/>
          <w:color w:val="auto"/>
        </w:rPr>
      </w:pPr>
    </w:p>
    <w:p>
      <w:pPr>
        <w:ind w:left="920" w:hanging="912"/>
        <w:spacing w:after="0"/>
        <w:tabs>
          <w:tab w:leader="none" w:pos="9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as at a date not more than 14 days previously and, for the purposes of Clause 15.9, each Compliance Date and each date of Dropdown;</w:t>
      </w:r>
    </w:p>
    <w:p>
      <w:pPr>
        <w:spacing w:after="0" w:line="142" w:lineRule="exact"/>
        <w:rPr>
          <w:rFonts w:ascii="Arial" w:cs="Arial" w:eastAsia="Arial" w:hAnsi="Arial"/>
          <w:sz w:val="17"/>
          <w:szCs w:val="17"/>
          <w:color w:val="auto"/>
        </w:rPr>
      </w:pPr>
    </w:p>
    <w:p>
      <w:pPr>
        <w:ind w:left="920" w:hanging="912"/>
        <w:spacing w:after="0"/>
        <w:tabs>
          <w:tab w:leader="none" w:pos="9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by an Approved Broker nominated and appointed by the Borrowers;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0" w:right="239" w:bottom="1440" w:gutter="0" w:footer="0" w:header="0"/>
        </w:sectPr>
      </w:pPr>
    </w:p>
    <w:bookmarkStart w:id="234" w:name="page235"/>
    <w:bookmarkEnd w:id="234"/>
    <w:p>
      <w:pPr>
        <w:ind w:left="920" w:hanging="912"/>
        <w:spacing w:after="0"/>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or without physical inspection of the relevant Ship (as the Facility Agent may require);</w:t>
      </w:r>
    </w:p>
    <w:p>
      <w:pPr>
        <w:spacing w:after="0" w:line="130" w:lineRule="exact"/>
        <w:rPr>
          <w:rFonts w:ascii="Arial" w:cs="Arial" w:eastAsia="Arial" w:hAnsi="Arial"/>
          <w:sz w:val="18"/>
          <w:szCs w:val="18"/>
          <w:color w:val="auto"/>
        </w:rPr>
      </w:pPr>
    </w:p>
    <w:p>
      <w:pPr>
        <w:ind w:left="920" w:right="100" w:hanging="912"/>
        <w:spacing w:after="0" w:line="277" w:lineRule="auto"/>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113" w:lineRule="exact"/>
        <w:rPr>
          <w:rFonts w:ascii="Arial" w:cs="Arial" w:eastAsia="Arial" w:hAnsi="Arial"/>
          <w:sz w:val="18"/>
          <w:szCs w:val="18"/>
          <w:color w:val="auto"/>
        </w:rPr>
      </w:pPr>
    </w:p>
    <w:p>
      <w:pPr>
        <w:ind w:left="9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if the difference between the 2 valuations obtained at any one time pursuant to this Clause 15.4 is greater than 15 per cent. a</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shall be commissioned from a third Approved Broker appointed by the Facility Agent. Such valuation shall be conducted in accordance with this Clause 15.4 and the Market Value of that Ship in such circumstances shall be the average of the initial 2 valuations and the valuation provided by the third Approved Broker.</w:t>
      </w:r>
    </w:p>
    <w:p>
      <w:pPr>
        <w:spacing w:after="0" w:line="7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 this Clause 15.4 “</w:t>
      </w:r>
      <w:r>
        <w:rPr>
          <w:rFonts w:ascii="Arial" w:cs="Arial" w:eastAsia="Arial" w:hAnsi="Arial"/>
          <w:sz w:val="18"/>
          <w:szCs w:val="18"/>
          <w:b w:val="1"/>
          <w:bCs w:val="1"/>
          <w:color w:val="auto"/>
        </w:rPr>
        <w:t>Compliance Date</w:t>
      </w:r>
      <w:r>
        <w:rPr>
          <w:rFonts w:ascii="Arial" w:cs="Arial" w:eastAsia="Arial" w:hAnsi="Arial"/>
          <w:sz w:val="18"/>
          <w:szCs w:val="18"/>
          <w:color w:val="auto"/>
        </w:rPr>
        <w:t>” means 30 June and 31 December in each financial year of the Borrowers.</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Value of additional security</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net realisable value of any additional security which is provided under Clause 15.2 and which consists of a Security Interest over a vessel shall be that shown by a valuation complying with the requirements of Clause 15.4.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Any valuation under Clause 15.2, 15.4 or 15.5 shall be binding and conclusive as regards the Borrowers, as shall be any valuation which the Majority Lenders make of a security which does not consist of or include a Security Interest.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The Borrowers shall promptly provide the Facility Agent and any Approved Broker or expert acting under Clause 15.4 or 15.5 with any information which the Facility Agent or the Approved Broker or expert may request for the purposes of the valuation; and, if the Borrowers fail to provide the information by the date specified in the request, the valuation may be made on any basis and assumptions which the Approved Broker or the Majority Lenders (or the expert appointed by them) consider prudent.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ind w:left="920" w:right="300"/>
        <w:spacing w:after="0" w:line="312" w:lineRule="auto"/>
        <w:rPr>
          <w:sz w:val="20"/>
          <w:szCs w:val="20"/>
          <w:color w:val="auto"/>
        </w:rPr>
      </w:pPr>
      <w:r>
        <w:rPr>
          <w:rFonts w:ascii="Arial" w:cs="Arial" w:eastAsia="Arial" w:hAnsi="Arial"/>
          <w:sz w:val="16"/>
          <w:szCs w:val="16"/>
          <w:color w:val="auto"/>
        </w:rPr>
        <w:t>Without prejudice to the generality of the Borrowers’ obligations under Clauses 20.2, 20.3 and 21.4, the Borrowers shall, on demand, pay the Facility Agent the amount of the reasonable fees and expenses of any Approved Broker or expert instructed by the Facility Agent under this Clause and all reasonable legal and other expenses incurred by any Creditor Party in connection with any matter arising out of this Clause.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5"/>
          <w:szCs w:val="15"/>
          <w:b w:val="1"/>
          <w:bCs w:val="1"/>
          <w:color w:val="auto"/>
        </w:rPr>
        <w:t>Frequency of valuations</w:t>
      </w:r>
    </w:p>
    <w:p>
      <w:pPr>
        <w:spacing w:after="0" w:line="121" w:lineRule="exact"/>
        <w:rPr>
          <w:sz w:val="20"/>
          <w:szCs w:val="20"/>
          <w:color w:val="auto"/>
        </w:rPr>
      </w:pPr>
    </w:p>
    <w:p>
      <w:pPr>
        <w:ind w:left="920" w:right="100"/>
        <w:spacing w:after="0" w:line="297" w:lineRule="auto"/>
        <w:rPr>
          <w:sz w:val="20"/>
          <w:szCs w:val="20"/>
          <w:color w:val="auto"/>
        </w:rPr>
      </w:pPr>
      <w:r>
        <w:rPr>
          <w:rFonts w:ascii="Arial" w:cs="Arial" w:eastAsia="Arial" w:hAnsi="Arial"/>
          <w:sz w:val="16"/>
          <w:szCs w:val="16"/>
          <w:color w:val="auto"/>
        </w:rPr>
        <w:t xml:space="preserve">The Borrowers shall provide the Facility Agent with valuations of the Ships at such times as the Majority Lenders shall reasonably deem necessary and, in any event, on the dates on which the Guarantor or Substitute Guarantor as may be relevant provides a Compliance Certificate (as such term is defined in the Guarantee or New Guarantee, as the case may be) in accordance with Clause 12.5 of the Guarantee or, as the case may be, the corresponding clause of the New Guarantee and on each date of Dropdown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so long as no Event of Default has occurred, the Borrowers shall not be obliged to pay for more than two sets of valuations of each Ship during each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235" w:name="page236"/>
    <w:bookmarkEnd w:id="235"/>
    <w:p>
      <w:pPr>
        <w:ind w:left="920" w:hanging="912"/>
        <w:spacing w:after="0"/>
        <w:tabs>
          <w:tab w:leader="none" w:pos="92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AND CALCULATIONS</w:t>
      </w:r>
    </w:p>
    <w:p>
      <w:pPr>
        <w:spacing w:after="0" w:line="130" w:lineRule="exact"/>
        <w:rPr>
          <w:rFonts w:ascii="Arial" w:cs="Arial" w:eastAsia="Arial" w:hAnsi="Arial"/>
          <w:sz w:val="18"/>
          <w:szCs w:val="18"/>
          <w:b w:val="1"/>
          <w:bCs w:val="1"/>
          <w:color w:val="auto"/>
        </w:rPr>
      </w:pPr>
    </w:p>
    <w:p>
      <w:pPr>
        <w:ind w:left="920" w:right="7680" w:hanging="913"/>
        <w:spacing w:after="0" w:line="434" w:lineRule="auto"/>
        <w:rPr>
          <w:rFonts w:ascii="Arial" w:cs="Arial" w:eastAsia="Arial" w:hAnsi="Arial"/>
          <w:sz w:val="18"/>
          <w:szCs w:val="18"/>
          <w:b w:val="1"/>
          <w:bCs w:val="1"/>
          <w:color w:val="auto"/>
        </w:rPr>
      </w:pPr>
      <w:r>
        <w:rPr>
          <w:rFonts w:ascii="Arial" w:cs="Arial" w:eastAsia="Arial" w:hAnsi="Arial"/>
          <w:sz w:val="18"/>
          <w:szCs w:val="18"/>
          <w:b w:val="1"/>
          <w:bCs w:val="1"/>
          <w:color w:val="auto"/>
        </w:rPr>
        <w:t>16.1</w:t>
      </w:r>
      <w:r>
        <w:rPr>
          <w:rFonts w:ascii="Arial" w:cs="Arial" w:eastAsia="Arial" w:hAnsi="Arial"/>
          <w:sz w:val="16"/>
          <w:szCs w:val="16"/>
          <w:b w:val="1"/>
          <w:bCs w:val="1"/>
          <w:color w:val="auto"/>
        </w:rPr>
        <w:t xml:space="preserve">Currency and method of payments </w:t>
      </w:r>
      <w:r>
        <w:rPr>
          <w:rFonts w:ascii="Arial" w:cs="Arial" w:eastAsia="Arial" w:hAnsi="Arial"/>
          <w:sz w:val="16"/>
          <w:szCs w:val="16"/>
          <w:color w:val="auto"/>
        </w:rPr>
        <w:t>All payments to be made:</w:t>
      </w:r>
    </w:p>
    <w:p>
      <w:pPr>
        <w:ind w:left="920" w:hanging="912"/>
        <w:spacing w:after="0"/>
        <w:tabs>
          <w:tab w:leader="none" w:pos="9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by the Lenders to the Facility Agent;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by the Borrowers to the Facility Agent, the Security Trustee or any Lender,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under a Finance Document shall be made to the Facility Agent or to the Security Trustee, in the case of an amount payable to it:</w:t>
      </w:r>
    </w:p>
    <w:p>
      <w:pPr>
        <w:spacing w:after="0" w:line="142" w:lineRule="exact"/>
        <w:rPr>
          <w:rFonts w:ascii="Arial" w:cs="Arial" w:eastAsia="Arial" w:hAnsi="Arial"/>
          <w:sz w:val="18"/>
          <w:szCs w:val="18"/>
          <w:color w:val="auto"/>
        </w:rPr>
      </w:pPr>
    </w:p>
    <w:p>
      <w:pPr>
        <w:ind w:left="1700" w:hanging="787"/>
        <w:spacing w:after="0"/>
        <w:tabs>
          <w:tab w:leader="none" w:pos="17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ind w:left="1700" w:right="180" w:hanging="787"/>
        <w:spacing w:after="0" w:line="264" w:lineRule="auto"/>
        <w:tabs>
          <w:tab w:leader="none" w:pos="17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Facility Agent shall specify as being customary at the time for the settlement of international transactions of the type contemplated by this Agreement);</w:t>
      </w:r>
    </w:p>
    <w:p>
      <w:pPr>
        <w:spacing w:after="0" w:line="86" w:lineRule="exact"/>
        <w:rPr>
          <w:rFonts w:ascii="Arial" w:cs="Arial" w:eastAsia="Arial" w:hAnsi="Arial"/>
          <w:sz w:val="18"/>
          <w:szCs w:val="18"/>
          <w:color w:val="auto"/>
        </w:rPr>
      </w:pPr>
    </w:p>
    <w:p>
      <w:pPr>
        <w:ind w:left="1700" w:right="200" w:hanging="787"/>
        <w:spacing w:after="0" w:line="277" w:lineRule="auto"/>
        <w:tabs>
          <w:tab w:leader="none" w:pos="17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the case of an amount payable by a Lender to the Facility Agent or by the Borrowers to the Facility Agent or any Lender, to the account of the Facility Agent with the following payment instructions:</w:t>
      </w:r>
    </w:p>
    <w:p>
      <w:pPr>
        <w:sectPr>
          <w:pgSz w:w="11900" w:h="16838" w:orient="portrait"/>
          <w:cols w:equalWidth="0" w:num="1">
            <w:col w:w="11260"/>
          </w:cols>
          <w:pgMar w:left="240" w:top="270" w:right="399" w:bottom="1440" w:gutter="0" w:footer="0" w:header="0"/>
        </w:sectPr>
      </w:pP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Account: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New York – Swift Code CHASUS33</w:t>
      </w:r>
    </w:p>
    <w:p>
      <w:pPr>
        <w:spacing w:after="0" w:line="140" w:lineRule="exact"/>
        <w:rPr>
          <w:sz w:val="20"/>
          <w:szCs w:val="20"/>
          <w:color w:val="auto"/>
        </w:rPr>
      </w:pPr>
    </w:p>
    <w:p>
      <w:pPr>
        <w:sectPr>
          <w:pgSz w:w="11900" w:h="16838" w:orient="portrait"/>
          <w:cols w:equalWidth="0" w:num="2">
            <w:col w:w="2740" w:space="720"/>
            <w:col w:w="7800"/>
          </w:cols>
          <w:pgMar w:left="240" w:top="270" w:right="39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Beneficiary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ING Bank Amsterdam – Swift Code INGBNL2A</w:t>
      </w:r>
    </w:p>
    <w:p>
      <w:pPr>
        <w:spacing w:after="0" w:line="129" w:lineRule="exact"/>
        <w:rPr>
          <w:sz w:val="20"/>
          <w:szCs w:val="20"/>
          <w:color w:val="auto"/>
        </w:rPr>
      </w:pPr>
    </w:p>
    <w:p>
      <w:pPr>
        <w:sectPr>
          <w:pgSz w:w="11900" w:h="16838" w:orient="portrait"/>
          <w:cols w:equalWidth="0" w:num="2">
            <w:col w:w="2940" w:space="480"/>
            <w:col w:w="7840"/>
          </w:cols>
          <w:pgMar w:left="240" w:top="270" w:right="39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001 1 643293</w:t>
      </w:r>
    </w:p>
    <w:p>
      <w:pPr>
        <w:spacing w:after="0" w:line="140" w:lineRule="exact"/>
        <w:rPr>
          <w:sz w:val="20"/>
          <w:szCs w:val="20"/>
          <w:color w:val="auto"/>
        </w:rPr>
      </w:pPr>
    </w:p>
    <w:p>
      <w:pPr>
        <w:sectPr>
          <w:pgSz w:w="11900" w:h="16838" w:orient="portrait"/>
          <w:cols w:equalWidth="0" w:num="2">
            <w:col w:w="2920" w:space="540"/>
            <w:col w:w="7800"/>
          </w:cols>
          <w:pgMar w:left="240" w:top="270" w:right="39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WLO.GB/AMP.M03.005/Helios,</w:t>
      </w:r>
    </w:p>
    <w:p>
      <w:pPr>
        <w:spacing w:after="0" w:line="200" w:lineRule="exact"/>
        <w:rPr>
          <w:sz w:val="20"/>
          <w:szCs w:val="20"/>
          <w:color w:val="auto"/>
        </w:rPr>
      </w:pPr>
    </w:p>
    <w:p>
      <w:pPr>
        <w:sectPr>
          <w:pgSz w:w="11900" w:h="16838" w:orient="portrait"/>
          <w:cols w:equalWidth="0" w:num="2">
            <w:col w:w="2720" w:space="720"/>
            <w:col w:w="7820"/>
          </w:cols>
          <w:pgMar w:left="240" w:top="270" w:right="399" w:bottom="1440" w:gutter="0" w:footer="0" w:header="0"/>
          <w:type w:val="continuous"/>
        </w:sectPr>
      </w:pPr>
    </w:p>
    <w:p>
      <w:pPr>
        <w:spacing w:after="0" w:line="37" w:lineRule="exact"/>
        <w:rPr>
          <w:sz w:val="20"/>
          <w:szCs w:val="20"/>
          <w:color w:val="auto"/>
        </w:rPr>
      </w:pPr>
    </w:p>
    <w:p>
      <w:pPr>
        <w:ind w:left="1720" w:right="340"/>
        <w:spacing w:after="0" w:line="277" w:lineRule="auto"/>
        <w:rPr>
          <w:sz w:val="20"/>
          <w:szCs w:val="20"/>
          <w:color w:val="auto"/>
        </w:rPr>
      </w:pPr>
      <w:r>
        <w:rPr>
          <w:rFonts w:ascii="Arial" w:cs="Arial" w:eastAsia="Arial" w:hAnsi="Arial"/>
          <w:sz w:val="18"/>
          <w:szCs w:val="18"/>
          <w:color w:val="auto"/>
        </w:rPr>
        <w:t>or to such other account with such other bank as the Facility Agent may from time to time notify to the Borrowers and the other Creditor Parties; and</w:t>
      </w:r>
    </w:p>
    <w:p>
      <w:pPr>
        <w:spacing w:after="0" w:line="76" w:lineRule="exact"/>
        <w:rPr>
          <w:sz w:val="20"/>
          <w:szCs w:val="20"/>
          <w:color w:val="auto"/>
        </w:rPr>
      </w:pPr>
    </w:p>
    <w:p>
      <w:pPr>
        <w:ind w:left="1700" w:hanging="787"/>
        <w:spacing w:after="0" w:line="277" w:lineRule="auto"/>
        <w:tabs>
          <w:tab w:leader="none" w:pos="17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Borrowers and the other Creditor Parties.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Payment on non-Business Day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payment by a Borrower under a Finance Document would otherwise fall due on a day which is not a Business Day:</w:t>
      </w:r>
    </w:p>
    <w:p>
      <w:pPr>
        <w:spacing w:after="0" w:line="131" w:lineRule="exact"/>
        <w:rPr>
          <w:sz w:val="20"/>
          <w:szCs w:val="20"/>
          <w:color w:val="auto"/>
        </w:rPr>
      </w:pPr>
    </w:p>
    <w:p>
      <w:pPr>
        <w:ind w:left="920" w:hanging="912"/>
        <w:spacing w:after="0"/>
        <w:tabs>
          <w:tab w:leader="none" w:pos="9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130" w:lineRule="exact"/>
        <w:rPr>
          <w:rFonts w:ascii="Arial" w:cs="Arial" w:eastAsia="Arial" w:hAnsi="Arial"/>
          <w:sz w:val="18"/>
          <w:szCs w:val="18"/>
          <w:color w:val="auto"/>
        </w:rPr>
      </w:pPr>
    </w:p>
    <w:p>
      <w:pPr>
        <w:ind w:left="920" w:right="500" w:hanging="912"/>
        <w:spacing w:after="0" w:line="277" w:lineRule="auto"/>
        <w:tabs>
          <w:tab w:leader="none" w:pos="9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Basis for calculation of periodic payments</w:t>
      </w:r>
    </w:p>
    <w:p>
      <w:pPr>
        <w:spacing w:after="0" w:line="121"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All interest and commitment fee and any other payments under any Finance Document which are of an annual or periodic nature shall accrue from day to day and shall be calculated on the basis of the actual number of days elapsed and a 360 day year.</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240" w:top="270" w:right="399" w:bottom="1440" w:gutter="0" w:footer="0" w:header="0"/>
          <w:type w:val="continuous"/>
        </w:sectPr>
      </w:pPr>
    </w:p>
    <w:bookmarkStart w:id="236" w:name="page237"/>
    <w:bookmarkEnd w:id="23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r>
      <w:r>
        <w:rPr>
          <w:sz w:val="20"/>
          <w:szCs w:val="20"/>
          <w:color w:val="auto"/>
        </w:rPr>
        <w:tab/>
      </w:r>
      <w:r>
        <w:rPr>
          <w:rFonts w:ascii="Arial" w:cs="Arial" w:eastAsia="Arial" w:hAnsi="Arial"/>
          <w:sz w:val="16"/>
          <w:szCs w:val="16"/>
          <w:b w:val="1"/>
          <w:bCs w:val="1"/>
          <w:color w:val="auto"/>
        </w:rPr>
        <w:t>Distribution of payments to Creditor Parties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Clauses 16.5, 16.6 and 16.7:</w:t>
      </w:r>
    </w:p>
    <w:p>
      <w:pPr>
        <w:spacing w:after="0" w:line="131" w:lineRule="exact"/>
        <w:rPr>
          <w:sz w:val="20"/>
          <w:szCs w:val="20"/>
          <w:color w:val="auto"/>
        </w:rPr>
      </w:pPr>
    </w:p>
    <w:p>
      <w:pPr>
        <w:ind w:left="920" w:right="80" w:hanging="912"/>
        <w:spacing w:after="0" w:line="259" w:lineRule="auto"/>
        <w:tabs>
          <w:tab w:leader="none" w:pos="9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amount received by the Facility Agent under a Finance Document for distribution or remittance to a Lender, the Swap Bank or the Security Trustee shall be made available by the Facility Agent to that Lender, the Swap Bank or, as the case may be or the Security Trustee by payment, with funds having the same value as the funds received, to such account as the Lender, the Swap Bank or the Security Trustee may have notified to the Facility Agent not less than 5 Business Days previously; and</w:t>
      </w:r>
    </w:p>
    <w:p>
      <w:pPr>
        <w:spacing w:after="0" w:line="92" w:lineRule="exact"/>
        <w:rPr>
          <w:rFonts w:ascii="Arial" w:cs="Arial" w:eastAsia="Arial" w:hAnsi="Arial"/>
          <w:sz w:val="18"/>
          <w:szCs w:val="18"/>
          <w:color w:val="auto"/>
        </w:rPr>
      </w:pPr>
    </w:p>
    <w:p>
      <w:pPr>
        <w:ind w:left="920" w:right="520" w:hanging="912"/>
        <w:spacing w:after="0" w:line="342" w:lineRule="auto"/>
        <w:tabs>
          <w:tab w:leader="none" w:pos="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amounts to be applied in satisfying amounts of a particular category which are due to the Lenders and/or the Swap Bank generally shall be distributed by the Facility Agent to each Lender and the Swap Bank pro rata to the amount in that category which is due to it.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Permitted deductions by Facility Agent</w:t>
      </w:r>
    </w:p>
    <w:p>
      <w:pPr>
        <w:spacing w:after="0" w:line="121"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may, before making an amount available to a Lender or the Swap Bank, deduct and withhold from that amount (i) any sum which is then due and payable to the Facility Agent from that Lender or the Swap Bank under any Finance Document or any sum which the Facility Agent is then entitled under any Finance Document to require that Lender or the Swap Bank to pay on demand and (ii) any amount the Facility Agent determines is required to be deducted and withheld under FATCA.</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Facility Agent only obliged to pay when monies received</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Notwithstanding any other provision of this Agreement or any other Finance Document, the Facility Agent shall not be obliged to make available to the Borrowers or, following a Dropdown, to the Borrowers that are members of the relevant Group, or any Lender or the Swap Bank any sum which the Facility Agent is expecting to receive for remittance or distribution to the Borrowers or that Lender or the Swap Bank until the Facility Agent has satisfied itself that it has received that sum.</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Refund to Facility Agent of monies not received</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If and to the extent that the Facility Agent makes available a sum to the Borrowers or a Lender or the Swap Bank, without first having received that sum, the Borrowers or (as the case may be) the Lender or Swap Bank concerned shall, on demand:</w:t>
      </w:r>
    </w:p>
    <w:p>
      <w:pPr>
        <w:spacing w:after="0" w:line="76" w:lineRule="exact"/>
        <w:rPr>
          <w:sz w:val="20"/>
          <w:szCs w:val="20"/>
          <w:color w:val="auto"/>
        </w:rPr>
      </w:pPr>
    </w:p>
    <w:p>
      <w:pPr>
        <w:ind w:left="920" w:hanging="912"/>
        <w:spacing w:after="0"/>
        <w:tabs>
          <w:tab w:leader="none" w:pos="9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refund the sum in full to the Facility Agent; and</w:t>
      </w:r>
    </w:p>
    <w:p>
      <w:pPr>
        <w:spacing w:after="0" w:line="130" w:lineRule="exact"/>
        <w:rPr>
          <w:rFonts w:ascii="Arial" w:cs="Arial" w:eastAsia="Arial" w:hAnsi="Arial"/>
          <w:sz w:val="18"/>
          <w:szCs w:val="18"/>
          <w:color w:val="auto"/>
        </w:rPr>
      </w:pPr>
    </w:p>
    <w:p>
      <w:pPr>
        <w:ind w:left="920" w:right="300" w:hanging="912"/>
        <w:spacing w:after="0" w:line="308" w:lineRule="auto"/>
        <w:tabs>
          <w:tab w:leader="none" w:pos="9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pay to the Facility Agent the amount (as certified by the Facility Agent) which will indemnify the Facility Agent against any funding or other loss, liability or expense incurred by the Facility Agent as a result of making the sum available before receiving it.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Facility Agent may assume receipt</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Clause 16.7 shall not affect any claim which the Facility Agent has under the law of restitution and applies irrespective of whether the Facility Agent had any form of notice that it had not received the sum which it made available.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Creditor Party accounts</w:t>
      </w:r>
    </w:p>
    <w:p>
      <w:pPr>
        <w:spacing w:after="0" w:line="121"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color w:val="auto"/>
        </w:rPr>
        <w:t>Each Creditor Party shall maintain accounts showing the amounts owing to it by the Borrowers and each Security Party under the Finance Documents and all payments in respect of those amounts made by the Borrowers and any Security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0" w:right="259" w:bottom="1440" w:gutter="0" w:footer="0" w:header="0"/>
        </w:sectPr>
      </w:pPr>
    </w:p>
    <w:bookmarkStart w:id="237" w:name="page238"/>
    <w:bookmarkEnd w:id="23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16.10</w:t>
      </w:r>
      <w:r>
        <w:rPr>
          <w:sz w:val="20"/>
          <w:szCs w:val="20"/>
          <w:color w:val="auto"/>
        </w:rPr>
        <w:tab/>
      </w:r>
      <w:r>
        <w:rPr>
          <w:rFonts w:ascii="Arial" w:cs="Arial" w:eastAsia="Arial" w:hAnsi="Arial"/>
          <w:sz w:val="16"/>
          <w:szCs w:val="16"/>
          <w:b w:val="1"/>
          <w:bCs w:val="1"/>
          <w:color w:val="auto"/>
        </w:rPr>
        <w:t>Facility Agent’s memorandum account</w:t>
      </w:r>
    </w:p>
    <w:p>
      <w:pPr>
        <w:spacing w:after="0" w:line="121" w:lineRule="exact"/>
        <w:rPr>
          <w:sz w:val="20"/>
          <w:szCs w:val="20"/>
          <w:color w:val="auto"/>
        </w:rPr>
      </w:pPr>
    </w:p>
    <w:p>
      <w:pPr>
        <w:ind w:left="920" w:right="500"/>
        <w:spacing w:after="0" w:line="264" w:lineRule="auto"/>
        <w:rPr>
          <w:sz w:val="20"/>
          <w:szCs w:val="20"/>
          <w:color w:val="auto"/>
        </w:rPr>
      </w:pPr>
      <w:r>
        <w:rPr>
          <w:rFonts w:ascii="Arial" w:cs="Arial" w:eastAsia="Arial" w:hAnsi="Arial"/>
          <w:sz w:val="18"/>
          <w:szCs w:val="18"/>
          <w:color w:val="auto"/>
        </w:rPr>
        <w:t>The Facility Agent shall maintain a memorandum account showing the amounts advanced by the Lenders and all other sums owing to the Facility Agent and the Security Trustee and each Lender from the Borrowers and each Security Party under the Finance Documents and all payments in respect of those amounts made by the Borrowers and any Security Party.</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5"/>
          <w:szCs w:val="15"/>
          <w:b w:val="1"/>
          <w:bCs w:val="1"/>
          <w:color w:val="auto"/>
        </w:rPr>
        <w:t>Accounts prima facie evidence</w:t>
      </w:r>
    </w:p>
    <w:p>
      <w:pPr>
        <w:spacing w:after="0" w:line="121" w:lineRule="exact"/>
        <w:rPr>
          <w:sz w:val="20"/>
          <w:szCs w:val="20"/>
          <w:color w:val="auto"/>
        </w:rPr>
      </w:pPr>
    </w:p>
    <w:p>
      <w:pPr>
        <w:ind w:left="920" w:right="380"/>
        <w:spacing w:after="0" w:line="308" w:lineRule="auto"/>
        <w:rPr>
          <w:sz w:val="20"/>
          <w:szCs w:val="20"/>
          <w:color w:val="auto"/>
        </w:rPr>
      </w:pPr>
      <w:r>
        <w:rPr>
          <w:rFonts w:ascii="Arial" w:cs="Arial" w:eastAsia="Arial" w:hAnsi="Arial"/>
          <w:sz w:val="17"/>
          <w:szCs w:val="17"/>
          <w:color w:val="auto"/>
        </w:rPr>
        <w:t>If any accounts maintained under Clauses 16.9 and 16.10 show an amount to be owing by a Borrower or a Security Party to a Creditor Party, those accounts shall, absent manifest error, be prima facie evidence that that amount is owing to that Creditor Party.</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6"/>
          <w:szCs w:val="16"/>
          <w:b w:val="1"/>
          <w:bCs w:val="1"/>
          <w:color w:val="auto"/>
        </w:rPr>
        <w:t>Impaired Agent</w:t>
      </w:r>
    </w:p>
    <w:p>
      <w:pPr>
        <w:spacing w:after="0" w:line="135" w:lineRule="exact"/>
        <w:rPr>
          <w:sz w:val="20"/>
          <w:szCs w:val="20"/>
          <w:color w:val="auto"/>
        </w:rPr>
      </w:pPr>
    </w:p>
    <w:p>
      <w:pPr>
        <w:ind w:left="920" w:right="20" w:hanging="912"/>
        <w:spacing w:after="0" w:line="277" w:lineRule="auto"/>
        <w:tabs>
          <w:tab w:leader="none" w:pos="9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at any time, the Facility Agent becomes an Impaired Agent, the Borrowers or a Lender which is required to make a payment under the Finance Documents to the Facility Agent in accordance with Clause 16.1 may instead either: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pay that amount direct to the required recipient(s); or</w:t>
      </w:r>
    </w:p>
    <w:p>
      <w:pPr>
        <w:spacing w:after="0" w:line="130" w:lineRule="exact"/>
        <w:rPr>
          <w:rFonts w:ascii="Arial" w:cs="Arial" w:eastAsia="Arial" w:hAnsi="Arial"/>
          <w:sz w:val="18"/>
          <w:szCs w:val="18"/>
          <w:color w:val="auto"/>
        </w:rPr>
      </w:pPr>
    </w:p>
    <w:p>
      <w:pPr>
        <w:ind w:left="1700" w:right="20" w:hanging="787"/>
        <w:spacing w:after="0" w:line="276" w:lineRule="auto"/>
        <w:tabs>
          <w:tab w:leader="none" w:pos="170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if in its absolute discretion it considers that it is not reasonably practicable to pay that amount direct to the required recipient(s), pay the relevant part of that amount to an interest-bearing account held with an Acceptable Bank and in relation to which no Insolvency Event has occurred and is continuing, in the name of the Borrowers or the Lender making the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under this Agreement beneficially entitled to that payment under the 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131" w:lineRule="exact"/>
        <w:rPr>
          <w:sz w:val="20"/>
          <w:szCs w:val="20"/>
          <w:color w:val="auto"/>
        </w:rPr>
      </w:pPr>
    </w:p>
    <w:p>
      <w:pPr>
        <w:ind w:left="920" w:right="80" w:hanging="912"/>
        <w:spacing w:after="0" w:line="277" w:lineRule="auto"/>
        <w:tabs>
          <w:tab w:leader="none" w:pos="9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75" w:lineRule="exact"/>
        <w:rPr>
          <w:rFonts w:ascii="Arial" w:cs="Arial" w:eastAsia="Arial" w:hAnsi="Arial"/>
          <w:sz w:val="18"/>
          <w:szCs w:val="18"/>
          <w:color w:val="auto"/>
        </w:rPr>
      </w:pPr>
    </w:p>
    <w:p>
      <w:pPr>
        <w:ind w:left="920" w:right="120" w:hanging="912"/>
        <w:spacing w:after="0" w:line="342" w:lineRule="auto"/>
        <w:tabs>
          <w:tab w:leader="none" w:pos="9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 party to this Agreement which has made a payment in accordance with paragraphs (a) and (b) shall be discharged of the relevant payment obligation under the Finance Documents and shall not take any credit risk with respect to the amounts standing to the credit of the trust account;</w:t>
      </w:r>
    </w:p>
    <w:p>
      <w:pPr>
        <w:spacing w:after="0" w:line="29" w:lineRule="exact"/>
        <w:rPr>
          <w:rFonts w:ascii="Arial" w:cs="Arial" w:eastAsia="Arial" w:hAnsi="Arial"/>
          <w:sz w:val="16"/>
          <w:szCs w:val="16"/>
          <w:color w:val="auto"/>
        </w:rPr>
      </w:pPr>
    </w:p>
    <w:p>
      <w:pPr>
        <w:ind w:left="920" w:hanging="912"/>
        <w:spacing w:after="0" w:line="259" w:lineRule="auto"/>
        <w:tabs>
          <w:tab w:leader="none" w:pos="9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the Finance Documents,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16.4; and</w:t>
      </w:r>
    </w:p>
    <w:p>
      <w:pPr>
        <w:spacing w:after="0" w:line="92" w:lineRule="exact"/>
        <w:rPr>
          <w:rFonts w:ascii="Arial" w:cs="Arial" w:eastAsia="Arial" w:hAnsi="Arial"/>
          <w:sz w:val="18"/>
          <w:szCs w:val="18"/>
          <w:color w:val="auto"/>
        </w:rPr>
      </w:pPr>
    </w:p>
    <w:p>
      <w:pPr>
        <w:ind w:left="920" w:hanging="912"/>
        <w:spacing w:after="0"/>
        <w:tabs>
          <w:tab w:leader="none" w:pos="9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0" w:right="239" w:bottom="1440" w:gutter="0" w:footer="0" w:header="0"/>
        </w:sectPr>
      </w:pPr>
    </w:p>
    <w:bookmarkStart w:id="238" w:name="page239"/>
    <w:bookmarkEnd w:id="238"/>
    <w:p>
      <w:pPr>
        <w:ind w:left="920" w:hanging="912"/>
        <w:spacing w:after="0"/>
        <w:tabs>
          <w:tab w:leader="none" w:pos="92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RECEIPTS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w:t>
      </w:r>
      <w:r>
        <w:rPr>
          <w:rFonts w:ascii="Arial" w:cs="Arial" w:eastAsia="Arial" w:hAnsi="Arial"/>
          <w:sz w:val="16"/>
          <w:szCs w:val="16"/>
          <w:b w:val="1"/>
          <w:bCs w:val="1"/>
          <w:color w:val="auto"/>
        </w:rPr>
        <w:t>Normal order of application</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Except as any Finance Document may otherwise provide, any sums which are received or recovered by any Creditor Party under or by virtue of any Finance Document shall be applied:</w:t>
      </w:r>
    </w:p>
    <w:p>
      <w:pPr>
        <w:spacing w:after="0" w:line="76" w:lineRule="exact"/>
        <w:rPr>
          <w:sz w:val="20"/>
          <w:szCs w:val="20"/>
          <w:color w:val="auto"/>
        </w:rPr>
      </w:pPr>
    </w:p>
    <w:p>
      <w:pPr>
        <w:ind w:left="920" w:right="140" w:hanging="912"/>
        <w:spacing w:after="0" w:line="277" w:lineRule="auto"/>
        <w:tabs>
          <w:tab w:leader="none" w:pos="9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FIRST: in or towards satisfaction of any amounts then due and payable under the Finance Documents (other than under a Master Agreement) in the following order and proportions:</w:t>
      </w:r>
    </w:p>
    <w:p>
      <w:pPr>
        <w:spacing w:after="0" w:line="75" w:lineRule="exact"/>
        <w:rPr>
          <w:rFonts w:ascii="Arial" w:cs="Arial" w:eastAsia="Arial" w:hAnsi="Arial"/>
          <w:sz w:val="18"/>
          <w:szCs w:val="18"/>
          <w:color w:val="auto"/>
        </w:rPr>
      </w:pPr>
    </w:p>
    <w:p>
      <w:pPr>
        <w:ind w:left="1700" w:right="100" w:hanging="787"/>
        <w:spacing w:after="0" w:line="302" w:lineRule="auto"/>
        <w:tabs>
          <w:tab w:leader="none" w:pos="170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first, in or towards satisfaction pro rata of all amounts then due and payable to the Creditor Parties under the Finance Documents (other than a Master Agreement) other than those amounts referred to at paragraphs (ii) and (iii) (including, but without limitation, all amounts payable by the Borrowers under Clauses 20, 21 and 22 of this Agreement or by the Borrowers or any Security Party under any corresponding or similar provision in any other Finance Document (other than a Master Agreement));</w:t>
      </w:r>
    </w:p>
    <w:p>
      <w:pPr>
        <w:spacing w:after="0" w:line="59" w:lineRule="exact"/>
        <w:rPr>
          <w:rFonts w:ascii="Arial" w:cs="Arial" w:eastAsia="Arial" w:hAnsi="Arial"/>
          <w:sz w:val="16"/>
          <w:szCs w:val="16"/>
          <w:color w:val="auto"/>
        </w:rPr>
      </w:pPr>
    </w:p>
    <w:p>
      <w:pPr>
        <w:ind w:left="1700" w:right="12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Creditor Parties under the Finance Documents (other than under a Master Agreement);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thirdly, in or towards satisfaction of the Loan;</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SECONDLY: in or towards satisfaction of any amounts then due and payable under a Master Agreement in the following order and proportions:</w:t>
      </w:r>
    </w:p>
    <w:p>
      <w:pPr>
        <w:spacing w:after="0" w:line="153" w:lineRule="exact"/>
        <w:rPr>
          <w:rFonts w:ascii="Arial" w:cs="Arial" w:eastAsia="Arial" w:hAnsi="Arial"/>
          <w:sz w:val="16"/>
          <w:szCs w:val="16"/>
          <w:color w:val="auto"/>
        </w:rPr>
      </w:pPr>
    </w:p>
    <w:p>
      <w:pPr>
        <w:ind w:left="1700" w:right="220" w:hanging="787"/>
        <w:spacing w:after="0" w:line="277"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Swap Bank under a Master Agreement other than those amounts referred to at paragraphs (ii) and (iii);</w:t>
      </w:r>
    </w:p>
    <w:p>
      <w:pPr>
        <w:spacing w:after="0" w:line="75" w:lineRule="exact"/>
        <w:rPr>
          <w:rFonts w:ascii="Arial" w:cs="Arial" w:eastAsia="Arial" w:hAnsi="Arial"/>
          <w:sz w:val="18"/>
          <w:szCs w:val="18"/>
          <w:color w:val="auto"/>
        </w:rPr>
      </w:pPr>
    </w:p>
    <w:p>
      <w:pPr>
        <w:ind w:left="1700" w:right="240" w:hanging="787"/>
        <w:spacing w:after="0" w:line="259"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Swap Bank under a Master Agreement (and, for this purpose, the expression “</w:t>
      </w:r>
      <w:r>
        <w:rPr>
          <w:rFonts w:ascii="Arial" w:cs="Arial" w:eastAsia="Arial" w:hAnsi="Arial"/>
          <w:sz w:val="18"/>
          <w:szCs w:val="18"/>
          <w:b w:val="1"/>
          <w:bCs w:val="1"/>
          <w:color w:val="auto"/>
        </w:rPr>
        <w:t>interest</w:t>
      </w:r>
      <w:r>
        <w:rPr>
          <w:rFonts w:ascii="Arial" w:cs="Arial" w:eastAsia="Arial" w:hAnsi="Arial"/>
          <w:sz w:val="18"/>
          <w:szCs w:val="18"/>
          <w:color w:val="auto"/>
        </w:rPr>
        <w:t>” shall include any net amount which that Borrower shall have become liable to pay or deliver under section 2(e) (Obligations) of a Master Agreement but shall have failed to pay or deliver to the Swap Bank at the time of application or distribution under this Clause 17); and</w:t>
      </w:r>
    </w:p>
    <w:p>
      <w:pPr>
        <w:spacing w:after="0" w:line="92" w:lineRule="exact"/>
        <w:rPr>
          <w:rFonts w:ascii="Arial" w:cs="Arial" w:eastAsia="Arial" w:hAnsi="Arial"/>
          <w:sz w:val="18"/>
          <w:szCs w:val="18"/>
          <w:color w:val="auto"/>
        </w:rPr>
      </w:pPr>
    </w:p>
    <w:p>
      <w:pPr>
        <w:jc w:val="both"/>
        <w:ind w:left="1700" w:hanging="787"/>
        <w:spacing w:after="0" w:line="264" w:lineRule="auto"/>
        <w:tabs>
          <w:tab w:leader="none" w:pos="17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thirdly, in or towards satisfaction of the aggregate Swap Exposure of the Swap Bank calculated as at the actual Early Termination Date applying to each particular Designated Transaction, or if no such Early Termination Date shall have occurred, calculated as if an Early Termination Date occurred on the date of application or distribution hereunder);</w:t>
      </w:r>
    </w:p>
    <w:p>
      <w:pPr>
        <w:spacing w:after="0" w:line="86" w:lineRule="exact"/>
        <w:rPr>
          <w:rFonts w:ascii="Arial" w:cs="Arial" w:eastAsia="Arial" w:hAnsi="Arial"/>
          <w:sz w:val="18"/>
          <w:szCs w:val="18"/>
          <w:color w:val="auto"/>
        </w:rPr>
      </w:pPr>
    </w:p>
    <w:p>
      <w:pPr>
        <w:ind w:left="920" w:right="60" w:hanging="912"/>
        <w:spacing w:after="0" w:line="259" w:lineRule="auto"/>
        <w:tabs>
          <w:tab w:leader="none" w:pos="9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THIRDLY: in retention of an amount equal to any amount not then due and payable under any Finance Document (other than a Master Agreement) but which the Facility Agent, by notice to the Borrowers, the Security Parties and the other Creditor Parties, states in its opinion will or may become due and payable in the future and, upon those amounts becoming due and payable, in or towards satisfaction of them in accordance with the foregoing provisions of this Clause;</w:t>
      </w:r>
    </w:p>
    <w:p>
      <w:pPr>
        <w:spacing w:after="0" w:line="92" w:lineRule="exact"/>
        <w:rPr>
          <w:rFonts w:ascii="Arial" w:cs="Arial" w:eastAsia="Arial" w:hAnsi="Arial"/>
          <w:sz w:val="18"/>
          <w:szCs w:val="18"/>
          <w:color w:val="auto"/>
        </w:rPr>
      </w:pPr>
    </w:p>
    <w:p>
      <w:pPr>
        <w:ind w:left="920" w:right="100" w:hanging="912"/>
        <w:spacing w:after="0" w:line="259" w:lineRule="auto"/>
        <w:tabs>
          <w:tab w:leader="none" w:pos="9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FOURTHLY: in retention of an amount equal to any amount not then due under and payable under a Master Agreement but which the Swap Bank, by notice to the Borrowers, the Security Parties and the other Creditor Parties, states in its opinion will or may become due and payable in the future and, upon those amounts becoming due and payable, in or towards satisfaction of them in accordance with the foregoing provisions of this Clause;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0" w:right="239" w:bottom="1440" w:gutter="0" w:footer="0" w:header="0"/>
        </w:sectPr>
      </w:pPr>
    </w:p>
    <w:bookmarkStart w:id="239" w:name="page240"/>
    <w:bookmarkEnd w:id="239"/>
    <w:p>
      <w:pPr>
        <w:ind w:left="920" w:hanging="912"/>
        <w:spacing w:after="0"/>
        <w:tabs>
          <w:tab w:leader="none" w:pos="9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FIFTHLY: any surplus shall be paid to the Borrowers or to any other person appearing to be entitled to it.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Variation of order of application</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Facility Agent may, with the authorisation of the Majority Lenders, by notice to the Borrowers, the Security Parties and the other Creditor Parties provide for a different manner of application from that set out in Clause 17.1 either as regards a specified sum or sums or as regards sums in a specified category or categories.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Notice of variation of order of application</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Facility Agent may give notices under Clause 17.2 from time to 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Appropriation rights overridden</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This Clause 17 and any notice which the Facility Agent gives under Clause 17.2 shall override any right of appropriation possessed, and any appropriation made, by any Borrower or any Security Party.</w:t>
      </w:r>
    </w:p>
    <w:p>
      <w:pPr>
        <w:spacing w:after="0" w:line="315" w:lineRule="exact"/>
        <w:rPr>
          <w:sz w:val="20"/>
          <w:szCs w:val="20"/>
          <w:color w:val="auto"/>
        </w:rPr>
      </w:pPr>
    </w:p>
    <w:p>
      <w:pPr>
        <w:ind w:left="920" w:hanging="912"/>
        <w:spacing w:after="0"/>
        <w:tabs>
          <w:tab w:leader="none" w:pos="92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EARNINGS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18.1</w:t>
      </w:r>
      <w:r>
        <w:rPr>
          <w:rFonts w:ascii="Arial" w:cs="Arial" w:eastAsia="Arial" w:hAnsi="Arial"/>
          <w:sz w:val="16"/>
          <w:szCs w:val="16"/>
          <w:b w:val="1"/>
          <w:bCs w:val="1"/>
          <w:color w:val="auto"/>
        </w:rPr>
        <w:t>Payment of Earnings</w:t>
      </w:r>
    </w:p>
    <w:p>
      <w:pPr>
        <w:spacing w:after="0" w:line="12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Each Borrower undertakes with each Creditor Party to ensure that, throughout the Security Period (subject only to the provisions of the General Assignments), all the Earnings of each Ship are paid to the Earnings Account for that Ship. Any monies standing to the credit of the Earnings Accounts shall be freely available to the Borrowers subject to there not being any Event of Default or Potential Event of Default in existence at the relevant time.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b w:val="1"/>
          <w:bCs w:val="1"/>
          <w:color w:val="auto"/>
        </w:rPr>
        <w:t>Release of accrued interest</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Interest accruing on each Earnings Account under Clause 18.1 shall be released to the Borrowers on each Repayment Date unless an Event of Default or a Potential Event of Default has occurred.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5"/>
          <w:szCs w:val="15"/>
          <w:b w:val="1"/>
          <w:bCs w:val="1"/>
          <w:color w:val="auto"/>
        </w:rPr>
        <w:t>Location of accounts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Borrower shall promptly:</w:t>
      </w:r>
    </w:p>
    <w:p>
      <w:pPr>
        <w:spacing w:after="0" w:line="131" w:lineRule="exact"/>
        <w:rPr>
          <w:sz w:val="20"/>
          <w:szCs w:val="20"/>
          <w:color w:val="auto"/>
        </w:rPr>
      </w:pPr>
    </w:p>
    <w:p>
      <w:pPr>
        <w:ind w:left="920" w:hanging="912"/>
        <w:spacing w:after="0"/>
        <w:tabs>
          <w:tab w:leader="none" w:pos="9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comply with any requirement of the Facility Agent as to the location or re-location of the Earnings Accounts (or any of them); and</w:t>
      </w:r>
    </w:p>
    <w:p>
      <w:pPr>
        <w:spacing w:after="0" w:line="130" w:lineRule="exact"/>
        <w:rPr>
          <w:rFonts w:ascii="Arial" w:cs="Arial" w:eastAsia="Arial" w:hAnsi="Arial"/>
          <w:sz w:val="18"/>
          <w:szCs w:val="18"/>
          <w:color w:val="auto"/>
        </w:rPr>
      </w:pPr>
    </w:p>
    <w:p>
      <w:pPr>
        <w:ind w:left="920" w:right="60" w:hanging="912"/>
        <w:spacing w:after="0" w:line="277" w:lineRule="auto"/>
        <w:tabs>
          <w:tab w:leader="none" w:pos="9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execute any documents which the Facility Agent specifies to create or maintain in favour of the Security Trustee a Security Interest over (and/or rights of set-off, consolidation or other rights in relation to) the Earnings Accounts (or any of them).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5"/>
          <w:szCs w:val="15"/>
          <w:b w:val="1"/>
          <w:bCs w:val="1"/>
          <w:color w:val="auto"/>
        </w:rPr>
        <w:t>Debits for expenses etc.</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Facility Agent shall be entitled (but not obliged) from time to time to debit any Earnings Account, with no later than 10 Business Days prior notice to the Borrowers, in order to discharge any amount due and payable under Clause 19.11, 20.1 or 21 to a Creditor Party or payment of which any Creditor Party has become entitled to demand under these Clauses.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240" w:name="page241"/>
    <w:bookmarkEnd w:id="240"/>
    <w:p>
      <w:pPr>
        <w:ind w:left="920" w:hanging="912"/>
        <w:spacing w:after="0"/>
        <w:tabs>
          <w:tab w:leader="none" w:pos="92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OF DEFAULT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Events of Default</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An Event of Default occurs if:</w:t>
      </w:r>
    </w:p>
    <w:p>
      <w:pPr>
        <w:spacing w:after="0" w:line="131" w:lineRule="exact"/>
        <w:rPr>
          <w:sz w:val="20"/>
          <w:szCs w:val="20"/>
          <w:color w:val="auto"/>
        </w:rPr>
      </w:pPr>
    </w:p>
    <w:p>
      <w:pPr>
        <w:jc w:val="both"/>
        <w:ind w:left="920" w:right="40" w:hanging="912"/>
        <w:spacing w:after="0" w:line="264" w:lineRule="auto"/>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Borrower or any Security Party fails to pay when due or (if so payable) on demand any sum payable under a Finance Document or under any document relating to a Finance Document unless its failure to pay is caused by (i) administrative or technical error or (ii) a Disruption Event and payment is made within 3 Business Days of its due date; or</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breach occurs of Clause 9.2, 10.18, 10.20, 11.2, 11.3, 11.21, 12.2, 12.3, 13.2, 13.3, 14.9, 15.2, 18.1 or 18.2;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breach by any Borrower or any Security Party occurs of any provision of a Finance Document (other than a breach covered by paragraphs</w:t>
      </w:r>
    </w:p>
    <w:p>
      <w:pPr>
        <w:spacing w:after="0" w:line="46" w:lineRule="exact"/>
        <w:rPr>
          <w:rFonts w:ascii="Arial" w:cs="Arial" w:eastAsia="Arial" w:hAnsi="Arial"/>
          <w:sz w:val="16"/>
          <w:szCs w:val="16"/>
          <w:color w:val="auto"/>
        </w:rPr>
      </w:pPr>
    </w:p>
    <w:p>
      <w:pPr>
        <w:ind w:left="1160" w:hanging="247"/>
        <w:spacing w:after="0"/>
        <w:tabs>
          <w:tab w:leader="none" w:pos="116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or (b) above) if, in the reasonable opinion of the Majority Lenders, such default is capable of remedy, and such default continues unremedied</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14 days after written notice from the Facility Agent requesting action to remedy the same; or</w:t>
      </w:r>
    </w:p>
    <w:p>
      <w:pPr>
        <w:spacing w:after="0" w:line="116" w:lineRule="exact"/>
        <w:rPr>
          <w:rFonts w:ascii="Arial" w:cs="Arial" w:eastAsia="Arial" w:hAnsi="Arial"/>
          <w:sz w:val="16"/>
          <w:szCs w:val="16"/>
          <w:color w:val="auto"/>
        </w:rPr>
      </w:pPr>
    </w:p>
    <w:p>
      <w:pPr>
        <w:ind w:left="920" w:right="360" w:hanging="912"/>
        <w:spacing w:after="0" w:line="277" w:lineRule="auto"/>
        <w:tabs>
          <w:tab w:leader="none" w:pos="9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the Finance Documents) any breach by any Borrower or any Security Party occurs of any provision of a Finance Document (other than a breach covered by paragraphs (a), (b) or (c) above); or</w:t>
      </w:r>
    </w:p>
    <w:p>
      <w:pPr>
        <w:spacing w:after="0" w:line="75" w:lineRule="exact"/>
        <w:rPr>
          <w:rFonts w:ascii="Arial" w:cs="Arial" w:eastAsia="Arial" w:hAnsi="Arial"/>
          <w:sz w:val="18"/>
          <w:szCs w:val="18"/>
          <w:color w:val="auto"/>
        </w:rPr>
      </w:pPr>
    </w:p>
    <w:p>
      <w:pPr>
        <w:ind w:left="920" w:right="60" w:hanging="912"/>
        <w:spacing w:after="0" w:line="342" w:lineRule="auto"/>
        <w:tabs>
          <w:tab w:leader="none" w:pos="9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representation, warranty or statement made or repeated by, or by an officer of, any Borrower or a Security Party in a Finance Document or in a Drawdown Notice or any other notice or document relating to a Finance Document is untrue or misleading when it is made or repeated; or</w:t>
      </w:r>
    </w:p>
    <w:p>
      <w:pPr>
        <w:spacing w:after="0" w:line="29" w:lineRule="exact"/>
        <w:rPr>
          <w:rFonts w:ascii="Arial" w:cs="Arial" w:eastAsia="Arial" w:hAnsi="Arial"/>
          <w:sz w:val="16"/>
          <w:szCs w:val="16"/>
          <w:color w:val="auto"/>
        </w:rPr>
      </w:pPr>
    </w:p>
    <w:p>
      <w:pPr>
        <w:ind w:left="920" w:right="160" w:hanging="912"/>
        <w:spacing w:after="0" w:line="342" w:lineRule="auto"/>
        <w:tabs>
          <w:tab w:leader="none" w:pos="9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of the following occurs in relation to any Financial Indebtedness of a Relevant Person (in the case of the Guarantor and, after exercise of an Option, the Substitute Guarantor, in an amount exceeding, in aggregate, $5,000,000 or the equivalent in any other currency), in aggregate:</w:t>
      </w:r>
    </w:p>
    <w:p>
      <w:pPr>
        <w:spacing w:after="0" w:line="29" w:lineRule="exact"/>
        <w:rPr>
          <w:rFonts w:ascii="Arial" w:cs="Arial" w:eastAsia="Arial" w:hAnsi="Arial"/>
          <w:sz w:val="16"/>
          <w:szCs w:val="16"/>
          <w:color w:val="auto"/>
        </w:rPr>
      </w:pPr>
    </w:p>
    <w:p>
      <w:pPr>
        <w:ind w:left="1700" w:hanging="787"/>
        <w:spacing w:after="0"/>
        <w:tabs>
          <w:tab w:leader="none" w:pos="17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 if so payable, on demand; or</w:t>
      </w:r>
    </w:p>
    <w:p>
      <w:pPr>
        <w:spacing w:after="0" w:line="131" w:lineRule="exact"/>
        <w:rPr>
          <w:sz w:val="20"/>
          <w:szCs w:val="20"/>
          <w:color w:val="auto"/>
        </w:rPr>
      </w:pPr>
    </w:p>
    <w:p>
      <w:pPr>
        <w:ind w:left="1700" w:right="220" w:hanging="787"/>
        <w:spacing w:after="0" w:line="277" w:lineRule="auto"/>
        <w:tabs>
          <w:tab w:leader="none" w:pos="17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Financial Indebtedness of a Relevant Person becomes due and payable or capable of being declared due and payable prior to its stated maturity date as a consequence of any event of default; or</w:t>
      </w:r>
    </w:p>
    <w:p>
      <w:pPr>
        <w:spacing w:after="0" w:line="75" w:lineRule="exact"/>
        <w:rPr>
          <w:rFonts w:ascii="Arial" w:cs="Arial" w:eastAsia="Arial" w:hAnsi="Arial"/>
          <w:sz w:val="18"/>
          <w:szCs w:val="18"/>
          <w:color w:val="auto"/>
        </w:rPr>
      </w:pPr>
    </w:p>
    <w:p>
      <w:pPr>
        <w:ind w:left="1700" w:right="340" w:hanging="787"/>
        <w:spacing w:after="0" w:line="277" w:lineRule="auto"/>
        <w:tabs>
          <w:tab w:leader="none" w:pos="17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lease, hire purchase agreement or charter creating any Financial Indebtedness of a Relevant Person is terminated by the lessor or owner or becomes capable of being terminated as a consequence of any termination event; or</w:t>
      </w:r>
    </w:p>
    <w:p>
      <w:pPr>
        <w:spacing w:after="0" w:line="75" w:lineRule="exact"/>
        <w:rPr>
          <w:rFonts w:ascii="Arial" w:cs="Arial" w:eastAsia="Arial" w:hAnsi="Arial"/>
          <w:sz w:val="18"/>
          <w:szCs w:val="18"/>
          <w:color w:val="auto"/>
        </w:rPr>
      </w:pPr>
    </w:p>
    <w:p>
      <w:pPr>
        <w:ind w:left="1700" w:hanging="787"/>
        <w:spacing w:after="0" w:line="259" w:lineRule="auto"/>
        <w:tabs>
          <w:tab w:leader="none" w:pos="17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92" w:lineRule="exact"/>
        <w:rPr>
          <w:rFonts w:ascii="Arial" w:cs="Arial" w:eastAsia="Arial" w:hAnsi="Arial"/>
          <w:sz w:val="18"/>
          <w:szCs w:val="18"/>
          <w:color w:val="auto"/>
        </w:rPr>
      </w:pPr>
    </w:p>
    <w:p>
      <w:pPr>
        <w:ind w:left="1700" w:hanging="787"/>
        <w:spacing w:after="0"/>
        <w:tabs>
          <w:tab w:leader="none" w:pos="17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Security Interest securing any Financial Indebtedness of a Relevant Person becomes enforceable;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0" w:right="239" w:bottom="1440" w:gutter="0" w:footer="0" w:header="0"/>
        </w:sectPr>
      </w:pPr>
    </w:p>
    <w:bookmarkStart w:id="241" w:name="page242"/>
    <w:bookmarkEnd w:id="241"/>
    <w:p>
      <w:pPr>
        <w:ind w:left="912" w:hanging="912"/>
        <w:spacing w:after="0"/>
        <w:tabs>
          <w:tab w:leader="none" w:pos="9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following occurs in relation to a Relevant Person:</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 Relevant Person becomes, in the reasonable opinion of the Majority Lenders, unable to pay its debts as they fall due; or</w:t>
      </w:r>
    </w:p>
    <w:p>
      <w:pPr>
        <w:spacing w:after="0" w:line="142" w:lineRule="exact"/>
        <w:rPr>
          <w:rFonts w:ascii="Arial" w:cs="Arial" w:eastAsia="Arial" w:hAnsi="Arial"/>
          <w:sz w:val="17"/>
          <w:szCs w:val="17"/>
          <w:color w:val="auto"/>
        </w:rPr>
      </w:pPr>
    </w:p>
    <w:p>
      <w:pPr>
        <w:ind w:left="1692" w:right="20" w:hanging="787"/>
        <w:spacing w:after="0" w:line="259" w:lineRule="auto"/>
        <w:tabs>
          <w:tab w:leader="none" w:pos="16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assets of a Relevant Person are subject to any form of execution, attachment, arrest, sequestration or distress in respect of a sum of, or sums (in the case of a Borrower, in respect of an amount exceeding, $5,000,000 or the equivalent in another currency unless such execution, attachment, arrest, sequestration or distress is dismissed, withdrawn, released or lifted within 15 Business Days of the occurrence of such event; or</w:t>
      </w:r>
    </w:p>
    <w:p>
      <w:pPr>
        <w:spacing w:after="0" w:line="92" w:lineRule="exact"/>
        <w:rPr>
          <w:rFonts w:ascii="Arial" w:cs="Arial" w:eastAsia="Arial" w:hAnsi="Arial"/>
          <w:sz w:val="18"/>
          <w:szCs w:val="18"/>
          <w:color w:val="auto"/>
        </w:rPr>
      </w:pPr>
    </w:p>
    <w:p>
      <w:pPr>
        <w:ind w:left="1692" w:hanging="787"/>
        <w:spacing w:after="0"/>
        <w:tabs>
          <w:tab w:leader="none" w:pos="16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692" w:right="340" w:hanging="787"/>
        <w:spacing w:after="0" w:line="264" w:lineRule="auto"/>
        <w:tabs>
          <w:tab w:leader="none" w:pos="16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formal declaration of bankruptcy or any formal statement to the effect that a Relevant Person is insolvent or likely to become insolvent is made by a Relevant Person or by the directors of a Relevant Person or, in any proceedings, by a lawyer acting for a Relevant Person; or</w:t>
      </w:r>
    </w:p>
    <w:p>
      <w:pPr>
        <w:spacing w:after="0" w:line="86" w:lineRule="exact"/>
        <w:rPr>
          <w:rFonts w:ascii="Arial" w:cs="Arial" w:eastAsia="Arial" w:hAnsi="Arial"/>
          <w:sz w:val="18"/>
          <w:szCs w:val="18"/>
          <w:color w:val="auto"/>
        </w:rPr>
      </w:pPr>
    </w:p>
    <w:p>
      <w:pPr>
        <w:ind w:left="1692" w:right="80" w:hanging="787"/>
        <w:spacing w:after="0" w:line="277" w:lineRule="auto"/>
        <w:tabs>
          <w:tab w:leader="none" w:pos="16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ind w:left="1692" w:right="40" w:hanging="787"/>
        <w:spacing w:after="0" w:line="270" w:lineRule="auto"/>
        <w:tabs>
          <w:tab w:leader="none" w:pos="1692"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 resolution is passed, an administration notice is given or filed, an application or petition to a court is made or presented or any other step is taken by (aa) a Relevant Person, (bb) the members or directors of a Relevant Person, (cc) a holder of Security Interests which together relate to all or substantially all of the assets of a Relevant Person, or (dd)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 suspending business operations or payments to creditors, save that this paragraph does not apply to a fully solvent winding up of a Relevant Person other than the Guarantor or any Borrower which is, or is to be, effected for the purposes of an amalgamation or reconstruction previously approved by the Majority Lenders and effected not later than 3 months after the commencement of the winding up; or</w:t>
      </w:r>
    </w:p>
    <w:p>
      <w:pPr>
        <w:spacing w:after="0" w:line="87" w:lineRule="exact"/>
        <w:rPr>
          <w:rFonts w:ascii="Arial" w:cs="Arial" w:eastAsia="Arial" w:hAnsi="Arial"/>
          <w:sz w:val="17"/>
          <w:szCs w:val="17"/>
          <w:color w:val="auto"/>
        </w:rPr>
      </w:pPr>
    </w:p>
    <w:p>
      <w:pPr>
        <w:ind w:left="1692" w:hanging="787"/>
        <w:spacing w:after="0" w:line="289" w:lineRule="auto"/>
        <w:tabs>
          <w:tab w:leader="none" w:pos="1692"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(aa) the application or petition is dismissed or withdrawn within 30 days of being made or presented, or (bb) within 30 days of the administration notice being given or filed, or the other relevant steps being taken, other action is taken which will ensure that there will be no administration and (in both cases (aa) or (bb)) the Relevant Person will continue to carry on business in the ordinary way and without being the subject of any actual, interim or pending insolvency law procedure; or</w:t>
      </w:r>
    </w:p>
    <w:p>
      <w:pPr>
        <w:spacing w:after="0" w:line="72" w:lineRule="exact"/>
        <w:rPr>
          <w:rFonts w:ascii="Arial" w:cs="Arial" w:eastAsia="Arial" w:hAnsi="Arial"/>
          <w:sz w:val="16"/>
          <w:szCs w:val="16"/>
          <w:color w:val="auto"/>
        </w:rPr>
      </w:pPr>
    </w:p>
    <w:p>
      <w:pPr>
        <w:ind w:left="1692" w:right="100" w:hanging="787"/>
        <w:spacing w:after="0" w:line="342" w:lineRule="auto"/>
        <w:tabs>
          <w:tab w:leader="none" w:pos="1692"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 Relevant Person or its directors take any steps (whether by making or presenting an application or petition to a court, or submitting or presenting a document setting out a proposal or proposed terms, or otherwise) with a view to obtaining, in relation</w:t>
      </w:r>
    </w:p>
    <w:p>
      <w:pPr>
        <w:spacing w:after="0" w:line="5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52"/>
          </w:cols>
          <w:pgMar w:left="248" w:top="274" w:right="299" w:bottom="1440" w:gutter="0" w:footer="0" w:header="0"/>
        </w:sectPr>
      </w:pPr>
    </w:p>
    <w:bookmarkStart w:id="242" w:name="page243"/>
    <w:bookmarkEnd w:id="242"/>
    <w:p>
      <w:pPr>
        <w:ind w:left="1692"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92" w:lineRule="exact"/>
        <w:rPr>
          <w:sz w:val="20"/>
          <w:szCs w:val="20"/>
          <w:color w:val="auto"/>
        </w:rPr>
      </w:pPr>
    </w:p>
    <w:p>
      <w:pPr>
        <w:ind w:left="1692" w:hanging="787"/>
        <w:spacing w:after="0" w:line="302" w:lineRule="auto"/>
        <w:tabs>
          <w:tab w:leader="none" w:pos="1692" w:val="left"/>
        </w:tabs>
        <w:numPr>
          <w:ilvl w:val="1"/>
          <w:numId w:val="361"/>
        </w:numPr>
        <w:rPr>
          <w:rFonts w:ascii="Arial" w:cs="Arial" w:eastAsia="Arial" w:hAnsi="Arial"/>
          <w:sz w:val="16"/>
          <w:szCs w:val="16"/>
          <w:color w:val="auto"/>
        </w:rPr>
      </w:pPr>
      <w:r>
        <w:rPr>
          <w:rFonts w:ascii="Arial" w:cs="Arial" w:eastAsia="Arial" w:hAnsi="Arial"/>
          <w:sz w:val="16"/>
          <w:szCs w:val="16"/>
          <w:color w:val="auto"/>
        </w:rPr>
        <w:t>any meeting of the members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members, directors or such a committee resolve or agree that such an action or step should be taken or should be taken if certain conditions materialise or fail to materialise; or</w:t>
      </w:r>
    </w:p>
    <w:p>
      <w:pPr>
        <w:spacing w:after="0" w:line="59" w:lineRule="exact"/>
        <w:rPr>
          <w:rFonts w:ascii="Arial" w:cs="Arial" w:eastAsia="Arial" w:hAnsi="Arial"/>
          <w:sz w:val="16"/>
          <w:szCs w:val="16"/>
          <w:color w:val="auto"/>
        </w:rPr>
      </w:pPr>
    </w:p>
    <w:p>
      <w:pPr>
        <w:ind w:left="1692" w:right="480" w:hanging="787"/>
        <w:spacing w:after="0" w:line="277" w:lineRule="auto"/>
        <w:tabs>
          <w:tab w:leader="none" w:pos="16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 a country other than England, any event occurs, any proceedings are opened or commenced or any step is taken which, in the opinion of the Majority Lenders is similar to any of the foregoing; or</w:t>
      </w:r>
    </w:p>
    <w:p>
      <w:pPr>
        <w:spacing w:after="0" w:line="75" w:lineRule="exact"/>
        <w:rPr>
          <w:rFonts w:ascii="Arial" w:cs="Arial" w:eastAsia="Arial" w:hAnsi="Arial"/>
          <w:sz w:val="18"/>
          <w:szCs w:val="18"/>
          <w:color w:val="auto"/>
        </w:rPr>
      </w:pPr>
    </w:p>
    <w:p>
      <w:pPr>
        <w:ind w:left="1692" w:right="40" w:hanging="787"/>
        <w:spacing w:after="0" w:line="273" w:lineRule="auto"/>
        <w:tabs>
          <w:tab w:leader="none" w:pos="1692"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 Relevant Person makes any formal declaration of bankruptcy or any formal statement to the effect that it is insolvent or likely to become insolvent, or a winding up or administration order is made in relation to a Relevant Person, or the members or directors of a Relevant Person pass a resolution to the effect that it should be wound up, placed in administration or cease to carry on business, save that this paragraph does not apply to a fully solvent winding up of a Relevant Person other than a Borrower which is, or is to be, effected for the purposes of an amalgamation or reconstruction previously approved by the Majority Lenders and effected not later than 3 months after the commencement of the winding up; or</w:t>
      </w:r>
    </w:p>
    <w:p>
      <w:pPr>
        <w:spacing w:after="0" w:line="83" w:lineRule="exact"/>
        <w:rPr>
          <w:rFonts w:ascii="Arial" w:cs="Arial" w:eastAsia="Arial" w:hAnsi="Arial"/>
          <w:sz w:val="17"/>
          <w:szCs w:val="17"/>
          <w:color w:val="auto"/>
        </w:rPr>
      </w:pPr>
    </w:p>
    <w:p>
      <w:pPr>
        <w:ind w:left="1692" w:right="340" w:hanging="787"/>
        <w:spacing w:after="0" w:line="264" w:lineRule="auto"/>
        <w:tabs>
          <w:tab w:leader="none" w:pos="16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petition is presented in any Pertinent Jurisdiction for the winding up or administration, or the appointment of a provisional liquidator, of a Relevant Person unless the petition is being contested in good faith and on substantial grounds and is dismissed or withdrawn within 30 days of the presentation of the petition; or</w:t>
      </w:r>
    </w:p>
    <w:p>
      <w:pPr>
        <w:spacing w:after="0" w:line="86" w:lineRule="exact"/>
        <w:rPr>
          <w:rFonts w:ascii="Arial" w:cs="Arial" w:eastAsia="Arial" w:hAnsi="Arial"/>
          <w:sz w:val="18"/>
          <w:szCs w:val="18"/>
          <w:color w:val="auto"/>
        </w:rPr>
      </w:pPr>
    </w:p>
    <w:p>
      <w:pPr>
        <w:ind w:left="1692" w:right="20" w:hanging="787"/>
        <w:spacing w:after="0" w:line="259" w:lineRule="auto"/>
        <w:tabs>
          <w:tab w:leader="none" w:pos="16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Relevant Person petitions a court, or presents any proposal for, any form of judicial or non-judicial suspension or deferral of payments, reorganisation of its debt (or certain of its debt) or arrangement with all or a substantial proportion (by number or value) of its creditors or of any class of them or any such suspension or deferral of payments, reorganisation or arrangement is effected by court order, contract or otherwise; or</w:t>
      </w:r>
    </w:p>
    <w:p>
      <w:pPr>
        <w:spacing w:after="0" w:line="92" w:lineRule="exact"/>
        <w:rPr>
          <w:rFonts w:ascii="Arial" w:cs="Arial" w:eastAsia="Arial" w:hAnsi="Arial"/>
          <w:sz w:val="18"/>
          <w:szCs w:val="18"/>
          <w:color w:val="auto"/>
        </w:rPr>
      </w:pPr>
    </w:p>
    <w:p>
      <w:pPr>
        <w:ind w:left="1692" w:right="60" w:hanging="787"/>
        <w:spacing w:after="0" w:line="277" w:lineRule="auto"/>
        <w:tabs>
          <w:tab w:leader="none" w:pos="16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meeting of the members or directors of a Relevant Person is summoned for the purpose of considering a resolution or proposal to authorise or take any action of a type described in paragraphs (iii), (iv), (v) or (vi) above; or</w:t>
      </w:r>
    </w:p>
    <w:p>
      <w:pPr>
        <w:spacing w:after="0" w:line="75" w:lineRule="exact"/>
        <w:rPr>
          <w:rFonts w:ascii="Arial" w:cs="Arial" w:eastAsia="Arial" w:hAnsi="Arial"/>
          <w:sz w:val="18"/>
          <w:szCs w:val="18"/>
          <w:color w:val="auto"/>
        </w:rPr>
      </w:pPr>
    </w:p>
    <w:p>
      <w:pPr>
        <w:ind w:left="1692" w:right="60" w:hanging="787"/>
        <w:spacing w:after="0" w:line="277" w:lineRule="auto"/>
        <w:tabs>
          <w:tab w:leader="none" w:pos="16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or any procedure is commenced which, in the opinion of the Majority Lenders, is similar to any of the foregoing; or</w:t>
      </w:r>
    </w:p>
    <w:p>
      <w:pPr>
        <w:spacing w:after="0" w:line="75" w:lineRule="exact"/>
        <w:rPr>
          <w:rFonts w:ascii="Arial" w:cs="Arial" w:eastAsia="Arial" w:hAnsi="Arial"/>
          <w:sz w:val="18"/>
          <w:szCs w:val="18"/>
          <w:color w:val="auto"/>
        </w:rPr>
      </w:pPr>
    </w:p>
    <w:p>
      <w:pPr>
        <w:ind w:left="912" w:right="220" w:hanging="912"/>
        <w:spacing w:after="0" w:line="342" w:lineRule="auto"/>
        <w:tabs>
          <w:tab w:leader="none" w:pos="91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 Borrower, the Guarantor and, after exercise of the Option in respect of any Ship, the Substitute Guarantor, ceases or suspends carrying on its business or a part of its business which, in the reasonable opinion of the Majority Lenders, is material in the context of this Agreement; or</w:t>
      </w:r>
    </w:p>
    <w:p>
      <w:pPr>
        <w:spacing w:after="0" w:line="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72"/>
          </w:cols>
          <w:pgMar w:left="248" w:top="274" w:right="279" w:bottom="1440" w:gutter="0" w:footer="0" w:header="0"/>
        </w:sectPr>
      </w:pPr>
    </w:p>
    <w:bookmarkStart w:id="243" w:name="page244"/>
    <w:bookmarkEnd w:id="243"/>
    <w:p>
      <w:pPr>
        <w:ind w:left="912" w:hanging="912"/>
        <w:spacing w:after="0"/>
        <w:tabs>
          <w:tab w:leader="none" w:pos="912"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becomes unlawful in any Pertinent Jurisdiction or impossible:</w:t>
      </w:r>
    </w:p>
    <w:p>
      <w:pPr>
        <w:spacing w:after="0" w:line="130" w:lineRule="exact"/>
        <w:rPr>
          <w:rFonts w:ascii="Arial" w:cs="Arial" w:eastAsia="Arial" w:hAnsi="Arial"/>
          <w:sz w:val="18"/>
          <w:szCs w:val="18"/>
          <w:color w:val="auto"/>
        </w:rPr>
      </w:pPr>
    </w:p>
    <w:p>
      <w:pPr>
        <w:ind w:left="1692" w:right="240" w:hanging="787"/>
        <w:spacing w:after="0" w:line="277" w:lineRule="auto"/>
        <w:tabs>
          <w:tab w:leader="none" w:pos="16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for any Borrower or any Security Party to discharge any liability under a Finance Document or to comply with any other obligation which the Majority Lenders consider material under a Finance Document; or</w:t>
      </w:r>
    </w:p>
    <w:p>
      <w:pPr>
        <w:spacing w:after="0" w:line="75" w:lineRule="exact"/>
        <w:rPr>
          <w:rFonts w:ascii="Arial" w:cs="Arial" w:eastAsia="Arial" w:hAnsi="Arial"/>
          <w:sz w:val="18"/>
          <w:szCs w:val="18"/>
          <w:color w:val="auto"/>
        </w:rPr>
      </w:pPr>
    </w:p>
    <w:p>
      <w:pPr>
        <w:ind w:left="1692" w:right="240" w:hanging="787"/>
        <w:spacing w:after="0" w:line="277" w:lineRule="auto"/>
        <w:tabs>
          <w:tab w:leader="none" w:pos="16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for the Facility Agent, the Security Trustee or the Lenders to exercise or enforce any right under, or to enforce any Security Interest created by, a Finance Document; or</w:t>
      </w:r>
    </w:p>
    <w:p>
      <w:pPr>
        <w:spacing w:after="0" w:line="76" w:lineRule="exact"/>
        <w:rPr>
          <w:sz w:val="20"/>
          <w:szCs w:val="20"/>
          <w:color w:val="auto"/>
        </w:rPr>
      </w:pPr>
    </w:p>
    <w:p>
      <w:pPr>
        <w:jc w:val="both"/>
        <w:ind w:left="912" w:right="80" w:hanging="912"/>
        <w:spacing w:after="0" w:line="259" w:lineRule="auto"/>
        <w:tabs>
          <w:tab w:leader="none" w:pos="91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official consent necessary to enable any Borrower to own, operate or charter the Ship owned by it or to enable any Borrower or any Security Party to comply with any of the provision which the Majority Lenders consider material of a Finance Document or any Underlying Document is not granted, expires without being renewed, is revoked or becomes liable to revocation or any condition of such a consent is not fulfilled or any Refund Guarantee ceases to remain in full force and effect for any reason; or</w:t>
      </w:r>
    </w:p>
    <w:p>
      <w:pPr>
        <w:spacing w:after="0" w:line="92" w:lineRule="exact"/>
        <w:rPr>
          <w:rFonts w:ascii="Arial" w:cs="Arial" w:eastAsia="Arial" w:hAnsi="Arial"/>
          <w:sz w:val="18"/>
          <w:szCs w:val="18"/>
          <w:color w:val="auto"/>
        </w:rPr>
      </w:pPr>
    </w:p>
    <w:p>
      <w:pPr>
        <w:ind w:left="912" w:right="120" w:hanging="912"/>
        <w:spacing w:after="0" w:line="259" w:lineRule="auto"/>
        <w:tabs>
          <w:tab w:leader="none" w:pos="91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after exercising an Option, the common units of the Substitute Guarantor cease to be quoted on the Nasdaq National Market in New York or any other internationally recognised stock exchange acceptable to the Lenders or if the whole of the issued share capital of any Borrower whose Ship is at the relevant time subject to a Mortgage is not wholly-owned by the Guarantor or, after exercise of the Option in respect of the Ship owned by that Borrower, the Substitute Guarantor; or</w:t>
      </w:r>
    </w:p>
    <w:p>
      <w:pPr>
        <w:spacing w:after="0" w:line="92" w:lineRule="exact"/>
        <w:rPr>
          <w:rFonts w:ascii="Arial" w:cs="Arial" w:eastAsia="Arial" w:hAnsi="Arial"/>
          <w:sz w:val="18"/>
          <w:szCs w:val="18"/>
          <w:color w:val="auto"/>
        </w:rPr>
      </w:pPr>
    </w:p>
    <w:p>
      <w:pPr>
        <w:ind w:left="912" w:right="60" w:hanging="912"/>
        <w:spacing w:after="0" w:line="286" w:lineRule="auto"/>
        <w:tabs>
          <w:tab w:leader="none" w:pos="912" w:val="left"/>
        </w:tabs>
        <w:numPr>
          <w:ilvl w:val="0"/>
          <w:numId w:val="364"/>
        </w:numPr>
        <w:rPr>
          <w:rFonts w:ascii="Arial" w:cs="Arial" w:eastAsia="Arial" w:hAnsi="Arial"/>
          <w:sz w:val="17"/>
          <w:szCs w:val="17"/>
          <w:color w:val="auto"/>
        </w:rPr>
      </w:pPr>
      <w:r>
        <w:rPr>
          <w:rFonts w:ascii="Arial" w:cs="Arial" w:eastAsia="Arial" w:hAnsi="Arial"/>
          <w:sz w:val="17"/>
          <w:szCs w:val="17"/>
          <w:color w:val="auto"/>
        </w:rPr>
        <w:t>any provision which the Majority Lenders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or</w:t>
      </w:r>
    </w:p>
    <w:p>
      <w:pPr>
        <w:spacing w:after="0" w:line="70" w:lineRule="exact"/>
        <w:rPr>
          <w:rFonts w:ascii="Arial" w:cs="Arial" w:eastAsia="Arial" w:hAnsi="Arial"/>
          <w:sz w:val="17"/>
          <w:szCs w:val="17"/>
          <w:color w:val="auto"/>
        </w:rPr>
      </w:pPr>
    </w:p>
    <w:p>
      <w:pPr>
        <w:ind w:left="912" w:hanging="912"/>
        <w:spacing w:after="0" w:line="284" w:lineRule="auto"/>
        <w:tabs>
          <w:tab w:leader="none" w:pos="91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it evidently appears to the Majority Lenders that, without their prior consent and other than as the result of a Dropdown: (i) at any time, a change has occurred after the date of this Agreement in the legal and beneficial ownership of any of the shares in any Borrower or the ultimate beneficial ownership of the Guarantor or, after exercise of an Option, the Substitute Guarantor or any of them, in the control of the voting rights attaching to any of those shares unless such change results in the ultimate beneficial owner of any Borrower, the Guarantor or, after exercise of an Option, the Substitute Guarantor (the identity of which has been disclosed to the Facility Agent in writing on the date of this Agreement) owning more common units in the capital of the Guarantor or, as the case may be, the Substitute Guarantor than any other person (save for any passive institutional investor)) and holding executive power in any Borrower, the Guarantor or, as the case may be, the Substitute Guarantor and/or</w:t>
      </w:r>
    </w:p>
    <w:p>
      <w:pPr>
        <w:spacing w:after="0" w:line="2" w:lineRule="exact"/>
        <w:rPr>
          <w:rFonts w:ascii="Arial" w:cs="Arial" w:eastAsia="Arial" w:hAnsi="Arial"/>
          <w:sz w:val="16"/>
          <w:szCs w:val="16"/>
          <w:color w:val="auto"/>
        </w:rPr>
      </w:pPr>
    </w:p>
    <w:p>
      <w:pPr>
        <w:ind w:left="1172" w:hanging="267"/>
        <w:spacing w:after="0"/>
        <w:tabs>
          <w:tab w:leader="none" w:pos="1172"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after exercise of the Option in respect of a Ship: (A) Capital Partners GP LLC has ceased to be the Substitute Guarantor’s general partner or</w:t>
      </w:r>
    </w:p>
    <w:p>
      <w:pPr>
        <w:spacing w:after="0" w:line="32"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(B) the Guarantor has ceased to hold legal ownership of the common units of Capital Partners GP LLC; or</w:t>
      </w:r>
    </w:p>
    <w:p>
      <w:pPr>
        <w:spacing w:after="0" w:line="116" w:lineRule="exact"/>
        <w:rPr>
          <w:rFonts w:ascii="Arial" w:cs="Arial" w:eastAsia="Arial" w:hAnsi="Arial"/>
          <w:sz w:val="16"/>
          <w:szCs w:val="16"/>
          <w:color w:val="auto"/>
        </w:rPr>
      </w:pPr>
    </w:p>
    <w:p>
      <w:pPr>
        <w:ind w:left="912" w:hanging="912"/>
        <w:spacing w:after="0"/>
        <w:tabs>
          <w:tab w:leader="none" w:pos="91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130" w:lineRule="exact"/>
        <w:rPr>
          <w:rFonts w:ascii="Arial" w:cs="Arial" w:eastAsia="Arial" w:hAnsi="Arial"/>
          <w:sz w:val="18"/>
          <w:szCs w:val="18"/>
          <w:color w:val="auto"/>
        </w:rPr>
      </w:pPr>
    </w:p>
    <w:p>
      <w:pPr>
        <w:ind w:left="912" w:hanging="912"/>
        <w:spacing w:after="0"/>
        <w:tabs>
          <w:tab w:leader="none" w:pos="91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of the following occurs in relation to a Master Agreement:</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notice of an Early Termination Date is given by the Swap Bank under Section 6(a) of a Master Agreement;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 person entitled to do so gives notice of Early Termination Date under Section (b) of a Master Agreement; or</w:t>
      </w:r>
    </w:p>
    <w:p>
      <w:pPr>
        <w:spacing w:after="0" w:line="130" w:lineRule="exact"/>
        <w:rPr>
          <w:rFonts w:ascii="Arial" w:cs="Arial" w:eastAsia="Arial" w:hAnsi="Arial"/>
          <w:sz w:val="18"/>
          <w:szCs w:val="18"/>
          <w:color w:val="auto"/>
        </w:rPr>
      </w:pPr>
    </w:p>
    <w:p>
      <w:pPr>
        <w:ind w:left="1692" w:hanging="787"/>
        <w:spacing w:after="0"/>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 Event of Default (as defined in Section 14 of a Master Agreement) occurs; or</w:t>
      </w:r>
    </w:p>
    <w:p>
      <w:pPr>
        <w:spacing w:after="0" w:line="130" w:lineRule="exact"/>
        <w:rPr>
          <w:rFonts w:ascii="Arial" w:cs="Arial" w:eastAsia="Arial" w:hAnsi="Arial"/>
          <w:sz w:val="18"/>
          <w:szCs w:val="18"/>
          <w:color w:val="auto"/>
        </w:rPr>
      </w:pPr>
    </w:p>
    <w:p>
      <w:pPr>
        <w:ind w:left="1692" w:right="200" w:hanging="787"/>
        <w:spacing w:after="0" w:line="277" w:lineRule="auto"/>
        <w:tabs>
          <w:tab w:leader="none" w:pos="16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 Master Agreement is terminated, cancelled, suspended, rescinded or revoked or otherwise ceases to remain in full force and effect for any reason except with the consent of the Swap Bank; or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92"/>
          </w:cols>
          <w:pgMar w:left="248" w:top="274" w:right="259" w:bottom="1440" w:gutter="0" w:footer="0" w:header="0"/>
        </w:sectPr>
      </w:pPr>
    </w:p>
    <w:bookmarkStart w:id="244" w:name="page245"/>
    <w:bookmarkEnd w:id="244"/>
    <w:p>
      <w:pPr>
        <w:ind w:left="920" w:hanging="912"/>
        <w:spacing w:after="0"/>
        <w:tabs>
          <w:tab w:leader="none" w:pos="9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700" w:right="620" w:hanging="787"/>
        <w:spacing w:after="0" w:line="277" w:lineRule="auto"/>
        <w:tabs>
          <w:tab w:leader="none" w:pos="170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a Borrower, the Guarantor or, after exercising an Option, the Substitute Guarantor; or</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accident or other event involving a Ship or another vessel owned, chartered or operated by a Relevant Person; or</w:t>
      </w:r>
    </w:p>
    <w:p>
      <w:pPr>
        <w:spacing w:after="0" w:line="130" w:lineRule="exact"/>
        <w:rPr>
          <w:rFonts w:ascii="Arial" w:cs="Arial" w:eastAsia="Arial" w:hAnsi="Arial"/>
          <w:sz w:val="18"/>
          <w:szCs w:val="18"/>
          <w:color w:val="auto"/>
        </w:rPr>
      </w:pPr>
    </w:p>
    <w:p>
      <w:pPr>
        <w:ind w:left="920" w:right="920" w:hanging="7"/>
        <w:spacing w:after="0" w:line="402" w:lineRule="auto"/>
        <w:tabs>
          <w:tab w:leader="none" w:pos="1709"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commencement of legal or administrative action involving the Borrower, the Ship owned by it, or any Security Party, which in the reasonable opinion of the Lenders constitutes a Material Adverse Change.</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or at any time after, the occurrence of an Event of Default in relation to a Group:</w:t>
      </w:r>
    </w:p>
    <w:p>
      <w:pPr>
        <w:spacing w:after="0" w:line="131" w:lineRule="exact"/>
        <w:rPr>
          <w:sz w:val="20"/>
          <w:szCs w:val="20"/>
          <w:color w:val="auto"/>
        </w:rPr>
      </w:pPr>
    </w:p>
    <w:p>
      <w:pPr>
        <w:ind w:left="920" w:hanging="912"/>
        <w:spacing w:after="0"/>
        <w:tabs>
          <w:tab w:leader="none" w:pos="9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Facility Agent may, and if so instructed by the Majority Lenders, the Facility Agent shall:</w:t>
      </w:r>
    </w:p>
    <w:p>
      <w:pPr>
        <w:spacing w:after="0" w:line="130" w:lineRule="exact"/>
        <w:rPr>
          <w:rFonts w:ascii="Arial" w:cs="Arial" w:eastAsia="Arial" w:hAnsi="Arial"/>
          <w:sz w:val="18"/>
          <w:szCs w:val="18"/>
          <w:color w:val="auto"/>
        </w:rPr>
      </w:pPr>
    </w:p>
    <w:p>
      <w:pPr>
        <w:ind w:left="1700" w:right="240" w:hanging="787"/>
        <w:spacing w:after="0" w:line="277" w:lineRule="auto"/>
        <w:tabs>
          <w:tab w:leader="none" w:pos="1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serve on the Borrowers a notice stating that the Commitments and all other obligations of each Lender to the Borrowers under this Agreement are terminated; and/or</w:t>
      </w:r>
    </w:p>
    <w:p>
      <w:pPr>
        <w:spacing w:after="0" w:line="75" w:lineRule="exact"/>
        <w:rPr>
          <w:rFonts w:ascii="Arial" w:cs="Arial" w:eastAsia="Arial" w:hAnsi="Arial"/>
          <w:sz w:val="18"/>
          <w:szCs w:val="18"/>
          <w:color w:val="auto"/>
        </w:rPr>
      </w:pPr>
    </w:p>
    <w:p>
      <w:pPr>
        <w:ind w:left="1700" w:right="80" w:hanging="787"/>
        <w:spacing w:after="0" w:line="264" w:lineRule="auto"/>
        <w:tabs>
          <w:tab w:leader="none" w:pos="1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serve on the Borrowers a notice stating that the Tranche or Tranches (or part thereof) owing by any Borrower which is a member of that Group, all accrued interest and all other amounts accrued or owing in respect of that or those Tranches under this Agreement are immediately due and payable or are due and payable on demand; and/or</w:t>
      </w:r>
    </w:p>
    <w:p>
      <w:pPr>
        <w:spacing w:after="0" w:line="86" w:lineRule="exact"/>
        <w:rPr>
          <w:rFonts w:ascii="Arial" w:cs="Arial" w:eastAsia="Arial" w:hAnsi="Arial"/>
          <w:sz w:val="18"/>
          <w:szCs w:val="18"/>
          <w:color w:val="auto"/>
        </w:rPr>
      </w:pPr>
    </w:p>
    <w:p>
      <w:pPr>
        <w:ind w:left="1700" w:right="360" w:hanging="787"/>
        <w:spacing w:after="0" w:line="277" w:lineRule="auto"/>
        <w:tabs>
          <w:tab w:leader="none" w:pos="1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above, the Facility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ind w:left="920" w:hanging="912"/>
        <w:spacing w:after="0" w:line="312" w:lineRule="auto"/>
        <w:tabs>
          <w:tab w:leader="none" w:pos="92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Security Trustee may, and if so instructed by the Facility Agent, acting with the authorisation of the Majority Lenders, the Security Trustee shall take any action which, as a result of the Event of Default or any notice served under paragraph (a) (i) or (ii) above, the Security Trustee, the Facility Agent, the Lenders and/or the Swap Bank are entitled to take under any Finance Document or any applicable law.</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Termination of Commitments</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On the service of a notice under paragraph (a)(i) of Clause 19.2, the Commitments and all other obligations of each Lender to the Borrowers under this Agreement shall terminate.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Acceleration of Loan</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On the service of a notice under paragraph (a)(ii) of Clause 19.2, any Tranche (or part thereof) referred to therein, all accrued interest and all other amounts accrued or owing from any Borrower which is a member of the Group to which the Event of Default relates or any other Security Party under this Agreement and every other Finance Document securing any of those Tranches shall become immediately due and payable or, as the case may be, payable on demand.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Multiple notices; action without notice</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The Facility Agent may serve notices under paragraphs (a) (i) and (ii) of Clause 19.2 simultaneously or on different dates and it and/or the Security Trustee may take any action referred to in that Clause if no such notice is served or simultaneously with or at any time after the service of both or either of such notices.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274" w:right="319" w:bottom="1440" w:gutter="0" w:footer="0" w:header="0"/>
        </w:sectPr>
      </w:pPr>
    </w:p>
    <w:bookmarkStart w:id="245" w:name="page246"/>
    <w:bookmarkEnd w:id="24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19.6</w:t>
      </w:r>
      <w:r>
        <w:rPr>
          <w:sz w:val="20"/>
          <w:szCs w:val="20"/>
          <w:color w:val="auto"/>
        </w:rPr>
        <w:tab/>
      </w:r>
      <w:r>
        <w:rPr>
          <w:rFonts w:ascii="Arial" w:cs="Arial" w:eastAsia="Arial" w:hAnsi="Arial"/>
          <w:sz w:val="16"/>
          <w:szCs w:val="16"/>
          <w:b w:val="1"/>
          <w:bCs w:val="1"/>
          <w:color w:val="auto"/>
        </w:rPr>
        <w:t>Notification of Creditor Parties and Security Parties</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The Facility Agent shall send to each Lender, the Swap Bank, the Security Trustee and each Security Party a copy or the text of any notice which the Facility Agent serves on the Borrowers under Clause 19.2; but the notice shall become effective when it is served on the Borrowers, and no failure or delay by the Facility Agent to send a copy or the text of the notice to any other person shall invalidate the notice or provide the Borrowers or any Security Party with any form of claim or defence.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Lender’s rights unimpaired</w:t>
      </w:r>
    </w:p>
    <w:p>
      <w:pPr>
        <w:spacing w:after="0" w:line="121"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Nothing in this Clause shall be taken to impair or restrict the exercise of any right given to individual Lenders or the Swap Bank under a Finance Document or the general law; and, in particular, this Clause is without prejudice to Clause 3.1.</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Exclusion of Creditor Party Liability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Creditor Party, and no receiver or manager appointed by the Security Trustee, shall have any liability to any Borrower or a Security Party:</w:t>
      </w:r>
    </w:p>
    <w:p>
      <w:pPr>
        <w:spacing w:after="0" w:line="154" w:lineRule="exact"/>
        <w:rPr>
          <w:sz w:val="20"/>
          <w:szCs w:val="20"/>
          <w:color w:val="auto"/>
        </w:rPr>
      </w:pPr>
    </w:p>
    <w:p>
      <w:pPr>
        <w:ind w:left="920" w:hanging="912"/>
        <w:spacing w:after="0" w:line="277" w:lineRule="auto"/>
        <w:tabs>
          <w:tab w:leader="none" w:pos="9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920" w:right="420" w:hanging="912"/>
        <w:spacing w:after="0" w:line="277" w:lineRule="auto"/>
        <w:tabs>
          <w:tab w:leader="none" w:pos="9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62" w:lineRule="exact"/>
        <w:rPr>
          <w:rFonts w:ascii="Arial" w:cs="Arial" w:eastAsia="Arial" w:hAnsi="Arial"/>
          <w:sz w:val="18"/>
          <w:szCs w:val="18"/>
          <w:color w:val="auto"/>
        </w:rPr>
      </w:pPr>
    </w:p>
    <w:p>
      <w:pPr>
        <w:ind w:left="920" w:right="120"/>
        <w:spacing w:after="0" w:line="264" w:lineRule="auto"/>
        <w:rPr>
          <w:rFonts w:ascii="Arial" w:cs="Arial" w:eastAsia="Arial" w:hAnsi="Arial"/>
          <w:sz w:val="18"/>
          <w:szCs w:val="18"/>
          <w:color w:val="auto"/>
        </w:rPr>
      </w:pPr>
      <w:r>
        <w:rPr>
          <w:rFonts w:ascii="Arial" w:cs="Arial" w:eastAsia="Arial" w:hAnsi="Arial"/>
          <w:sz w:val="18"/>
          <w:szCs w:val="18"/>
          <w:color w:val="auto"/>
        </w:rPr>
        <w:t>except that this does not exempt a Creditor Party or a receiver or manager from liability for losses shown to have been directly or mainly caused by the gross negligence, the dishonesty or the wilful misconduct of such Creditor Party’s own officers and employees or ( as the case may be) such receiver’s or manager’s own partners or employees.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Relevant Persons</w:t>
      </w:r>
    </w:p>
    <w:p>
      <w:pPr>
        <w:spacing w:after="0" w:line="117" w:lineRule="exact"/>
        <w:rPr>
          <w:sz w:val="20"/>
          <w:szCs w:val="20"/>
          <w:color w:val="auto"/>
        </w:rPr>
      </w:pPr>
    </w:p>
    <w:p>
      <w:pPr>
        <w:ind w:left="920" w:right="40"/>
        <w:spacing w:after="0" w:line="282" w:lineRule="auto"/>
        <w:rPr>
          <w:sz w:val="20"/>
          <w:szCs w:val="20"/>
          <w:color w:val="auto"/>
        </w:rPr>
      </w:pPr>
      <w:r>
        <w:rPr>
          <w:rFonts w:ascii="Arial" w:cs="Arial" w:eastAsia="Arial" w:hAnsi="Arial"/>
          <w:sz w:val="18"/>
          <w:szCs w:val="18"/>
          <w:color w:val="auto"/>
        </w:rPr>
        <w:t>In this Clause 19, “</w:t>
      </w:r>
      <w:r>
        <w:rPr>
          <w:rFonts w:ascii="Arial" w:cs="Arial" w:eastAsia="Arial" w:hAnsi="Arial"/>
          <w:sz w:val="18"/>
          <w:szCs w:val="18"/>
          <w:b w:val="1"/>
          <w:bCs w:val="1"/>
          <w:color w:val="auto"/>
        </w:rPr>
        <w:t>a Relevant Person</w:t>
      </w:r>
      <w:r>
        <w:rPr>
          <w:rFonts w:ascii="Arial" w:cs="Arial" w:eastAsia="Arial" w:hAnsi="Arial"/>
          <w:sz w:val="18"/>
          <w:szCs w:val="18"/>
          <w:color w:val="auto"/>
        </w:rPr>
        <w:t>” means a Borrower, the Guarantor and any other Security Party or member of the CMTC Group and, after exercising the Option, any member of the CPLP Group.</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Interpretation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Event of Default shall be deemed to have occurred under this Clause 19 in relation to a Group if it relates to:</w:t>
      </w:r>
    </w:p>
    <w:p>
      <w:pPr>
        <w:spacing w:after="0" w:line="131" w:lineRule="exact"/>
        <w:rPr>
          <w:sz w:val="20"/>
          <w:szCs w:val="20"/>
          <w:color w:val="auto"/>
        </w:rPr>
      </w:pPr>
    </w:p>
    <w:p>
      <w:pPr>
        <w:ind w:left="920" w:hanging="912"/>
        <w:spacing w:after="0"/>
        <w:tabs>
          <w:tab w:leader="none" w:pos="9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Borrower which is a member of that Group;</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Ship owned or to be owned by a member of that Group;</w:t>
      </w:r>
    </w:p>
    <w:p>
      <w:pPr>
        <w:spacing w:after="0" w:line="130" w:lineRule="exact"/>
        <w:rPr>
          <w:rFonts w:ascii="Arial" w:cs="Arial" w:eastAsia="Arial" w:hAnsi="Arial"/>
          <w:sz w:val="18"/>
          <w:szCs w:val="18"/>
          <w:color w:val="auto"/>
        </w:rPr>
      </w:pPr>
    </w:p>
    <w:p>
      <w:pPr>
        <w:ind w:left="920" w:right="340" w:hanging="912"/>
        <w:spacing w:after="0" w:line="277" w:lineRule="auto"/>
        <w:tabs>
          <w:tab w:leader="none" w:pos="9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Finance Document that is executed as security for, or to establish any kind of priorities arrangement in relation to, any amount payable by a member of that Group;</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Security Party executing such a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generally, that Group or the members of that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0"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0"/>
              </w:rPr>
              <w:t>it being agreed that on the occurrence of an Event of Default in relation to a Group, no rights whatsoever shall accrue to the Creditor Parties as a</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2"/>
              </w:rPr>
              <w:t>result thereof to take action under the Loan Agreement or any other Finance Document in relation to any other Borrower which is a member of</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4"/>
              </w:rPr>
              <w:t>the other Group or its Ship (provided always that no Event of Default has occurred and is continuing at the time in relation to any such other</w:t>
            </w:r>
          </w:p>
        </w:tc>
      </w:tr>
      <w:tr>
        <w:trPr>
          <w:trHeight w:val="230"/>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Borrower(s) or Ship),</w:t>
            </w:r>
          </w:p>
        </w:tc>
      </w:tr>
      <w:tr>
        <w:trPr>
          <w:trHeight w:val="306"/>
        </w:trPr>
        <w:tc>
          <w:tcPr>
            <w:tcW w:w="6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4"/>
              </w:rPr>
              <w:t>and in Clause 19.1(f) references to an event of default or a termination event include any event, howsoever described, which is similar to an</w:t>
            </w:r>
          </w:p>
        </w:tc>
      </w:tr>
      <w:tr>
        <w:trPr>
          <w:trHeight w:val="234"/>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6"/>
              </w:rPr>
              <w:t>event of default in a facility agreement or a termination event in a finance lease; and in Clause 19.1(g) “</w:t>
            </w:r>
            <w:r>
              <w:rPr>
                <w:rFonts w:ascii="Arial" w:cs="Arial" w:eastAsia="Arial" w:hAnsi="Arial"/>
                <w:sz w:val="18"/>
                <w:szCs w:val="18"/>
                <w:b w:val="1"/>
                <w:bCs w:val="1"/>
                <w:color w:val="auto"/>
                <w:w w:val="96"/>
              </w:rPr>
              <w:t>petition</w:t>
            </w:r>
            <w:r>
              <w:rPr>
                <w:rFonts w:ascii="Arial" w:cs="Arial" w:eastAsia="Arial" w:hAnsi="Arial"/>
                <w:sz w:val="18"/>
                <w:szCs w:val="18"/>
                <w:color w:val="auto"/>
                <w:w w:val="96"/>
              </w:rPr>
              <w:t>” includes an application.</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19.11</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rPr>
              <w:t>Position of the Swap Bank</w:t>
            </w:r>
          </w:p>
        </w:tc>
      </w:tr>
      <w:tr>
        <w:trPr>
          <w:trHeight w:val="310"/>
        </w:trPr>
        <w:tc>
          <w:tcPr>
            <w:tcW w:w="6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6"/>
              </w:rPr>
              <w:t>Neither the Facility Agent nor the Security Trustee shall be obliged, in connection with any action taken or proposed to be taken under or</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3"/>
              </w:rPr>
              <w:t>pursuant to the foregoing provisions of this Clause 19, to have any regard to the requirements of the Swap Bank except to the extent that the</w:t>
            </w:r>
          </w:p>
        </w:tc>
      </w:tr>
      <w:tr>
        <w:trPr>
          <w:trHeight w:val="230"/>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Swap Bank is also a Lender.</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20</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rPr>
              <w:t>FEES AND EXPENSES</w:t>
            </w:r>
          </w:p>
        </w:tc>
      </w:tr>
      <w:tr>
        <w:trPr>
          <w:trHeight w:val="338"/>
        </w:trPr>
        <w:tc>
          <w:tcPr>
            <w:tcW w:w="660" w:type="dxa"/>
            <w:vAlign w:val="bottom"/>
          </w:tcPr>
          <w:p>
            <w:pPr>
              <w:spacing w:after="0"/>
              <w:rPr>
                <w:sz w:val="20"/>
                <w:szCs w:val="20"/>
                <w:color w:val="auto"/>
              </w:rPr>
            </w:pPr>
            <w:r>
              <w:rPr>
                <w:rFonts w:ascii="Arial" w:cs="Arial" w:eastAsia="Arial" w:hAnsi="Arial"/>
                <w:sz w:val="18"/>
                <w:szCs w:val="18"/>
                <w:b w:val="1"/>
                <w:bCs w:val="1"/>
                <w:color w:val="auto"/>
              </w:rPr>
              <w:t>20.1</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rPr>
              <w:t>Commitment and upfront fees</w:t>
            </w:r>
          </w:p>
        </w:tc>
      </w:tr>
      <w:tr>
        <w:trPr>
          <w:trHeight w:val="306"/>
        </w:trPr>
        <w:tc>
          <w:tcPr>
            <w:tcW w:w="6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Each Borrower shall pay to the Facility Agent the fees, each in the amounts, at the rates, and on the dates and to the Creditor Parties referred to in</w:t>
            </w:r>
          </w:p>
        </w:tc>
      </w:tr>
      <w:tr>
        <w:trPr>
          <w:trHeight w:val="220"/>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 xml:space="preserve">the Fee Letter </w:t>
            </w:r>
            <w:r>
              <w:rPr>
                <w:rFonts w:ascii="Arial" w:cs="Arial" w:eastAsia="Arial" w:hAnsi="Arial"/>
                <w:sz w:val="18"/>
                <w:szCs w:val="18"/>
                <w:b w:val="1"/>
                <w:bCs w:val="1"/>
                <w:color w:val="auto"/>
                <w:w w:val="91"/>
              </w:rPr>
              <w:t>Provided that</w:t>
            </w:r>
            <w:r>
              <w:rPr>
                <w:rFonts w:ascii="Arial" w:cs="Arial" w:eastAsia="Arial" w:hAnsi="Arial"/>
                <w:sz w:val="18"/>
                <w:szCs w:val="18"/>
                <w:color w:val="auto"/>
                <w:w w:val="91"/>
              </w:rPr>
              <w:t xml:space="preserve"> no commitment fee shall be payable to the Facility Agent (for the account of a Lender) on the Commitment of that</w:t>
            </w:r>
          </w:p>
        </w:tc>
      </w:tr>
      <w:tr>
        <w:trPr>
          <w:trHeight w:val="230"/>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Lender for any day on which that Lender is a Defaulting Lender.</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20.2</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rPr>
              <w:t>Costs of negotiation, preparation etc.</w:t>
            </w:r>
          </w:p>
        </w:tc>
      </w:tr>
      <w:tr>
        <w:trPr>
          <w:trHeight w:val="310"/>
        </w:trPr>
        <w:tc>
          <w:tcPr>
            <w:tcW w:w="6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Each Borrower shall pay to the Facility Agent on its demand the amount of all expenses incurred by the Facility Agent or the Security Trustee in</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4"/>
              </w:rPr>
              <w:t>connection with the negotiation, preparation, execution or registration of any Finance Document or any related document (including, for the</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4"/>
              </w:rPr>
              <w:t>avoidance of doubt, any expenses incurred by the Lenders in obtaining the legal opinions referred to in Schedule 3) or with any transaction</w:t>
            </w:r>
          </w:p>
        </w:tc>
      </w:tr>
      <w:tr>
        <w:trPr>
          <w:trHeight w:val="230"/>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contemplated by a Finance Document or a related document.</w:t>
            </w: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20.3</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rPr>
              <w:t>Costs of variations, amendments, enforcement etc.</w:t>
            </w:r>
          </w:p>
        </w:tc>
      </w:tr>
      <w:tr>
        <w:trPr>
          <w:trHeight w:val="310"/>
        </w:trPr>
        <w:tc>
          <w:tcPr>
            <w:tcW w:w="660" w:type="dxa"/>
            <w:vAlign w:val="bottom"/>
          </w:tcPr>
          <w:p>
            <w:pPr>
              <w:spacing w:after="0"/>
              <w:rPr>
                <w:sz w:val="24"/>
                <w:szCs w:val="24"/>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Each Borrower shall pay to the Facility Agent, on the Facility Agent’s demand, for the account of the Creditor Party concerned, the amount of all</w:t>
            </w:r>
          </w:p>
        </w:tc>
      </w:tr>
      <w:tr>
        <w:trPr>
          <w:trHeight w:val="230"/>
        </w:trPr>
        <w:tc>
          <w:tcPr>
            <w:tcW w:w="660" w:type="dxa"/>
            <w:vAlign w:val="bottom"/>
          </w:tcPr>
          <w:p>
            <w:pPr>
              <w:spacing w:after="0"/>
              <w:rPr>
                <w:sz w:val="20"/>
                <w:szCs w:val="20"/>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expenses incurred by a Lender in connection with:</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right="200" w:hanging="912"/>
        <w:spacing w:after="0" w:line="277" w:lineRule="auto"/>
        <w:tabs>
          <w:tab w:leader="none" w:pos="9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requested (or, in the case of a proposal, made) by or on behalf of any Borrower and relating to a Finance Document or any other Pertinent Document;</w:t>
      </w:r>
    </w:p>
    <w:p>
      <w:pPr>
        <w:spacing w:after="0" w:line="75"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any consent, waiver or suspension of rights by the Lenders, the Swap Bank, the Majority Lenders or the Creditor Party concerned or any proposal for any of the foregoing requested (or, in the case of a proposal, made) by or on behalf of a Borrower under or in connection with a Finance Document or any other Pertinent Document;</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Clause 15 or any other matter relating to such security; or</w:t>
      </w:r>
    </w:p>
    <w:p>
      <w:pPr>
        <w:spacing w:after="0" w:line="130" w:lineRule="exact"/>
        <w:rPr>
          <w:rFonts w:ascii="Arial" w:cs="Arial" w:eastAsia="Arial" w:hAnsi="Arial"/>
          <w:sz w:val="18"/>
          <w:szCs w:val="18"/>
          <w:color w:val="auto"/>
        </w:rPr>
      </w:pPr>
    </w:p>
    <w:p>
      <w:pPr>
        <w:ind w:left="920" w:right="140" w:hanging="912"/>
        <w:spacing w:after="0" w:line="302" w:lineRule="auto"/>
        <w:tabs>
          <w:tab w:leader="none" w:pos="92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any step taken by the Lender concerned or the Swap Bank with a view to the preservation, protection, exercise or enforcement of any rights or Security Interest created by a Finance Document or for any similar purpose including, without limitation, any proceedings to recover or retain proceeds of enforcement or any other proceedings following enforcement proceedings until the date all outstanding indebtedness to the Creditor Parties under the Finance Documents, a Master Agreement and any other Pertinent Document is repaid in full.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247" w:name="page248"/>
    <w:bookmarkEnd w:id="247"/>
    <w:p>
      <w:pPr>
        <w:ind w:left="92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recoverable under paragraph (d) the full amount of all legal expenses, whether or not such as would be allowed under rules of court or any taxation or other procedure carried out under such rules.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Documentary taxes</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Borrowers shall promptly pay any tax payable on or by reference to any Finance Document, and shall, on the Facility Agent’s demand, fully indemnify each Creditor Party against any claims, expenses, liabilities and losses resulting from any failure or delay by the Borrowers to pay such a tax.</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A notice which is signed by two officers of a Creditor Party, which states that a specified amount, or aggregate amount, is due to that Creditor Party under this Clause 20 and which indicates (without necessarily specifying a detailed breakdown) the matters in respect of which the amount, or aggregate amount, is due shall be prima facie evidence that the amount, or aggregate amount, is due.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Indemnities regarding borrowing and repayment of Loan</w:t>
      </w:r>
    </w:p>
    <w:p>
      <w:pPr>
        <w:spacing w:after="0" w:line="121" w:lineRule="exact"/>
        <w:rPr>
          <w:sz w:val="20"/>
          <w:szCs w:val="20"/>
          <w:color w:val="auto"/>
        </w:rPr>
      </w:pPr>
    </w:p>
    <w:p>
      <w:pPr>
        <w:ind w:left="920" w:right="120"/>
        <w:spacing w:after="0" w:line="286" w:lineRule="auto"/>
        <w:rPr>
          <w:sz w:val="20"/>
          <w:szCs w:val="20"/>
          <w:color w:val="auto"/>
        </w:rPr>
      </w:pPr>
      <w:r>
        <w:rPr>
          <w:rFonts w:ascii="Arial" w:cs="Arial" w:eastAsia="Arial" w:hAnsi="Arial"/>
          <w:sz w:val="17"/>
          <w:szCs w:val="17"/>
          <w:color w:val="auto"/>
        </w:rPr>
        <w:t>The Borrowers shall fully indemnify the Facility Agent and each Lender on the Facility Agent’s demand 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71" w:lineRule="exact"/>
        <w:rPr>
          <w:sz w:val="20"/>
          <w:szCs w:val="20"/>
          <w:color w:val="auto"/>
        </w:rPr>
      </w:pPr>
    </w:p>
    <w:p>
      <w:pPr>
        <w:ind w:left="920" w:right="360" w:hanging="912"/>
        <w:spacing w:after="0" w:line="308" w:lineRule="auto"/>
        <w:tabs>
          <w:tab w:leader="none" w:pos="92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 Advance not being borrowed on the date specified in the Drawdown Notice for any reason other than a default by the Lender claiming the indemnity after the Drawdown Notice has been served in accordance with the provisions of this Agreement;</w:t>
      </w:r>
    </w:p>
    <w:p>
      <w:pPr>
        <w:spacing w:after="0" w:line="51" w:lineRule="exact"/>
        <w:rPr>
          <w:rFonts w:ascii="Arial" w:cs="Arial" w:eastAsia="Arial" w:hAnsi="Arial"/>
          <w:sz w:val="17"/>
          <w:szCs w:val="17"/>
          <w:color w:val="auto"/>
        </w:rPr>
      </w:pPr>
    </w:p>
    <w:p>
      <w:pPr>
        <w:ind w:left="920" w:right="460" w:hanging="912"/>
        <w:spacing w:after="0" w:line="277" w:lineRule="auto"/>
        <w:tabs>
          <w:tab w:leader="none" w:pos="9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receipt or recovery of all or any part of the Loan or an overdue sum otherwise than on the last day of an Interest Period or other relevant period;</w:t>
      </w:r>
    </w:p>
    <w:p>
      <w:pPr>
        <w:spacing w:after="0" w:line="75" w:lineRule="exact"/>
        <w:rPr>
          <w:rFonts w:ascii="Arial" w:cs="Arial" w:eastAsia="Arial" w:hAnsi="Arial"/>
          <w:sz w:val="18"/>
          <w:szCs w:val="18"/>
          <w:color w:val="auto"/>
        </w:rPr>
      </w:pPr>
    </w:p>
    <w:p>
      <w:pPr>
        <w:ind w:left="920" w:right="480" w:hanging="912"/>
        <w:spacing w:after="0" w:line="342" w:lineRule="auto"/>
        <w:tabs>
          <w:tab w:leader="none" w:pos="9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failure (for whatever reason) by any Borrower to make payment of any amount due under a Finance Document on the due date or, if so payable, on demand (after giving credit for any default interest paid by any Borrower on the amount concerned under Clause 7); and</w:t>
      </w:r>
    </w:p>
    <w:p>
      <w:pPr>
        <w:spacing w:after="0" w:line="29" w:lineRule="exact"/>
        <w:rPr>
          <w:rFonts w:ascii="Arial" w:cs="Arial" w:eastAsia="Arial" w:hAnsi="Arial"/>
          <w:sz w:val="16"/>
          <w:szCs w:val="16"/>
          <w:color w:val="auto"/>
        </w:rPr>
      </w:pPr>
    </w:p>
    <w:p>
      <w:pPr>
        <w:ind w:left="920" w:right="120" w:hanging="912"/>
        <w:spacing w:after="0" w:line="277" w:lineRule="auto"/>
        <w:tabs>
          <w:tab w:leader="none" w:pos="9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occurrence and/or continuance of an Event of Default or a Potential Event of Default and/or the acceleration of repayment of the Loan under Clause 19,</w:t>
      </w:r>
    </w:p>
    <w:p>
      <w:pPr>
        <w:spacing w:after="0" w:line="62" w:lineRule="exact"/>
        <w:rPr>
          <w:rFonts w:ascii="Arial" w:cs="Arial" w:eastAsia="Arial" w:hAnsi="Arial"/>
          <w:sz w:val="18"/>
          <w:szCs w:val="18"/>
          <w:color w:val="auto"/>
        </w:rPr>
      </w:pPr>
    </w:p>
    <w:p>
      <w:pPr>
        <w:ind w:left="9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and in respect of any tax (other than tax on its overall net income) for which a Creditor Party is liable in connection with any amount paid or payable to that Creditor Party (whether for its own account or otherwise) under any Finance Document </w:t>
      </w:r>
      <w:r>
        <w:rPr>
          <w:rFonts w:ascii="Arial" w:cs="Arial" w:eastAsia="Arial" w:hAnsi="Arial"/>
          <w:sz w:val="18"/>
          <w:szCs w:val="18"/>
          <w:b w:val="1"/>
          <w:bCs w:val="1"/>
          <w:color w:val="auto"/>
        </w:rPr>
        <w:t>Provided that</w:t>
      </w:r>
      <w:r>
        <w:rPr>
          <w:rFonts w:ascii="Arial" w:cs="Arial" w:eastAsia="Arial" w:hAnsi="Arial"/>
          <w:sz w:val="18"/>
          <w:szCs w:val="18"/>
          <w:color w:val="auto"/>
        </w:rPr>
        <w:t>, other than in the case of paragraph (d), to the extent that such losses are attributable to specific Tranches, each Borrower who was an Affected Borrower at the time such losses were incurred shall only be required to indemnify the Creditor Parties for losses attributable to the Tranche relative to a Chartered Ship and the other Borrowers shall be required to indemnify the Creditor Parties for losses attributable to all Tranches which were not at the relevant time Tranches relating to a Chartered Ship.</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248" w:name="page249"/>
    <w:bookmarkEnd w:id="24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w:t>
      </w:r>
      <w:r>
        <w:rPr>
          <w:sz w:val="20"/>
          <w:szCs w:val="20"/>
          <w:color w:val="auto"/>
        </w:rPr>
        <w:tab/>
      </w:r>
      <w:r>
        <w:rPr>
          <w:rFonts w:ascii="Arial" w:cs="Arial" w:eastAsia="Arial" w:hAnsi="Arial"/>
          <w:sz w:val="15"/>
          <w:szCs w:val="15"/>
          <w:b w:val="1"/>
          <w:bCs w:val="1"/>
          <w:color w:val="auto"/>
        </w:rPr>
        <w:t>Break Costs</w:t>
      </w:r>
    </w:p>
    <w:p>
      <w:pPr>
        <w:spacing w:after="0" w:line="117" w:lineRule="exact"/>
        <w:rPr>
          <w:sz w:val="20"/>
          <w:szCs w:val="20"/>
          <w:color w:val="auto"/>
        </w:rPr>
      </w:pPr>
    </w:p>
    <w:p>
      <w:pPr>
        <w:ind w:left="920" w:right="180"/>
        <w:spacing w:after="0" w:line="266" w:lineRule="auto"/>
        <w:rPr>
          <w:sz w:val="20"/>
          <w:szCs w:val="20"/>
          <w:color w:val="auto"/>
        </w:rPr>
      </w:pPr>
      <w:r>
        <w:rPr>
          <w:rFonts w:ascii="Arial" w:cs="Arial" w:eastAsia="Arial" w:hAnsi="Arial"/>
          <w:sz w:val="18"/>
          <w:szCs w:val="18"/>
          <w:color w:val="auto"/>
        </w:rPr>
        <w:t>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as a consequence of receipt or recovery of all or any part of the Loan (a “</w:t>
      </w:r>
      <w:r>
        <w:rPr>
          <w:rFonts w:ascii="Arial" w:cs="Arial" w:eastAsia="Arial" w:hAnsi="Arial"/>
          <w:sz w:val="18"/>
          <w:szCs w:val="18"/>
          <w:b w:val="1"/>
          <w:bCs w:val="1"/>
          <w:color w:val="auto"/>
        </w:rPr>
        <w:t>Payment</w:t>
      </w:r>
      <w:r>
        <w:rPr>
          <w:rFonts w:ascii="Arial" w:cs="Arial" w:eastAsia="Arial" w:hAnsi="Arial"/>
          <w:sz w:val="18"/>
          <w:szCs w:val="18"/>
          <w:color w:val="auto"/>
        </w:rPr>
        <w:t>”) on a day other than the last day of an Interest Period applicable to the sum received or recovered the Notifying Lender has or will, with effect from a specified date, incur Break Costs:</w:t>
      </w:r>
    </w:p>
    <w:p>
      <w:pPr>
        <w:spacing w:after="0" w:line="86" w:lineRule="exact"/>
        <w:rPr>
          <w:sz w:val="20"/>
          <w:szCs w:val="20"/>
          <w:color w:val="auto"/>
        </w:rPr>
      </w:pPr>
    </w:p>
    <w:p>
      <w:pPr>
        <w:ind w:left="920" w:hanging="912"/>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Facility Agent shall promptly notify the Borrowers of a notice it receives from a Notifying Lender under this Clause 21.2;</w:t>
      </w:r>
    </w:p>
    <w:p>
      <w:pPr>
        <w:spacing w:after="0" w:line="130"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Borrowers (or, subject to Clause 29.2, each Affected Borrower with respect to each Tranche relative to a Chartered Ship), shall, within 3 Business Days of the Facility Agent’s demand, pay to the Facility Agent for the account of the Notifying Lender the amount of such Break Costs; and</w:t>
      </w:r>
    </w:p>
    <w:p>
      <w:pPr>
        <w:spacing w:after="0" w:line="86" w:lineRule="exact"/>
        <w:rPr>
          <w:rFonts w:ascii="Arial" w:cs="Arial" w:eastAsia="Arial" w:hAnsi="Arial"/>
          <w:sz w:val="18"/>
          <w:szCs w:val="18"/>
          <w:color w:val="auto"/>
        </w:rPr>
      </w:pPr>
    </w:p>
    <w:p>
      <w:pPr>
        <w:ind w:left="920" w:right="100" w:hanging="912"/>
        <w:spacing w:after="0" w:line="264" w:lineRule="auto"/>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Notifying Lender shall, as soon as reasonably practicable, following a request by the Borrowers, provide a certificate confirming the amount of the Notifying Lender’s Break Costs for the Interest Period in which they accrue, such certificate to be, in the absence of manifest error, conclusive and binding on the Borrower.</w:t>
      </w:r>
    </w:p>
    <w:p>
      <w:pPr>
        <w:spacing w:after="0" w:line="6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 this Clause 21.2, “</w:t>
      </w:r>
      <w:r>
        <w:rPr>
          <w:rFonts w:ascii="Arial" w:cs="Arial" w:eastAsia="Arial" w:hAnsi="Arial"/>
          <w:sz w:val="18"/>
          <w:szCs w:val="18"/>
          <w:b w:val="1"/>
          <w:bCs w:val="1"/>
          <w:color w:val="auto"/>
        </w:rPr>
        <w:t>Break Costs</w:t>
      </w:r>
      <w:r>
        <w:rPr>
          <w:rFonts w:ascii="Arial" w:cs="Arial" w:eastAsia="Arial" w:hAnsi="Arial"/>
          <w:sz w:val="18"/>
          <w:szCs w:val="18"/>
          <w:color w:val="auto"/>
        </w:rPr>
        <w:t>” means, in relation to a Payment the amount (if any) by which:</w:t>
      </w:r>
    </w:p>
    <w:p>
      <w:pPr>
        <w:spacing w:after="0" w:line="134" w:lineRule="exact"/>
        <w:rPr>
          <w:rFonts w:ascii="Arial" w:cs="Arial" w:eastAsia="Arial" w:hAnsi="Arial"/>
          <w:sz w:val="18"/>
          <w:szCs w:val="18"/>
          <w:color w:val="auto"/>
        </w:rPr>
      </w:pPr>
    </w:p>
    <w:p>
      <w:pPr>
        <w:ind w:left="1700" w:right="160" w:hanging="787"/>
        <w:spacing w:after="0" w:line="264" w:lineRule="auto"/>
        <w:tabs>
          <w:tab w:leader="none" w:pos="17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interest which the Notifying Lender, should have received in respect of the sum received or recovered from the date of receipt or recovery of such Payment to the last day of the then current Interest Period applicable to the sum received or recovered had such Payment been made on the last day of such Interest Period;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1700" w:right="340" w:hanging="787"/>
        <w:spacing w:after="0" w:line="259" w:lineRule="auto"/>
        <w:tabs>
          <w:tab w:leader="none" w:pos="17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amount which the Notifying Lender, would be able to obtain by placing an amount equal to such Payment on deposit with a leading bank in the London interbank market for a period commencing on the Business Day following receipt or recovery of such Payment (as the case may be) and ending on the last day of the then current Interest Period applicable to the sum received or recovered.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Other breakage costs</w:t>
      </w:r>
    </w:p>
    <w:p>
      <w:pPr>
        <w:spacing w:after="0" w:line="12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Without limiting its generality, Clause 21.1 covers any claim, expense, liability or loss, including a loss of prospective profit, incurred by a Lender in borrowing, liquidating or re-employing deposits from third parties acquired, contracted for or arranged to fund, effect or maintain all or any part of its Contribution and/or any overdue amount (or an aggregate amount which includes its Contribution or any overdue amount) other than claims, expenses, liabilities and losses which are shown to have been directly and mainly caused by the gross negligence or wilful misconduct of the officers or employees of the Creditor Party concerned.</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Miscellaneous indemnities</w:t>
      </w:r>
    </w:p>
    <w:p>
      <w:pPr>
        <w:spacing w:after="0" w:line="121" w:lineRule="exact"/>
        <w:rPr>
          <w:sz w:val="20"/>
          <w:szCs w:val="20"/>
          <w:color w:val="auto"/>
        </w:rPr>
      </w:pPr>
    </w:p>
    <w:p>
      <w:pPr>
        <w:jc w:val="both"/>
        <w:ind w:left="920" w:right="340"/>
        <w:spacing w:after="0" w:line="286" w:lineRule="auto"/>
        <w:rPr>
          <w:sz w:val="20"/>
          <w:szCs w:val="20"/>
          <w:color w:val="auto"/>
        </w:rPr>
      </w:pPr>
      <w:r>
        <w:rPr>
          <w:rFonts w:ascii="Arial" w:cs="Arial" w:eastAsia="Arial" w:hAnsi="Arial"/>
          <w:sz w:val="17"/>
          <w:szCs w:val="17"/>
          <w:color w:val="auto"/>
        </w:rPr>
        <w:t>The Borrowers shall fully indemnify each Creditor Party severally on their respective demands, without prejudice to any of their other rights under any of the Finance Documents, in respect of all claims, proceedings, liabilities, taxes, losses and expenses of every kind which may be made or brought against or sustained or incurred by a Creditor Party, in any country, as a result of or in connection with:</w:t>
      </w:r>
    </w:p>
    <w:p>
      <w:pPr>
        <w:spacing w:after="0" w:line="71" w:lineRule="exact"/>
        <w:rPr>
          <w:sz w:val="20"/>
          <w:szCs w:val="20"/>
          <w:color w:val="auto"/>
        </w:rPr>
      </w:pPr>
    </w:p>
    <w:p>
      <w:pPr>
        <w:ind w:left="920" w:right="380" w:hanging="912"/>
        <w:spacing w:after="0" w:line="308" w:lineRule="auto"/>
        <w:tabs>
          <w:tab w:leader="none" w:pos="92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any action taken, or omitted or neglected to be taken, under or in connection with any Finance Document by the Facility Agent, the Security Trustee or any other Creditor Party or by any receiver appointed under a Finance Document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0" w:right="259" w:bottom="1440" w:gutter="0" w:footer="0" w:header="0"/>
        </w:sectPr>
      </w:pPr>
    </w:p>
    <w:bookmarkStart w:id="249" w:name="page250"/>
    <w:bookmarkEnd w:id="249"/>
    <w:p>
      <w:pPr>
        <w:ind w:left="920" w:right="180" w:hanging="912"/>
        <w:spacing w:after="0" w:line="259" w:lineRule="auto"/>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claim, action, civil penalty or fine against, any settlement, and any other kind of loss or liability, and all reasonable costs and expenses (including reasonable counsel fees and disbursements) incurred by any Indemnified Party as a result of negligent conduct of any Borrower, any Security Party, any member of the Group(s), or any of their partners, directors, officers, employees, agents or advisors, that violates any Sanctions;</w:t>
      </w:r>
    </w:p>
    <w:p>
      <w:pPr>
        <w:spacing w:after="0" w:line="92" w:lineRule="exact"/>
        <w:rPr>
          <w:rFonts w:ascii="Arial" w:cs="Arial" w:eastAsia="Arial" w:hAnsi="Arial"/>
          <w:sz w:val="18"/>
          <w:szCs w:val="18"/>
          <w:color w:val="auto"/>
        </w:rPr>
      </w:pPr>
    </w:p>
    <w:p>
      <w:pPr>
        <w:ind w:left="920" w:hanging="912"/>
        <w:spacing w:after="0"/>
        <w:tabs>
          <w:tab w:leader="none" w:pos="9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investigating any event which the Creditor Party concerned reasonably believes constitutes an Event of Default or Potential Event of Default;</w:t>
      </w:r>
    </w:p>
    <w:p>
      <w:pPr>
        <w:spacing w:after="0" w:line="153" w:lineRule="exact"/>
        <w:rPr>
          <w:rFonts w:ascii="Arial" w:cs="Arial" w:eastAsia="Arial" w:hAnsi="Arial"/>
          <w:sz w:val="16"/>
          <w:szCs w:val="16"/>
          <w:color w:val="auto"/>
        </w:rPr>
      </w:pPr>
    </w:p>
    <w:p>
      <w:pPr>
        <w:ind w:left="920" w:right="700" w:hanging="912"/>
        <w:spacing w:after="0" w:line="277" w:lineRule="auto"/>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the Creditor Party concerned reasonably believes to be genuine, correct and appropriately authorised;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other Pertinent Matter,</w:t>
      </w:r>
    </w:p>
    <w:p>
      <w:pPr>
        <w:spacing w:after="0" w:line="117" w:lineRule="exact"/>
        <w:rPr>
          <w:rFonts w:ascii="Arial" w:cs="Arial" w:eastAsia="Arial" w:hAnsi="Arial"/>
          <w:sz w:val="18"/>
          <w:szCs w:val="18"/>
          <w:color w:val="auto"/>
        </w:rPr>
      </w:pPr>
    </w:p>
    <w:p>
      <w:pPr>
        <w:ind w:left="920" w:right="180"/>
        <w:spacing w:after="0" w:line="277" w:lineRule="auto"/>
        <w:rPr>
          <w:rFonts w:ascii="Arial" w:cs="Arial" w:eastAsia="Arial" w:hAnsi="Arial"/>
          <w:sz w:val="18"/>
          <w:szCs w:val="18"/>
          <w:color w:val="auto"/>
        </w:rPr>
      </w:pPr>
      <w:r>
        <w:rPr>
          <w:rFonts w:ascii="Arial" w:cs="Arial" w:eastAsia="Arial" w:hAnsi="Arial"/>
          <w:sz w:val="18"/>
          <w:szCs w:val="18"/>
          <w:color w:val="auto"/>
        </w:rPr>
        <w:t>other than claims, expenses, liabilities and losses which are shown to have been directly and mainly caused by the dishonesty, gross negligence or wilful misconduct of the officers or employees of the Creditor Party concerned.</w:t>
      </w:r>
    </w:p>
    <w:p>
      <w:pPr>
        <w:spacing w:after="0" w:line="62" w:lineRule="exact"/>
        <w:rPr>
          <w:rFonts w:ascii="Arial" w:cs="Arial" w:eastAsia="Arial" w:hAnsi="Arial"/>
          <w:sz w:val="18"/>
          <w:szCs w:val="18"/>
          <w:color w:val="auto"/>
        </w:rPr>
      </w:pPr>
    </w:p>
    <w:p>
      <w:pPr>
        <w:ind w:left="920"/>
        <w:spacing w:after="0" w:line="308" w:lineRule="auto"/>
        <w:rPr>
          <w:rFonts w:ascii="Arial" w:cs="Arial" w:eastAsia="Arial" w:hAnsi="Arial"/>
          <w:sz w:val="18"/>
          <w:szCs w:val="18"/>
          <w:color w:val="auto"/>
        </w:rPr>
      </w:pPr>
      <w:r>
        <w:rPr>
          <w:rFonts w:ascii="Arial" w:cs="Arial" w:eastAsia="Arial" w:hAnsi="Arial"/>
          <w:sz w:val="17"/>
          <w:szCs w:val="17"/>
          <w:color w:val="auto"/>
        </w:rPr>
        <w:t>Without prejudice to its generality, Clause 21.1 and this Clause 21.4 cover any claims, expenses, liabilities and losses which arise, or are asserted, under or in connection with any law relating to safety at sea, the ISM Code, the ISPS Code, any Environmental Law or Sanctions.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Environmental Indemnity</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Without prejudice to its generality, Clause 21.3 covers any claims, demands, proceedings, liabilities, taxes, losses or expenses of every kind which arise, or are asserted, under or in connection with any law relating to safety at sea, pollution or the protection of the environment, the ISM Code or the ISPS Code.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If any sum due from any Borrower or any Security Party to a Creditor Party under a Finance Document or under any order, award or judgment relating to a Finance Document (a “</w:t>
      </w:r>
      <w:r>
        <w:rPr>
          <w:rFonts w:ascii="Arial" w:cs="Arial" w:eastAsia="Arial" w:hAnsi="Arial"/>
          <w:sz w:val="17"/>
          <w:szCs w:val="17"/>
          <w:b w:val="1"/>
          <w:bCs w:val="1"/>
          <w:color w:val="auto"/>
        </w:rPr>
        <w:t>Sum</w:t>
      </w:r>
      <w:r>
        <w:rPr>
          <w:rFonts w:ascii="Arial" w:cs="Arial" w:eastAsia="Arial" w:hAnsi="Arial"/>
          <w:sz w:val="17"/>
          <w:szCs w:val="17"/>
          <w:color w:val="auto"/>
        </w:rPr>
        <w:t>”) has to be converted from the currency in which the Finance Document provided for the Sum to be paid (the “</w:t>
      </w:r>
      <w:r>
        <w:rPr>
          <w:rFonts w:ascii="Arial" w:cs="Arial" w:eastAsia="Arial" w:hAnsi="Arial"/>
          <w:sz w:val="17"/>
          <w:szCs w:val="17"/>
          <w:b w:val="1"/>
          <w:bCs w:val="1"/>
          <w:color w:val="auto"/>
        </w:rPr>
        <w:t>Contractual Currency</w:t>
      </w:r>
      <w:r>
        <w:rPr>
          <w:rFonts w:ascii="Arial" w:cs="Arial" w:eastAsia="Arial" w:hAnsi="Arial"/>
          <w:sz w:val="17"/>
          <w:szCs w:val="17"/>
          <w:color w:val="auto"/>
        </w:rPr>
        <w:t>”) into another currency (the “</w:t>
      </w:r>
      <w:r>
        <w:rPr>
          <w:rFonts w:ascii="Arial" w:cs="Arial" w:eastAsia="Arial" w:hAnsi="Arial"/>
          <w:sz w:val="17"/>
          <w:szCs w:val="17"/>
          <w:b w:val="1"/>
          <w:bCs w:val="1"/>
          <w:color w:val="auto"/>
        </w:rPr>
        <w:t>Payment Currency</w:t>
      </w:r>
      <w:r>
        <w:rPr>
          <w:rFonts w:ascii="Arial" w:cs="Arial" w:eastAsia="Arial" w:hAnsi="Arial"/>
          <w:sz w:val="17"/>
          <w:szCs w:val="17"/>
          <w:color w:val="auto"/>
        </w:rPr>
        <w:t>”) for the purpose of:</w:t>
      </w:r>
    </w:p>
    <w:p>
      <w:pPr>
        <w:spacing w:after="0" w:line="71" w:lineRule="exact"/>
        <w:rPr>
          <w:sz w:val="20"/>
          <w:szCs w:val="20"/>
          <w:color w:val="auto"/>
        </w:rPr>
      </w:pPr>
    </w:p>
    <w:p>
      <w:pPr>
        <w:ind w:left="920" w:right="80" w:hanging="912"/>
        <w:spacing w:after="0" w:line="277" w:lineRule="auto"/>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making, filing or lodging any claim or proof against any Borrower or any Security Party, whether in its liquidation, any arrangement involving it or otherwise;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obtaining an order, judgment or award from any court or other tribunal in relation to any litigation or arbitration proceedings;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enforcing any such order, judgment or award,</w:t>
      </w:r>
    </w:p>
    <w:p>
      <w:pPr>
        <w:spacing w:after="0" w:line="117" w:lineRule="exact"/>
        <w:rPr>
          <w:rFonts w:ascii="Arial" w:cs="Arial" w:eastAsia="Arial" w:hAnsi="Arial"/>
          <w:sz w:val="18"/>
          <w:szCs w:val="18"/>
          <w:color w:val="auto"/>
        </w:rPr>
      </w:pPr>
    </w:p>
    <w:p>
      <w:pPr>
        <w:ind w:left="920" w:right="100"/>
        <w:spacing w:after="0" w:line="279" w:lineRule="auto"/>
        <w:rPr>
          <w:rFonts w:ascii="Arial" w:cs="Arial" w:eastAsia="Arial" w:hAnsi="Arial"/>
          <w:sz w:val="18"/>
          <w:szCs w:val="18"/>
          <w:color w:val="auto"/>
        </w:rPr>
      </w:pPr>
      <w:r>
        <w:rPr>
          <w:rFonts w:ascii="Arial" w:cs="Arial" w:eastAsia="Arial" w:hAnsi="Arial"/>
          <w:sz w:val="17"/>
          <w:szCs w:val="17"/>
          <w:color w:val="auto"/>
        </w:rPr>
        <w:t>the Borrowers shall as an independent obligation, within 3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 of exchange actually used to convert the Sum from the Payment Currency into the Contractual Currency and (B) the available rate of exchange.</w:t>
      </w:r>
    </w:p>
    <w:p>
      <w:pPr>
        <w:spacing w:after="0" w:line="59" w:lineRule="exact"/>
        <w:rPr>
          <w:rFonts w:ascii="Arial" w:cs="Arial" w:eastAsia="Arial" w:hAnsi="Arial"/>
          <w:sz w:val="18"/>
          <w:szCs w:val="18"/>
          <w:color w:val="auto"/>
        </w:rPr>
      </w:pPr>
    </w:p>
    <w:p>
      <w:pPr>
        <w:ind w:left="920" w:right="340"/>
        <w:spacing w:after="0" w:line="347" w:lineRule="auto"/>
        <w:rPr>
          <w:rFonts w:ascii="Arial" w:cs="Arial" w:eastAsia="Arial" w:hAnsi="Arial"/>
          <w:sz w:val="18"/>
          <w:szCs w:val="18"/>
          <w:color w:val="auto"/>
        </w:rPr>
      </w:pPr>
      <w:r>
        <w:rPr>
          <w:rFonts w:ascii="Arial" w:cs="Arial" w:eastAsia="Arial" w:hAnsi="Arial"/>
          <w:sz w:val="16"/>
          <w:szCs w:val="16"/>
          <w:color w:val="auto"/>
        </w:rPr>
        <w:t>In this Clause 21.6, the “</w:t>
      </w:r>
      <w:r>
        <w:rPr>
          <w:rFonts w:ascii="Arial" w:cs="Arial" w:eastAsia="Arial" w:hAnsi="Arial"/>
          <w:sz w:val="16"/>
          <w:szCs w:val="16"/>
          <w:b w:val="1"/>
          <w:bCs w:val="1"/>
          <w:color w:val="auto"/>
        </w:rPr>
        <w:t>available rate of exchange</w:t>
      </w:r>
      <w:r>
        <w:rPr>
          <w:rFonts w:ascii="Arial" w:cs="Arial" w:eastAsia="Arial" w:hAnsi="Arial"/>
          <w:sz w:val="16"/>
          <w:szCs w:val="16"/>
          <w:color w:val="auto"/>
        </w:rPr>
        <w:t>” means the rate at which the Creditor Party concerned is able at the opening of business (London time) on the Business Day after it receives the Sum to purchase the Contractual Currency with the Payment Currency.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250" w:name="page251"/>
    <w:bookmarkEnd w:id="250"/>
    <w:p>
      <w:pPr>
        <w:ind w:left="92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waive any right it may have in any jurisdiction to pay any amount under the Finance Documents in a currency other than that in which it is expressed to be payable.</w:t>
      </w:r>
    </w:p>
    <w:p>
      <w:pPr>
        <w:spacing w:after="0" w:line="62" w:lineRule="exact"/>
        <w:rPr>
          <w:sz w:val="20"/>
          <w:szCs w:val="20"/>
          <w:color w:val="auto"/>
        </w:rPr>
      </w:pPr>
    </w:p>
    <w:p>
      <w:pPr>
        <w:ind w:left="920" w:right="440"/>
        <w:spacing w:after="0" w:line="342" w:lineRule="auto"/>
        <w:rPr>
          <w:sz w:val="20"/>
          <w:szCs w:val="20"/>
          <w:color w:val="auto"/>
        </w:rPr>
      </w:pPr>
      <w:r>
        <w:rPr>
          <w:rFonts w:ascii="Arial" w:cs="Arial" w:eastAsia="Arial" w:hAnsi="Arial"/>
          <w:sz w:val="16"/>
          <w:szCs w:val="16"/>
          <w:color w:val="auto"/>
        </w:rPr>
        <w:t>If any Creditor Party receives any Sum in a currency other than the Contractual Currency, the Borrowers shall indemnify the Creditor Party concerned against any cost, loss or liability arising directly or indirectly from any conversion of such Sum to the Contractual Currency.</w:t>
      </w:r>
    </w:p>
    <w:p>
      <w:pPr>
        <w:spacing w:after="0" w:line="16"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This Clause 21.6 creates a separate liability of each Borrower which is distinct from its other liabilities under the Finance Documents and which shall not be merged in any judgment or order relating to those other liabilities.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For the avoidance of doubt, Clause 21.4 does not apply in respect of sums due from a Borrower to the Swap Bank under or in connection with any Master Agreement as to which sums the provisions of section 8 (Contractual Currency) of that Master Agreement shall apply.</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A notice which is signed by 2 officers of a Creditor Party, which states that a specified amount, or aggregate amount, is 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the purposes of this Clause 21, a sum payable by a Borrower to the Facility Agent or the Security Trustee for distribution to a Lender shall be treated as a sum due to that Lender.</w:t>
      </w:r>
    </w:p>
    <w:p>
      <w:pPr>
        <w:spacing w:after="0" w:line="315" w:lineRule="exact"/>
        <w:rPr>
          <w:sz w:val="20"/>
          <w:szCs w:val="20"/>
          <w:color w:val="auto"/>
        </w:rPr>
      </w:pPr>
    </w:p>
    <w:p>
      <w:pPr>
        <w:ind w:left="920" w:hanging="912"/>
        <w:spacing w:after="0"/>
        <w:tabs>
          <w:tab w:leader="none" w:pos="9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NO SET-OFF OR TAX DEDUCTION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22.1</w:t>
      </w:r>
      <w:r>
        <w:rPr>
          <w:rFonts w:ascii="Arial" w:cs="Arial" w:eastAsia="Arial" w:hAnsi="Arial"/>
          <w:sz w:val="15"/>
          <w:szCs w:val="15"/>
          <w:b w:val="1"/>
          <w:bCs w:val="1"/>
          <w:color w:val="auto"/>
        </w:rPr>
        <w:t>No deductions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All amounts due from the Borrowers under a Finance Document shall be paid:</w:t>
      </w:r>
    </w:p>
    <w:p>
      <w:pPr>
        <w:spacing w:after="0" w:line="131" w:lineRule="exact"/>
        <w:rPr>
          <w:sz w:val="20"/>
          <w:szCs w:val="20"/>
          <w:color w:val="auto"/>
        </w:rPr>
      </w:pPr>
    </w:p>
    <w:p>
      <w:pPr>
        <w:ind w:left="920" w:hanging="912"/>
        <w:spacing w:after="0"/>
        <w:tabs>
          <w:tab w:leader="none" w:pos="9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without any form of set-off, counter-claim or condition;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free and clear of any tax deduction except a tax deduction which a Borrower is required by law, regulation or regulatory requirement to make.</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If any Borrower is required by law, regulation or regulatory requirement to make a tax deduction from any payment due under a Finance Document:</w:t>
      </w:r>
    </w:p>
    <w:p>
      <w:pPr>
        <w:spacing w:after="0" w:line="76" w:lineRule="exact"/>
        <w:rPr>
          <w:sz w:val="20"/>
          <w:szCs w:val="20"/>
          <w:color w:val="auto"/>
        </w:rPr>
      </w:pPr>
    </w:p>
    <w:p>
      <w:pPr>
        <w:ind w:left="920" w:hanging="912"/>
        <w:spacing w:after="0"/>
        <w:tabs>
          <w:tab w:leader="none" w:pos="9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that Borrowers shall notify the Facility Agent as soon as it becomes aware of the requirement;</w:t>
      </w:r>
    </w:p>
    <w:p>
      <w:pPr>
        <w:spacing w:after="0" w:line="130" w:lineRule="exact"/>
        <w:rPr>
          <w:rFonts w:ascii="Arial" w:cs="Arial" w:eastAsia="Arial" w:hAnsi="Arial"/>
          <w:sz w:val="18"/>
          <w:szCs w:val="18"/>
          <w:color w:val="auto"/>
        </w:rPr>
      </w:pPr>
    </w:p>
    <w:p>
      <w:pPr>
        <w:ind w:left="920" w:right="80" w:hanging="912"/>
        <w:spacing w:after="0" w:line="286" w:lineRule="auto"/>
        <w:tabs>
          <w:tab w:leader="none" w:pos="9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amount due in respect of the payment shall be increased by the amount necessary to ensure that, after the making of such tax deduction, each Creditor Party receives and retains (free from any liability relating to the tax deduction) a net amount which, after the tax deduction, is equal to the full amount which it would have received had no such tax deduction been required to be made;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251" w:name="page252"/>
    <w:bookmarkEnd w:id="251"/>
    <w:p>
      <w:pPr>
        <w:ind w:left="920" w:right="140" w:hanging="912"/>
        <w:spacing w:after="0" w:line="277" w:lineRule="auto"/>
        <w:tabs>
          <w:tab w:leader="none" w:pos="9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Borrowers shall pay the full amount of the tax required to be deducted to the appropriate taxation authority promptly in accordance with the relevant law, regulation or regulatory requirement, and in any event before any fine or penalty arises,</w:t>
      </w:r>
    </w:p>
    <w:p>
      <w:pPr>
        <w:spacing w:after="0" w:line="58" w:lineRule="exact"/>
        <w:rPr>
          <w:rFonts w:ascii="Arial" w:cs="Arial" w:eastAsia="Arial" w:hAnsi="Arial"/>
          <w:sz w:val="18"/>
          <w:szCs w:val="18"/>
          <w:color w:val="auto"/>
        </w:rPr>
      </w:pPr>
    </w:p>
    <w:p>
      <w:pPr>
        <w:ind w:left="920"/>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if a payment from a Borrower which is not an Affected Borrower is required to be increased under this Clause, such increase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constitute an obligation of any Affected Borrower and </w:t>
      </w:r>
      <w:r>
        <w:rPr>
          <w:rFonts w:ascii="Arial" w:cs="Arial" w:eastAsia="Arial" w:hAnsi="Arial"/>
          <w:sz w:val="16"/>
          <w:szCs w:val="16"/>
          <w:b w:val="1"/>
          <w:bCs w:val="1"/>
          <w:color w:val="auto"/>
        </w:rPr>
        <w:t>Provided further that</w:t>
      </w:r>
      <w:r>
        <w:rPr>
          <w:rFonts w:ascii="Arial" w:cs="Arial" w:eastAsia="Arial" w:hAnsi="Arial"/>
          <w:sz w:val="16"/>
          <w:szCs w:val="16"/>
          <w:color w:val="auto"/>
        </w:rPr>
        <w:t xml:space="preserve"> if a payment from an Affected Borrower is required to be increased under this Clause 22.2, such increase shall not constitute an obligation of any Borrower which is not an Affected Borrower.</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Indemnity and evidence of payment of taxes</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Borrowers shall fully indemnify each Creditor Party on the Facility Agent’s demand in respect of all claims, expenses, liabilities and losses incurred by any Creditor Party by reason of:</w:t>
      </w:r>
    </w:p>
    <w:p>
      <w:pPr>
        <w:spacing w:after="0" w:line="76" w:lineRule="exact"/>
        <w:rPr>
          <w:sz w:val="20"/>
          <w:szCs w:val="20"/>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failure of a Borrower to make any tax deduction;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increased payment not being made on the due date for such payment in accordance with Clause 22.2; or</w:t>
      </w:r>
    </w:p>
    <w:p>
      <w:pPr>
        <w:spacing w:after="0" w:line="130" w:lineRule="exact"/>
        <w:rPr>
          <w:rFonts w:ascii="Arial" w:cs="Arial" w:eastAsia="Arial" w:hAnsi="Arial"/>
          <w:sz w:val="18"/>
          <w:szCs w:val="18"/>
          <w:color w:val="auto"/>
        </w:rPr>
      </w:pPr>
    </w:p>
    <w:p>
      <w:pPr>
        <w:ind w:left="920" w:right="220" w:hanging="912"/>
        <w:spacing w:after="0" w:line="297" w:lineRule="auto"/>
        <w:tabs>
          <w:tab w:leader="none" w:pos="9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without prejudice to the provisions of Clause 22.2, any payment on account of tax required to be made by a Creditor Party solely as a result of that Creditor Party’s entry into any Finance Document (not being a tax imposed on the net income of that Creditor Party by the jurisdiction in which it is incorporated, or the jurisdiction in which it is located or on the capital of that Creditor Party employed in such jurisdiction or jurisdictions) on any sum received or receivable under the Finance Documents (including, without limitation, any sum received or receivable under this Clause 22.3) or any liability in respect of any such payment is asserted, imposed, levied or assessed against that Creditor Party.</w:t>
      </w:r>
    </w:p>
    <w:p>
      <w:pPr>
        <w:spacing w:after="0" w:line="50" w:lineRule="exact"/>
        <w:rPr>
          <w:rFonts w:ascii="Arial" w:cs="Arial" w:eastAsia="Arial" w:hAnsi="Arial"/>
          <w:sz w:val="16"/>
          <w:szCs w:val="16"/>
          <w:color w:val="auto"/>
        </w:rPr>
      </w:pPr>
    </w:p>
    <w:p>
      <w:pPr>
        <w:ind w:left="920" w:right="120"/>
        <w:spacing w:after="0" w:line="277" w:lineRule="auto"/>
        <w:rPr>
          <w:rFonts w:ascii="Arial" w:cs="Arial" w:eastAsia="Arial" w:hAnsi="Arial"/>
          <w:sz w:val="16"/>
          <w:szCs w:val="16"/>
          <w:color w:val="auto"/>
        </w:rPr>
      </w:pPr>
      <w:r>
        <w:rPr>
          <w:rFonts w:ascii="Arial" w:cs="Arial" w:eastAsia="Arial" w:hAnsi="Arial"/>
          <w:sz w:val="18"/>
          <w:szCs w:val="18"/>
          <w:color w:val="auto"/>
        </w:rPr>
        <w:t>Within 30 days after making any tax deduction, the Borrowers shall deliver to the Facility Agent any receipts, certificates or other documentary evidence satisfactory to the Facility Agent that the tax had been paid to the appropriate taxation authority.</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Exclusion of tax on overall net income</w:t>
      </w:r>
    </w:p>
    <w:p>
      <w:pPr>
        <w:spacing w:after="0" w:line="117" w:lineRule="exact"/>
        <w:rPr>
          <w:sz w:val="20"/>
          <w:szCs w:val="20"/>
          <w:color w:val="auto"/>
        </w:rPr>
      </w:pPr>
    </w:p>
    <w:p>
      <w:pPr>
        <w:ind w:left="920" w:right="180"/>
        <w:spacing w:after="0" w:line="282" w:lineRule="auto"/>
        <w:rPr>
          <w:sz w:val="20"/>
          <w:szCs w:val="20"/>
          <w:color w:val="auto"/>
        </w:rPr>
      </w:pP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from any payment due under a Finance Document for or on account of any present or future tax except tax on a Creditor Party’s overall net income.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Application to Master Agreements</w:t>
      </w:r>
    </w:p>
    <w:p>
      <w:pPr>
        <w:spacing w:after="0" w:line="121" w:lineRule="exact"/>
        <w:rPr>
          <w:sz w:val="20"/>
          <w:szCs w:val="20"/>
          <w:color w:val="auto"/>
        </w:rPr>
      </w:pPr>
    </w:p>
    <w:p>
      <w:pPr>
        <w:ind w:left="920" w:right="60"/>
        <w:spacing w:after="0" w:line="342" w:lineRule="auto"/>
        <w:rPr>
          <w:sz w:val="20"/>
          <w:szCs w:val="20"/>
          <w:color w:val="auto"/>
        </w:rPr>
      </w:pPr>
      <w:r>
        <w:rPr>
          <w:rFonts w:ascii="Arial" w:cs="Arial" w:eastAsia="Arial" w:hAnsi="Arial"/>
          <w:sz w:val="16"/>
          <w:szCs w:val="16"/>
          <w:color w:val="auto"/>
        </w:rPr>
        <w:t>For the avoidance of doubt, Clause 22 does not apply in respect of sums due from any Borrower to the Swap Bank under or in connection with a Master Agreement as to which sums the provisions of section 2(d) (Deduction or Withholding for Tax) of a Master Agreement shall apply.</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FATCA</w:t>
      </w:r>
    </w:p>
    <w:p>
      <w:pPr>
        <w:spacing w:after="0" w:line="135" w:lineRule="exact"/>
        <w:rPr>
          <w:sz w:val="20"/>
          <w:szCs w:val="20"/>
          <w:color w:val="auto"/>
        </w:rPr>
      </w:pPr>
    </w:p>
    <w:p>
      <w:pPr>
        <w:ind w:left="920" w:hanging="912"/>
        <w:spacing w:after="0"/>
        <w:tabs>
          <w:tab w:leader="none" w:pos="9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FATCA Information:</w:t>
      </w:r>
    </w:p>
    <w:p>
      <w:pPr>
        <w:spacing w:after="0" w:line="130" w:lineRule="exact"/>
        <w:rPr>
          <w:rFonts w:ascii="Arial" w:cs="Arial" w:eastAsia="Arial" w:hAnsi="Arial"/>
          <w:sz w:val="18"/>
          <w:szCs w:val="18"/>
          <w:color w:val="auto"/>
        </w:rPr>
      </w:pPr>
    </w:p>
    <w:p>
      <w:pPr>
        <w:ind w:left="1700" w:right="60" w:hanging="787"/>
        <w:spacing w:after="0" w:line="277" w:lineRule="auto"/>
        <w:tabs>
          <w:tab w:leader="none" w:pos="17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Subject to paragraph (iii) below, each party to a Finance Document shall, within 10 Business Days of a reasonable request by another party to the Finance Documents:</w:t>
      </w:r>
    </w:p>
    <w:p>
      <w:pPr>
        <w:spacing w:after="0" w:line="75" w:lineRule="exact"/>
        <w:rPr>
          <w:rFonts w:ascii="Arial" w:cs="Arial" w:eastAsia="Arial" w:hAnsi="Arial"/>
          <w:sz w:val="18"/>
          <w:szCs w:val="18"/>
          <w:color w:val="auto"/>
        </w:rPr>
      </w:pPr>
    </w:p>
    <w:p>
      <w:pPr>
        <w:ind w:left="2380" w:hanging="670"/>
        <w:spacing w:after="0"/>
        <w:tabs>
          <w:tab w:leader="none" w:pos="23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confirm to that other party whether it is a FATCA Exempt Party or is not a FATCA Exempt Party;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252" w:name="page253"/>
    <w:bookmarkEnd w:id="252"/>
    <w:p>
      <w:pPr>
        <w:ind w:left="2372" w:right="100" w:hanging="670"/>
        <w:spacing w:after="0" w:line="259" w:lineRule="auto"/>
        <w:tabs>
          <w:tab w:leader="none" w:pos="2372" w:val="left"/>
        </w:tabs>
        <w:numPr>
          <w:ilvl w:val="1"/>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supply to the requesting party such forms, documentation and other information relating to its status under FATCA (including its applicable “passthru percentage” or other information required under the Treasury regulations or other official guidance including intergovernmental agreements) as the requesting party reasonably requests for the purposes of such requesting party’s compliance with FATCA.</w:t>
      </w:r>
    </w:p>
    <w:p>
      <w:pPr>
        <w:spacing w:after="0" w:line="92" w:lineRule="exact"/>
        <w:rPr>
          <w:rFonts w:ascii="Arial" w:cs="Arial" w:eastAsia="Arial" w:hAnsi="Arial"/>
          <w:sz w:val="18"/>
          <w:szCs w:val="18"/>
          <w:color w:val="auto"/>
        </w:rPr>
      </w:pPr>
    </w:p>
    <w:p>
      <w:pPr>
        <w:ind w:left="1692" w:hanging="787"/>
        <w:spacing w:after="0" w:line="264" w:lineRule="auto"/>
        <w:tabs>
          <w:tab w:leader="none" w:pos="169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a party to any Finance Document confirms to another party pursuant to Clause 22.5(a)(i) above that it is a FATCA Exempt Party and it subsequently becomes aware that it is not, or has ceased to be a FATCA Exempt Party, that party shall notify that other party reasonably promptly.</w:t>
      </w:r>
    </w:p>
    <w:p>
      <w:pPr>
        <w:spacing w:after="0" w:line="86" w:lineRule="exact"/>
        <w:rPr>
          <w:rFonts w:ascii="Arial" w:cs="Arial" w:eastAsia="Arial" w:hAnsi="Arial"/>
          <w:sz w:val="18"/>
          <w:szCs w:val="18"/>
          <w:color w:val="auto"/>
        </w:rPr>
      </w:pPr>
    </w:p>
    <w:p>
      <w:pPr>
        <w:ind w:left="1692" w:right="100" w:hanging="787"/>
        <w:spacing w:after="0" w:line="276" w:lineRule="auto"/>
        <w:tabs>
          <w:tab w:leader="none" w:pos="1692" w:val="left"/>
        </w:tabs>
        <w:numPr>
          <w:ilvl w:val="0"/>
          <w:numId w:val="384"/>
        </w:numPr>
        <w:rPr>
          <w:rFonts w:ascii="Arial" w:cs="Arial" w:eastAsia="Arial" w:hAnsi="Arial"/>
          <w:sz w:val="17"/>
          <w:szCs w:val="17"/>
          <w:color w:val="auto"/>
        </w:rPr>
      </w:pPr>
      <w:r>
        <w:rPr>
          <w:rFonts w:ascii="Arial" w:cs="Arial" w:eastAsia="Arial" w:hAnsi="Arial"/>
          <w:sz w:val="17"/>
          <w:szCs w:val="17"/>
          <w:color w:val="auto"/>
        </w:rPr>
        <w:t>Sub-clause (i) above shall not oblige any Creditor Party to do anything which would or might in its reasonable opinion constitute a breach of any law or regulation, any policy of that party, any fiduciary duty or any duty of confidentiality, or to disclose any confidential information (including, without limitation, its tax returns and calculations); provided, however, that information required (or equivalent to the information so required) by United States Internal Revenue Service Forms W-8 or W-9 (or any successor forms) shall not be treated as confidential information of such party for purposes of this Sub-clause (iii).</w:t>
      </w:r>
    </w:p>
    <w:p>
      <w:pPr>
        <w:spacing w:after="0" w:line="77" w:lineRule="exact"/>
        <w:rPr>
          <w:rFonts w:ascii="Arial" w:cs="Arial" w:eastAsia="Arial" w:hAnsi="Arial"/>
          <w:sz w:val="17"/>
          <w:szCs w:val="17"/>
          <w:color w:val="auto"/>
        </w:rPr>
      </w:pPr>
    </w:p>
    <w:p>
      <w:pPr>
        <w:ind w:left="1692" w:right="380" w:hanging="787"/>
        <w:spacing w:after="0" w:line="342" w:lineRule="auto"/>
        <w:tabs>
          <w:tab w:leader="none" w:pos="169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If a party to any Finance Document fails to confirm its status or to supply forms, documentation or other information requested in accordance with sub-clause (i) above (including, for the avoidance of doubt, where sub-clause (iii) above applies), then:</w:t>
      </w:r>
    </w:p>
    <w:p>
      <w:pPr>
        <w:spacing w:after="0" w:line="29" w:lineRule="exact"/>
        <w:rPr>
          <w:rFonts w:ascii="Arial" w:cs="Arial" w:eastAsia="Arial" w:hAnsi="Arial"/>
          <w:sz w:val="16"/>
          <w:szCs w:val="16"/>
          <w:color w:val="auto"/>
        </w:rPr>
      </w:pPr>
    </w:p>
    <w:p>
      <w:pPr>
        <w:ind w:left="2372" w:right="220" w:hanging="670"/>
        <w:spacing w:after="0" w:line="277" w:lineRule="auto"/>
        <w:tabs>
          <w:tab w:leader="none" w:pos="237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if that party failed to confirm whether it is (and/or remains) a FATCA Exempt Party then such party shall be treated for the purposes of the Finance Documents as if it is not a FATCA Exempt Party; and</w:t>
      </w:r>
    </w:p>
    <w:p>
      <w:pPr>
        <w:spacing w:after="0" w:line="75" w:lineRule="exact"/>
        <w:rPr>
          <w:rFonts w:ascii="Arial" w:cs="Arial" w:eastAsia="Arial" w:hAnsi="Arial"/>
          <w:sz w:val="18"/>
          <w:szCs w:val="18"/>
          <w:color w:val="auto"/>
        </w:rPr>
      </w:pPr>
    </w:p>
    <w:p>
      <w:pPr>
        <w:ind w:left="2372" w:right="520" w:hanging="670"/>
        <w:spacing w:after="0" w:line="342" w:lineRule="auto"/>
        <w:tabs>
          <w:tab w:leader="none" w:pos="237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if that party failed to confirm its applicable passthru percentage then such party shall be treated for the purposes of the Finance Documents (and payments made thereunder) as if its applicable passthru percentage is 100 per cent.,</w:t>
      </w:r>
    </w:p>
    <w:p>
      <w:pPr>
        <w:spacing w:after="0" w:line="16" w:lineRule="exact"/>
        <w:rPr>
          <w:sz w:val="20"/>
          <w:szCs w:val="20"/>
          <w:color w:val="auto"/>
        </w:rPr>
      </w:pPr>
    </w:p>
    <w:p>
      <w:pPr>
        <w:ind w:left="912"/>
        <w:spacing w:after="0"/>
        <w:rPr>
          <w:sz w:val="20"/>
          <w:szCs w:val="20"/>
          <w:color w:val="auto"/>
        </w:rPr>
      </w:pPr>
      <w:r>
        <w:rPr>
          <w:rFonts w:ascii="Arial" w:cs="Arial" w:eastAsia="Arial" w:hAnsi="Arial"/>
          <w:sz w:val="17"/>
          <w:szCs w:val="17"/>
          <w:color w:val="auto"/>
        </w:rPr>
        <w:t>until (in each case) such time as the party in question provides the requested confirmation, forms, documentation or other information.</w:t>
      </w:r>
    </w:p>
    <w:p>
      <w:pPr>
        <w:spacing w:after="0" w:line="142" w:lineRule="exact"/>
        <w:rPr>
          <w:sz w:val="20"/>
          <w:szCs w:val="20"/>
          <w:color w:val="auto"/>
        </w:rPr>
      </w:pPr>
    </w:p>
    <w:p>
      <w:pPr>
        <w:ind w:left="912" w:hanging="912"/>
        <w:spacing w:after="0"/>
        <w:tabs>
          <w:tab w:leader="none" w:pos="91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FATCA Gross-Up:</w:t>
      </w:r>
    </w:p>
    <w:p>
      <w:pPr>
        <w:spacing w:after="0" w:line="130" w:lineRule="exact"/>
        <w:rPr>
          <w:rFonts w:ascii="Arial" w:cs="Arial" w:eastAsia="Arial" w:hAnsi="Arial"/>
          <w:sz w:val="18"/>
          <w:szCs w:val="18"/>
          <w:color w:val="auto"/>
        </w:rPr>
      </w:pPr>
    </w:p>
    <w:p>
      <w:pPr>
        <w:ind w:left="1692" w:right="180" w:hanging="787"/>
        <w:spacing w:after="0" w:line="264" w:lineRule="auto"/>
        <w:tabs>
          <w:tab w:leader="none" w:pos="169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If a Borrower or any Security Party making a payment under a Finance Document is required to make a FATCA Deduction, that Borrower or Security Party shall make that FATCA Deduction and shall make a payment to the United States government within the time allowed and in the amount required by FATCA.</w:t>
      </w:r>
    </w:p>
    <w:p>
      <w:pPr>
        <w:spacing w:after="0" w:line="86" w:lineRule="exact"/>
        <w:rPr>
          <w:rFonts w:ascii="Arial" w:cs="Arial" w:eastAsia="Arial" w:hAnsi="Arial"/>
          <w:sz w:val="18"/>
          <w:szCs w:val="18"/>
          <w:color w:val="auto"/>
        </w:rPr>
      </w:pPr>
    </w:p>
    <w:p>
      <w:pPr>
        <w:ind w:left="1692" w:right="20" w:hanging="787"/>
        <w:spacing w:after="0" w:line="264" w:lineRule="auto"/>
        <w:tabs>
          <w:tab w:leader="none" w:pos="169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If a FATCA Deduction is required to be made by a Borrower or any Security Party, the amount of the payment due from that Borrower or any Security Party shall be increased to an amount which (after making any FATCA Deductions) leaves an amount equal to the payment which would have been due if no FATCA Deduction had been required.</w:t>
      </w:r>
    </w:p>
    <w:p>
      <w:pPr>
        <w:spacing w:after="0" w:line="86" w:lineRule="exact"/>
        <w:rPr>
          <w:rFonts w:ascii="Arial" w:cs="Arial" w:eastAsia="Arial" w:hAnsi="Arial"/>
          <w:sz w:val="18"/>
          <w:szCs w:val="18"/>
          <w:color w:val="auto"/>
        </w:rPr>
      </w:pPr>
    </w:p>
    <w:p>
      <w:pPr>
        <w:ind w:left="1692" w:right="400" w:hanging="787"/>
        <w:spacing w:after="0" w:line="259" w:lineRule="auto"/>
        <w:tabs>
          <w:tab w:leader="none" w:pos="169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Each of the Borrowers and the Security Parties shall promptly upon becoming aware that a FATCA Deduction is required (or that there is any change in the rate or basis of a FATCA Deduction) notify the Facility Agent accordingly. A Lender shall notify the Facility Agent on becoming aware that a FATCA Deduction (or that a change in the rate or basis of a FATCA Deduction) may be required on a payment to such Lender.</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12"/>
          </w:cols>
          <w:pgMar w:left="248" w:top="274" w:right="239" w:bottom="1440" w:gutter="0" w:footer="0" w:header="0"/>
        </w:sectPr>
      </w:pPr>
    </w:p>
    <w:bookmarkStart w:id="253" w:name="page254"/>
    <w:bookmarkEnd w:id="253"/>
    <w:p>
      <w:pPr>
        <w:ind w:left="1692" w:right="100" w:hanging="787"/>
        <w:spacing w:after="0" w:line="259" w:lineRule="auto"/>
        <w:tabs>
          <w:tab w:leader="none" w:pos="1692" w:val="left"/>
        </w:tabs>
        <w:numPr>
          <w:ilvl w:val="1"/>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of making either a FATCA Deduction or any payment required in connection with that FATCA Deduction, the Borrowers or any Security Party, as applicable, shall deliver to the Facility Agent for the party entitled to the payment evidence reasonably satisfactory to that party that the FATCA Deduction has been made or (as applicable) any appropriate payment paid to the IRS.</w:t>
      </w:r>
    </w:p>
    <w:p>
      <w:pPr>
        <w:spacing w:after="0" w:line="92" w:lineRule="exact"/>
        <w:rPr>
          <w:rFonts w:ascii="Arial" w:cs="Arial" w:eastAsia="Arial" w:hAnsi="Arial"/>
          <w:sz w:val="18"/>
          <w:szCs w:val="18"/>
          <w:color w:val="auto"/>
        </w:rPr>
      </w:pPr>
    </w:p>
    <w:p>
      <w:pPr>
        <w:ind w:left="1692" w:right="60" w:hanging="787"/>
        <w:spacing w:after="0" w:line="302" w:lineRule="auto"/>
        <w:tabs>
          <w:tab w:leader="none" w:pos="1692" w:val="left"/>
        </w:tabs>
        <w:numPr>
          <w:ilvl w:val="1"/>
          <w:numId w:val="386"/>
        </w:numPr>
        <w:rPr>
          <w:rFonts w:ascii="Arial" w:cs="Arial" w:eastAsia="Arial" w:hAnsi="Arial"/>
          <w:sz w:val="16"/>
          <w:szCs w:val="16"/>
          <w:color w:val="auto"/>
        </w:rPr>
      </w:pPr>
      <w:r>
        <w:rPr>
          <w:rFonts w:ascii="Arial" w:cs="Arial" w:eastAsia="Arial" w:hAnsi="Arial"/>
          <w:sz w:val="16"/>
          <w:szCs w:val="16"/>
          <w:color w:val="auto"/>
        </w:rPr>
        <w:t>Each Creditor Party may make any FATCA Deduction it is required to make under FATCA, and any payment required in connection with that FATCA Deduction, and none of the Creditor Parties shall be required to increase any payment in respect of which it makes such a FATCA Deduction. A Creditor Party which becomes aware that it must make a FATCA Deduction in respect of a payment to another party (or that there is any change in the rate or basis of such FATCA Deduction) shall notify that party and the Facility Agent.</w:t>
      </w:r>
    </w:p>
    <w:p>
      <w:pPr>
        <w:spacing w:after="0" w:line="59" w:lineRule="exact"/>
        <w:rPr>
          <w:rFonts w:ascii="Arial" w:cs="Arial" w:eastAsia="Arial" w:hAnsi="Arial"/>
          <w:sz w:val="16"/>
          <w:szCs w:val="16"/>
          <w:color w:val="auto"/>
        </w:rPr>
      </w:pPr>
    </w:p>
    <w:p>
      <w:pPr>
        <w:ind w:left="1692" w:hanging="787"/>
        <w:spacing w:after="0" w:line="302" w:lineRule="auto"/>
        <w:tabs>
          <w:tab w:leader="none" w:pos="1692" w:val="left"/>
        </w:tabs>
        <w:numPr>
          <w:ilvl w:val="1"/>
          <w:numId w:val="386"/>
        </w:numPr>
        <w:rPr>
          <w:rFonts w:ascii="Arial" w:cs="Arial" w:eastAsia="Arial" w:hAnsi="Arial"/>
          <w:sz w:val="16"/>
          <w:szCs w:val="16"/>
          <w:color w:val="auto"/>
        </w:rPr>
      </w:pPr>
      <w:r>
        <w:rPr>
          <w:rFonts w:ascii="Arial" w:cs="Arial" w:eastAsia="Arial" w:hAnsi="Arial"/>
          <w:sz w:val="16"/>
          <w:szCs w:val="16"/>
          <w:color w:val="auto"/>
        </w:rPr>
        <w:t>If the Facility Agent is required to make a FATCA Deduction in respect of a payment to a Creditor Party which relates to a payment by a Borrower or any Security Party, the amount of the payment due from that Borrower or Security Party, as the case may be, shall be increased to an amount which (after the Facility Agent has made such FATCA Deduction) leaves the Facility Agent with an amount equal to the payment which would have been made by the Facility Agent if no FATCA Deduction had been required.</w:t>
      </w:r>
    </w:p>
    <w:p>
      <w:pPr>
        <w:spacing w:after="0" w:line="59" w:lineRule="exact"/>
        <w:rPr>
          <w:rFonts w:ascii="Arial" w:cs="Arial" w:eastAsia="Arial" w:hAnsi="Arial"/>
          <w:sz w:val="16"/>
          <w:szCs w:val="16"/>
          <w:color w:val="auto"/>
        </w:rPr>
      </w:pPr>
    </w:p>
    <w:p>
      <w:pPr>
        <w:ind w:left="1692" w:hanging="787"/>
        <w:spacing w:after="0" w:line="264" w:lineRule="auto"/>
        <w:tabs>
          <w:tab w:leader="none" w:pos="169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Facility Agent shall promptly upon becoming aware that it must make a FATCA Deduction in respect of a payment to a Lender which relates to a payment by any Borrower or any Security Party (or that there is any change in the rate or the basis of such a FATCA Deduction) notify the Borrowers and the relevant Lender.</w:t>
      </w:r>
    </w:p>
    <w:p>
      <w:pPr>
        <w:spacing w:after="0" w:line="86" w:lineRule="exact"/>
        <w:rPr>
          <w:rFonts w:ascii="Arial" w:cs="Arial" w:eastAsia="Arial" w:hAnsi="Arial"/>
          <w:sz w:val="18"/>
          <w:szCs w:val="18"/>
          <w:color w:val="auto"/>
        </w:rPr>
      </w:pPr>
    </w:p>
    <w:p>
      <w:pPr>
        <w:ind w:left="912" w:hanging="912"/>
        <w:spacing w:after="0"/>
        <w:tabs>
          <w:tab w:leader="none" w:pos="9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FATCA Indemnity:</w:t>
      </w:r>
    </w:p>
    <w:p>
      <w:pPr>
        <w:spacing w:after="0" w:line="130" w:lineRule="exact"/>
        <w:rPr>
          <w:rFonts w:ascii="Arial" w:cs="Arial" w:eastAsia="Arial" w:hAnsi="Arial"/>
          <w:sz w:val="18"/>
          <w:szCs w:val="18"/>
          <w:color w:val="auto"/>
        </w:rPr>
      </w:pPr>
    </w:p>
    <w:p>
      <w:pPr>
        <w:ind w:left="1692" w:hanging="787"/>
        <w:spacing w:after="0" w:line="276" w:lineRule="auto"/>
        <w:tabs>
          <w:tab w:leader="none" w:pos="1692" w:val="left"/>
        </w:tabs>
        <w:numPr>
          <w:ilvl w:val="1"/>
          <w:numId w:val="387"/>
        </w:numPr>
        <w:rPr>
          <w:rFonts w:ascii="Arial" w:cs="Arial" w:eastAsia="Arial" w:hAnsi="Arial"/>
          <w:sz w:val="17"/>
          <w:szCs w:val="17"/>
          <w:color w:val="auto"/>
        </w:rPr>
      </w:pPr>
      <w:r>
        <w:rPr>
          <w:rFonts w:ascii="Arial" w:cs="Arial" w:eastAsia="Arial" w:hAnsi="Arial"/>
          <w:sz w:val="17"/>
          <w:szCs w:val="17"/>
          <w:color w:val="auto"/>
        </w:rPr>
        <w:t>The Borrowers shall (within 3 Business Days of demand by the Facility Agent) indemnify each Creditor Party and pay to each such Creditor Party an amount equal to the taxes, losses, liabilities or costs which such Creditor Party determines will be or has been (directly or indirectly) suffered by such party as a result of the Borrowers or any Security Party making a FATCA Deduction in respect of a payment due to such Creditor Party under a Finance Document, or any taxes, penalties, interest or other amounts being asserted against or imposed on such Creditor Party by any taxing authority of or in the United States under FATCA.</w:t>
      </w:r>
    </w:p>
    <w:p>
      <w:pPr>
        <w:spacing w:after="0" w:line="77" w:lineRule="exact"/>
        <w:rPr>
          <w:rFonts w:ascii="Arial" w:cs="Arial" w:eastAsia="Arial" w:hAnsi="Arial"/>
          <w:sz w:val="17"/>
          <w:szCs w:val="17"/>
          <w:color w:val="auto"/>
        </w:rPr>
      </w:pPr>
    </w:p>
    <w:p>
      <w:pPr>
        <w:ind w:left="1692" w:hanging="787"/>
        <w:spacing w:after="0" w:line="255" w:lineRule="auto"/>
        <w:tabs>
          <w:tab w:leader="none" w:pos="16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Notwithstanding anything to the contrary, if any Creditor Party is a FATCA Exempt Party, and after reasonable request of the Borrowers at least 60 days prior to the next Interest payment date, such Creditor Party has not provided the Borrowers with written confirmation that it is a FATCA Exempt Party on or prior to the next Interest payment date after such request, then, unless the status of such party under FATCA is publicly published by the United States Government or is otherwise publicly available in connection with FATCA, the Borrowers shall not be required to indemnify such Creditor Party for United States Federal taxes imposed under FATCA pursuant to this Clause 22.5 until such time as such Creditor Party shall have provided written notification of its status as a FATCA Exempt Party.</w:t>
      </w:r>
    </w:p>
    <w:p>
      <w:pPr>
        <w:spacing w:after="0" w:line="94" w:lineRule="exact"/>
        <w:rPr>
          <w:rFonts w:ascii="Arial" w:cs="Arial" w:eastAsia="Arial" w:hAnsi="Arial"/>
          <w:sz w:val="18"/>
          <w:szCs w:val="18"/>
          <w:color w:val="auto"/>
        </w:rPr>
      </w:pPr>
    </w:p>
    <w:p>
      <w:pPr>
        <w:jc w:val="both"/>
        <w:ind w:left="1692" w:right="380" w:hanging="787"/>
        <w:spacing w:after="0" w:line="342" w:lineRule="auto"/>
        <w:tabs>
          <w:tab w:leader="none" w:pos="1692" w:val="left"/>
        </w:tabs>
        <w:numPr>
          <w:ilvl w:val="1"/>
          <w:numId w:val="387"/>
        </w:numPr>
        <w:rPr>
          <w:rFonts w:ascii="Arial" w:cs="Arial" w:eastAsia="Arial" w:hAnsi="Arial"/>
          <w:sz w:val="16"/>
          <w:szCs w:val="16"/>
          <w:color w:val="auto"/>
        </w:rPr>
      </w:pPr>
      <w:r>
        <w:rPr>
          <w:rFonts w:ascii="Arial" w:cs="Arial" w:eastAsia="Arial" w:hAnsi="Arial"/>
          <w:sz w:val="16"/>
          <w:szCs w:val="16"/>
          <w:color w:val="auto"/>
        </w:rPr>
        <w:t>A Creditor Party making, or intending to make, a claim under sub-clause (i) above shall promptly notify the Facility Agent of the FATCA Deduction which will give, or has given, rise to the claim, following which the Facility Agent shall notify the Borrower.</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92"/>
          </w:cols>
          <w:pgMar w:left="248" w:top="274" w:right="259" w:bottom="1440" w:gutter="0" w:footer="0" w:header="0"/>
        </w:sectPr>
      </w:pPr>
    </w:p>
    <w:bookmarkStart w:id="254" w:name="page255"/>
    <w:bookmarkEnd w:id="254"/>
    <w:p>
      <w:pPr>
        <w:ind w:left="920" w:hanging="912"/>
        <w:spacing w:after="0"/>
        <w:tabs>
          <w:tab w:leader="none" w:pos="9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Double FATCA Indemnity:</w:t>
      </w:r>
    </w:p>
    <w:p>
      <w:pPr>
        <w:spacing w:after="0" w:line="117" w:lineRule="exact"/>
        <w:rPr>
          <w:rFonts w:ascii="Arial" w:cs="Arial" w:eastAsia="Arial" w:hAnsi="Arial"/>
          <w:sz w:val="18"/>
          <w:szCs w:val="18"/>
          <w:color w:val="auto"/>
        </w:rPr>
      </w:pPr>
    </w:p>
    <w:p>
      <w:pPr>
        <w:ind w:left="920" w:right="180"/>
        <w:spacing w:after="0" w:line="277" w:lineRule="auto"/>
        <w:rPr>
          <w:rFonts w:ascii="Arial" w:cs="Arial" w:eastAsia="Arial" w:hAnsi="Arial"/>
          <w:sz w:val="18"/>
          <w:szCs w:val="18"/>
          <w:color w:val="auto"/>
        </w:rPr>
      </w:pPr>
      <w:r>
        <w:rPr>
          <w:rFonts w:ascii="Arial" w:cs="Arial" w:eastAsia="Arial" w:hAnsi="Arial"/>
          <w:sz w:val="18"/>
          <w:szCs w:val="18"/>
          <w:color w:val="auto"/>
        </w:rPr>
        <w:t>This Clause 22.5 shall be the sole remedy for the payment of any United States Federal taxes imposed under FATCA and no such FATCA taxes shall be paid or indemnified under Clause 21 or any other sub-clause of Clause 22.</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FATCA Mitigation:</w:t>
      </w:r>
    </w:p>
    <w:p>
      <w:pPr>
        <w:spacing w:after="0" w:line="130" w:lineRule="exact"/>
        <w:rPr>
          <w:rFonts w:ascii="Arial" w:cs="Arial" w:eastAsia="Arial" w:hAnsi="Arial"/>
          <w:sz w:val="18"/>
          <w:szCs w:val="18"/>
          <w:color w:val="auto"/>
        </w:rPr>
      </w:pPr>
    </w:p>
    <w:p>
      <w:pPr>
        <w:ind w:left="1700" w:right="80" w:hanging="787"/>
        <w:spacing w:after="0" w:line="286" w:lineRule="auto"/>
        <w:tabs>
          <w:tab w:leader="none" w:pos="170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If a FATCA Deduction is or will be required to be made by the Borrowers under Clause 22.5(b) or (c) in respect of a payment to any FATCA Non-Exempt Lender, the Borrowers may (but shall not be required to), in addition to making any FATCA Deductions already required and any associated gross-up and indemnity payments under this Clause 22.5, elect to either:</w:t>
      </w:r>
    </w:p>
    <w:p>
      <w:pPr>
        <w:spacing w:after="0" w:line="70" w:lineRule="exact"/>
        <w:rPr>
          <w:rFonts w:ascii="Arial" w:cs="Arial" w:eastAsia="Arial" w:hAnsi="Arial"/>
          <w:sz w:val="17"/>
          <w:szCs w:val="17"/>
          <w:color w:val="auto"/>
        </w:rPr>
      </w:pPr>
    </w:p>
    <w:p>
      <w:pPr>
        <w:jc w:val="both"/>
        <w:ind w:left="2380" w:right="280" w:hanging="670"/>
        <w:spacing w:after="0" w:line="279" w:lineRule="auto"/>
        <w:tabs>
          <w:tab w:leader="none" w:pos="2380" w:val="left"/>
        </w:tabs>
        <w:numPr>
          <w:ilvl w:val="2"/>
          <w:numId w:val="388"/>
        </w:numPr>
        <w:rPr>
          <w:rFonts w:ascii="Arial" w:cs="Arial" w:eastAsia="Arial" w:hAnsi="Arial"/>
          <w:sz w:val="17"/>
          <w:szCs w:val="17"/>
          <w:color w:val="auto"/>
        </w:rPr>
      </w:pPr>
      <w:r>
        <w:rPr>
          <w:rFonts w:ascii="Arial" w:cs="Arial" w:eastAsia="Arial" w:hAnsi="Arial"/>
          <w:sz w:val="17"/>
          <w:szCs w:val="17"/>
          <w:color w:val="auto"/>
        </w:rPr>
        <w:t>prepay in full the Contribution of the FATCA Non-Exempt Lender (plus accrued and unpaid interest, if any, and all other amounts then due the FATCA Non-Exempt Lender) in accordance with and subject to the conditions of Clause 8 upon 15 days’ written notice to the Facility Agent and such FATCA Non-Exempt Lender, specifying the amount to be prepaid, the date on which the prepayment is to be made and the basis for the FATCA Deduction, or</w:t>
      </w:r>
    </w:p>
    <w:p>
      <w:pPr>
        <w:spacing w:after="0" w:line="76" w:lineRule="exact"/>
        <w:rPr>
          <w:rFonts w:ascii="Arial" w:cs="Arial" w:eastAsia="Arial" w:hAnsi="Arial"/>
          <w:sz w:val="17"/>
          <w:szCs w:val="17"/>
          <w:color w:val="auto"/>
        </w:rPr>
      </w:pPr>
    </w:p>
    <w:p>
      <w:pPr>
        <w:ind w:left="2380" w:right="120" w:hanging="670"/>
        <w:spacing w:after="0" w:line="279" w:lineRule="auto"/>
        <w:tabs>
          <w:tab w:leader="none" w:pos="2380" w:val="left"/>
        </w:tabs>
        <w:numPr>
          <w:ilvl w:val="2"/>
          <w:numId w:val="388"/>
        </w:numPr>
        <w:rPr>
          <w:rFonts w:ascii="Arial" w:cs="Arial" w:eastAsia="Arial" w:hAnsi="Arial"/>
          <w:sz w:val="17"/>
          <w:szCs w:val="17"/>
          <w:color w:val="auto"/>
        </w:rPr>
      </w:pPr>
      <w:r>
        <w:rPr>
          <w:rFonts w:ascii="Arial" w:cs="Arial" w:eastAsia="Arial" w:hAnsi="Arial"/>
          <w:sz w:val="17"/>
          <w:szCs w:val="17"/>
          <w:color w:val="auto"/>
        </w:rPr>
        <w:t>if no Event of Default or Potential Event of Default has occurred and is continuing, nominate one or more Transferee Lenders who upon becoming a Lender would be an Exempt FATCA Party, by notice in writing to the Facility Agent and the FATCA Non-Exempt Lender specifying the terms of the proposed transfer, and, subject to sub-clause (ii) below, cause such Transferee Lender(s) to purchase all of the FATCA Non-Exempt Lender’s Contribution and Commitment.</w:t>
      </w:r>
    </w:p>
    <w:p>
      <w:pPr>
        <w:spacing w:after="0" w:line="76" w:lineRule="exact"/>
        <w:rPr>
          <w:rFonts w:ascii="Arial" w:cs="Arial" w:eastAsia="Arial" w:hAnsi="Arial"/>
          <w:sz w:val="17"/>
          <w:szCs w:val="17"/>
          <w:color w:val="auto"/>
        </w:rPr>
      </w:pPr>
    </w:p>
    <w:p>
      <w:pPr>
        <w:ind w:left="1700" w:hanging="787"/>
        <w:spacing w:after="0" w:line="297" w:lineRule="auto"/>
        <w:tabs>
          <w:tab w:leader="none" w:pos="170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If the Borrowers elect to nominate one or more Transferee Lenders under Clause 22.5(e)(i)(B), the relevant FATCA Non-Exempt Lender shall transfer its Contribution and Commitment to such Transferee Lender(s), but only after such FATCA Non-Exempt Lender has received one or more payments from the Borrowers and such Transferee Lender(s) in an aggregate amount at least equal to the aggregate outstanding Contribution of such FATCA Non-Exempt Lender, together with accrued interest thereon to the date of payment of such Contribution and all other amounts payable to such FATCA Non-Exempt Lender under the Finance Documents.</w:t>
      </w:r>
    </w:p>
    <w:p>
      <w:pPr>
        <w:spacing w:after="0" w:line="63" w:lineRule="exact"/>
        <w:rPr>
          <w:rFonts w:ascii="Arial" w:cs="Arial" w:eastAsia="Arial" w:hAnsi="Arial"/>
          <w:sz w:val="16"/>
          <w:szCs w:val="16"/>
          <w:color w:val="auto"/>
        </w:rPr>
      </w:pPr>
    </w:p>
    <w:p>
      <w:pPr>
        <w:ind w:left="1700" w:right="180" w:hanging="787"/>
        <w:spacing w:after="0" w:line="259" w:lineRule="auto"/>
        <w:tabs>
          <w:tab w:leader="none" w:pos="17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If a FATCA Deduction is or will be required to be made by the Borrowers under Clause 22.5(b) or (c) in respect of a payment to any Creditor Party as a result of the Facility Agent not being a FATCA Exempt Party, at the written request of the Creditor Party, the Facility Agent shall resign and a successor Facility Agent who is a FATCA Exempt Party shall be appointed pursuant to the Agency and Trust Deed.</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The Borrowers must pay and indemnify each Creditor Party against any stamp duty, registration or other similar Tax payable by that Creditor Party in connection with the entry into, performance or enforcement of any Finance Document.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b w:val="1"/>
          <w:bCs w:val="1"/>
          <w:color w:val="auto"/>
        </w:rPr>
        <w:t>Value added taxes</w:t>
      </w:r>
    </w:p>
    <w:p>
      <w:pPr>
        <w:spacing w:after="0" w:line="121" w:lineRule="exact"/>
        <w:rPr>
          <w:sz w:val="20"/>
          <w:szCs w:val="20"/>
          <w:color w:val="auto"/>
        </w:rPr>
      </w:pPr>
    </w:p>
    <w:p>
      <w:pPr>
        <w:ind w:left="920" w:right="100"/>
        <w:spacing w:after="0" w:line="286" w:lineRule="auto"/>
        <w:rPr>
          <w:sz w:val="20"/>
          <w:szCs w:val="20"/>
          <w:color w:val="auto"/>
        </w:rPr>
      </w:pPr>
      <w:r>
        <w:rPr>
          <w:rFonts w:ascii="Arial" w:cs="Arial" w:eastAsia="Arial" w:hAnsi="Arial"/>
          <w:sz w:val="17"/>
          <w:szCs w:val="17"/>
          <w:color w:val="auto"/>
        </w:rPr>
        <w:t>Any amount (including costs and expenses) payable under a Finance Document by the Borrowers is exclusive of any value added tax or any other tax of a similar nature which might be chargeable in connection with that amount. If any such tax is chargeable, the Borrowers must pay to the Facility Agent (in addition to and at the same time as paying that amount) an amount equal to the amount of that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255" w:name="page256"/>
    <w:bookmarkEnd w:id="255"/>
    <w:p>
      <w:pPr>
        <w:ind w:left="920" w:hanging="912"/>
        <w:spacing w:after="0"/>
        <w:tabs>
          <w:tab w:leader="none" w:pos="9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ILLEGALITY, ETC</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23.1</w:t>
      </w:r>
      <w:r>
        <w:rPr>
          <w:rFonts w:ascii="Arial" w:cs="Arial" w:eastAsia="Arial" w:hAnsi="Arial"/>
          <w:sz w:val="16"/>
          <w:szCs w:val="16"/>
          <w:b w:val="1"/>
          <w:bCs w:val="1"/>
          <w:color w:val="auto"/>
        </w:rPr>
        <w:t>Illegality</w:t>
      </w:r>
    </w:p>
    <w:p>
      <w:pPr>
        <w:spacing w:after="0" w:line="117" w:lineRule="exact"/>
        <w:rPr>
          <w:sz w:val="20"/>
          <w:szCs w:val="20"/>
          <w:color w:val="auto"/>
        </w:rPr>
      </w:pPr>
    </w:p>
    <w:p>
      <w:pPr>
        <w:ind w:left="920" w:right="240"/>
        <w:spacing w:after="0" w:line="282" w:lineRule="auto"/>
        <w:rPr>
          <w:sz w:val="20"/>
          <w:szCs w:val="20"/>
          <w:color w:val="auto"/>
        </w:rPr>
      </w:pPr>
      <w:r>
        <w:rPr>
          <w:rFonts w:ascii="Arial" w:cs="Arial" w:eastAsia="Arial" w:hAnsi="Arial"/>
          <w:sz w:val="18"/>
          <w:szCs w:val="18"/>
          <w:color w:val="auto"/>
        </w:rPr>
        <w:t>This Clause 23 applies if a Lender or any affiliate of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it has become, or will with effect from a specified date, become, in any applicable jurisdiction:</w:t>
      </w:r>
    </w:p>
    <w:p>
      <w:pPr>
        <w:spacing w:after="0" w:line="71" w:lineRule="exact"/>
        <w:rPr>
          <w:sz w:val="20"/>
          <w:szCs w:val="20"/>
          <w:color w:val="auto"/>
        </w:rPr>
      </w:pPr>
    </w:p>
    <w:p>
      <w:pPr>
        <w:ind w:left="920" w:right="80" w:hanging="912"/>
        <w:spacing w:after="0" w:line="308" w:lineRule="auto"/>
        <w:tabs>
          <w:tab w:leader="none" w:pos="9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unlawful and/or contrary to, or declared by any Sanctions Authority to be contrary to, Sanctions or prohibited as a result of the introduction of a new law, an amendment to an existing law or a change in the manner in which an existing law is or will be interpreted or applied; or</w:t>
      </w:r>
    </w:p>
    <w:p>
      <w:pPr>
        <w:spacing w:after="0" w:line="51" w:lineRule="exact"/>
        <w:rPr>
          <w:rFonts w:ascii="Arial" w:cs="Arial" w:eastAsia="Arial" w:hAnsi="Arial"/>
          <w:sz w:val="17"/>
          <w:szCs w:val="17"/>
          <w:color w:val="auto"/>
        </w:rPr>
      </w:pPr>
    </w:p>
    <w:p>
      <w:pPr>
        <w:ind w:left="920" w:hanging="912"/>
        <w:spacing w:after="0"/>
        <w:tabs>
          <w:tab w:leader="none" w:pos="9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contrary to, or inconsistent with, any regulation and/or contrary to, or declared by any Sanctions Authority to be contrary to, Sanctions,</w:t>
      </w:r>
    </w:p>
    <w:p>
      <w:pPr>
        <w:spacing w:after="0" w:line="128" w:lineRule="exact"/>
        <w:rPr>
          <w:rFonts w:ascii="Arial" w:cs="Arial" w:eastAsia="Arial" w:hAnsi="Arial"/>
          <w:sz w:val="17"/>
          <w:szCs w:val="17"/>
          <w:color w:val="auto"/>
        </w:rPr>
      </w:pPr>
    </w:p>
    <w:p>
      <w:pPr>
        <w:ind w:left="920" w:right="200"/>
        <w:spacing w:after="0" w:line="277" w:lineRule="auto"/>
        <w:rPr>
          <w:rFonts w:ascii="Arial" w:cs="Arial" w:eastAsia="Arial" w:hAnsi="Arial"/>
          <w:sz w:val="17"/>
          <w:szCs w:val="17"/>
          <w:color w:val="auto"/>
        </w:rPr>
      </w:pPr>
      <w:r>
        <w:rPr>
          <w:rFonts w:ascii="Arial" w:cs="Arial" w:eastAsia="Arial" w:hAnsi="Arial"/>
          <w:sz w:val="18"/>
          <w:szCs w:val="18"/>
          <w:color w:val="auto"/>
        </w:rPr>
        <w:t>for the Notifying Lender to perform, maintain or give effect to any of its obligations under this Agreement in the manner contemplated by this Agreement or to fund or maintain the Loan.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Notification of illegality</w:t>
      </w:r>
    </w:p>
    <w:p>
      <w:pPr>
        <w:spacing w:after="0" w:line="121"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The Facility Agent shall promptly notify the Borrowers, the Security Parties, the Security Trustee and the other Lenders of the notice under Clause 23.1 which the Facility Agent receives from the Notifying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On the Facility Agent notifying the Borrowers under Clause 23.2, the Notifying Lender’s Commitment shall terminate; and thereupon or, if later, on the date specified in the Notifying Lender’s notice under Clause 23.1 as the date on which the notified event would become effective the Borrowers shall prepay the Notifying Lender’s Contribution on the last day of the then current Interest Period accordance with Clause 8.</w:t>
      </w:r>
    </w:p>
    <w:p>
      <w:pPr>
        <w:spacing w:after="0" w:line="291" w:lineRule="exact"/>
        <w:rPr>
          <w:sz w:val="20"/>
          <w:szCs w:val="20"/>
          <w:color w:val="auto"/>
        </w:rPr>
      </w:pPr>
    </w:p>
    <w:p>
      <w:pPr>
        <w:ind w:left="920" w:hanging="912"/>
        <w:spacing w:after="0"/>
        <w:tabs>
          <w:tab w:leader="none" w:pos="92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24.1</w:t>
      </w:r>
      <w:r>
        <w:rPr>
          <w:rFonts w:ascii="Arial" w:cs="Arial" w:eastAsia="Arial" w:hAnsi="Arial"/>
          <w:sz w:val="15"/>
          <w:szCs w:val="15"/>
          <w:b w:val="1"/>
          <w:bCs w:val="1"/>
          <w:color w:val="auto"/>
        </w:rPr>
        <w:t>Increased costs</w:t>
      </w:r>
    </w:p>
    <w:p>
      <w:pPr>
        <w:spacing w:after="0" w:line="117" w:lineRule="exact"/>
        <w:rPr>
          <w:sz w:val="20"/>
          <w:szCs w:val="20"/>
          <w:color w:val="auto"/>
        </w:rPr>
      </w:pPr>
    </w:p>
    <w:p>
      <w:pPr>
        <w:ind w:left="920" w:right="280"/>
        <w:spacing w:after="0" w:line="282" w:lineRule="auto"/>
        <w:rPr>
          <w:sz w:val="20"/>
          <w:szCs w:val="20"/>
          <w:color w:val="auto"/>
        </w:rPr>
      </w:pPr>
      <w:r>
        <w:rPr>
          <w:rFonts w:ascii="Arial" w:cs="Arial" w:eastAsia="Arial" w:hAnsi="Arial"/>
          <w:sz w:val="18"/>
          <w:szCs w:val="18"/>
          <w:color w:val="auto"/>
        </w:rPr>
        <w:t>This Clause 24 applies if a Lender or any affiliate of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the Notifying Lender considers that as a result of:</w:t>
      </w:r>
    </w:p>
    <w:p>
      <w:pPr>
        <w:spacing w:after="0" w:line="71" w:lineRule="exact"/>
        <w:rPr>
          <w:sz w:val="20"/>
          <w:szCs w:val="20"/>
          <w:color w:val="auto"/>
        </w:rPr>
      </w:pPr>
    </w:p>
    <w:p>
      <w:pPr>
        <w:ind w:left="920" w:right="14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introduction or alteration after the date of this Agreement of a law or an alteration after the date of this Agreement in the manner in which a law is interpreted or applied (disregarding any effect which relates to the application to payments under this Agreement of a tax on a Lender’s overall net income); or</w:t>
      </w:r>
    </w:p>
    <w:p>
      <w:pPr>
        <w:spacing w:after="0" w:line="86" w:lineRule="exact"/>
        <w:rPr>
          <w:rFonts w:ascii="Arial" w:cs="Arial" w:eastAsia="Arial" w:hAnsi="Arial"/>
          <w:sz w:val="18"/>
          <w:szCs w:val="18"/>
          <w:color w:val="auto"/>
        </w:rPr>
      </w:pPr>
    </w:p>
    <w:p>
      <w:pPr>
        <w:ind w:left="920" w:right="24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complying with any regulation (including any which relates to capital adequacy or liquidity controls or which affects the manner in which the Notifying Lender allocates capital resources to its obligations under this Agreement) which is introduced, or altered, or the interpretation or application of which is altered, after the date of this Agreement; or</w:t>
      </w:r>
    </w:p>
    <w:p>
      <w:pPr>
        <w:spacing w:after="0" w:line="86" w:lineRule="exact"/>
        <w:rPr>
          <w:rFonts w:ascii="Arial" w:cs="Arial" w:eastAsia="Arial" w:hAnsi="Arial"/>
          <w:sz w:val="18"/>
          <w:szCs w:val="18"/>
          <w:color w:val="auto"/>
        </w:rPr>
      </w:pPr>
    </w:p>
    <w:p>
      <w:pPr>
        <w:ind w:left="920" w:right="4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CRD IV or CRR or any law or regulation that implements or applies Basel III, CRD IV or CRR (whether such implementation, application or compliance is by a government, regulator or the Notifying Lender or a parent company or affiliate of it),</w:t>
      </w:r>
    </w:p>
    <w:p>
      <w:pPr>
        <w:spacing w:after="0" w:line="86" w:lineRule="exact"/>
        <w:rPr>
          <w:rFonts w:ascii="Arial" w:cs="Arial" w:eastAsia="Arial" w:hAnsi="Arial"/>
          <w:sz w:val="18"/>
          <w:szCs w:val="18"/>
          <w:color w:val="auto"/>
        </w:rPr>
      </w:pPr>
    </w:p>
    <w:p>
      <w:pPr>
        <w:ind w:left="920" w:right="40" w:hanging="912"/>
        <w:spacing w:after="0" w:line="264" w:lineRule="auto"/>
        <w:tabs>
          <w:tab w:leader="none" w:pos="9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each case when compared to the cost of complying with such regulations as determined by the Notifying Lender (or parent company or affiliate of it) on the date of this Agreement (whether such implementation, application or compliance is by a government, regulator, supervisory authority, the Notifying Lender or its holding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70" w:right="299" w:bottom="1440" w:gutter="0" w:footer="0" w:header="0"/>
        </w:sectPr>
      </w:pPr>
    </w:p>
    <w:bookmarkStart w:id="256" w:name="page257"/>
    <w:bookmarkEnd w:id="2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Notifying Lender (or a parent company or affiliate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Meaning of “increased costs”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24, “</w:t>
      </w:r>
      <w:r>
        <w:rPr>
          <w:rFonts w:ascii="Arial" w:cs="Arial" w:eastAsia="Arial" w:hAnsi="Arial"/>
          <w:sz w:val="18"/>
          <w:szCs w:val="18"/>
          <w:b w:val="1"/>
          <w:bCs w:val="1"/>
          <w:color w:val="auto"/>
        </w:rPr>
        <w:t>increased costs</w:t>
      </w:r>
      <w:r>
        <w:rPr>
          <w:rFonts w:ascii="Arial" w:cs="Arial" w:eastAsia="Arial" w:hAnsi="Arial"/>
          <w:sz w:val="18"/>
          <w:szCs w:val="18"/>
          <w:color w:val="auto"/>
        </w:rPr>
        <w:t>” means, in relation to a Notifying Lender:</w:t>
      </w:r>
    </w:p>
    <w:p>
      <w:pPr>
        <w:spacing w:after="0" w:line="135" w:lineRule="exact"/>
        <w:rPr>
          <w:sz w:val="20"/>
          <w:szCs w:val="20"/>
          <w:color w:val="auto"/>
        </w:rPr>
      </w:pPr>
    </w:p>
    <w:p>
      <w:pPr>
        <w:ind w:left="1700" w:hanging="787"/>
        <w:spacing w:after="0" w:line="259" w:lineRule="auto"/>
        <w:tabs>
          <w:tab w:leader="none" w:pos="17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 additional or increased cost incurred as a result of, or in connection with, the Notifying Lender having entered into, or being a party to, this Agreement or a Transfer Certificate or an Additional Lender’s Certificate or having taken an assignment of rights under this Agreement, of funding or maintaining its Commitment or Contribution or performing its obligations under this Agreement, or of having outstanding all or any part of its Contribution or other unpaid sums;</w:t>
      </w:r>
    </w:p>
    <w:p>
      <w:pPr>
        <w:spacing w:after="0" w:line="92" w:lineRule="exact"/>
        <w:rPr>
          <w:rFonts w:ascii="Arial" w:cs="Arial" w:eastAsia="Arial" w:hAnsi="Arial"/>
          <w:sz w:val="18"/>
          <w:szCs w:val="18"/>
          <w:color w:val="auto"/>
        </w:rPr>
      </w:pPr>
    </w:p>
    <w:p>
      <w:pPr>
        <w:ind w:left="1700" w:right="560" w:hanging="787"/>
        <w:spacing w:after="0" w:line="277" w:lineRule="auto"/>
        <w:tabs>
          <w:tab w:leader="none" w:pos="17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reduction in the amount of any payment to the Notifying Lender under this Agreement or in the effective return which such a payment represents to the Notifying Lender or on its capital;</w:t>
      </w:r>
    </w:p>
    <w:p>
      <w:pPr>
        <w:spacing w:after="0" w:line="75" w:lineRule="exact"/>
        <w:rPr>
          <w:rFonts w:ascii="Arial" w:cs="Arial" w:eastAsia="Arial" w:hAnsi="Arial"/>
          <w:sz w:val="18"/>
          <w:szCs w:val="18"/>
          <w:color w:val="auto"/>
        </w:rPr>
      </w:pPr>
    </w:p>
    <w:p>
      <w:pPr>
        <w:jc w:val="both"/>
        <w:ind w:left="1700" w:right="80" w:hanging="787"/>
        <w:spacing w:after="0" w:line="264" w:lineRule="auto"/>
        <w:tabs>
          <w:tab w:leader="none" w:pos="17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 additional or increased cost of funding all or maintaining all or any of the advances comprised in a class of advances formed by or including the Notifying Lender’s Contribution or (as the case may require) the proportion of that cost attributable to the Contribution; or</w:t>
      </w:r>
    </w:p>
    <w:p>
      <w:pPr>
        <w:spacing w:after="0" w:line="86" w:lineRule="exact"/>
        <w:rPr>
          <w:rFonts w:ascii="Arial" w:cs="Arial" w:eastAsia="Arial" w:hAnsi="Arial"/>
          <w:sz w:val="18"/>
          <w:szCs w:val="18"/>
          <w:color w:val="auto"/>
        </w:rPr>
      </w:pPr>
    </w:p>
    <w:p>
      <w:pPr>
        <w:ind w:left="1700" w:right="400" w:hanging="787"/>
        <w:spacing w:after="0" w:line="277" w:lineRule="auto"/>
        <w:tabs>
          <w:tab w:leader="none" w:pos="17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62"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but not an item attributable to a change in the rate of tax on the overall net income of the Notifying Lender (or a parent company or affiliate of it) or an item covered by the indemnity for tax in Clause 21.1 or by Clause 22.</w:t>
      </w:r>
    </w:p>
    <w:p>
      <w:pPr>
        <w:spacing w:after="0" w:line="6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For the purposes of this Clause 24.2 the Notifying Lender may in good faith allocate or spread costs and/or losses among its assets and liabilities (or any class of its assets and liabilities) on such basis as it considers appropriate.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Notification to Borrowers of claim for increased costs</w:t>
      </w:r>
    </w:p>
    <w:p>
      <w:pPr>
        <w:spacing w:after="0" w:line="121"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The Facility Agent shall promptly notify the Borrowers and the Security Parties of the notice which the Facility Agent received from the Notifying Lender under Clause 24.1.</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Payment of increased costs</w:t>
      </w:r>
    </w:p>
    <w:p>
      <w:pPr>
        <w:spacing w:after="0" w:line="121"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The Borrowers (or, subject to Clause 29.2, each applicable Affected Borrower), shall pay to the Facility Agent, on the Facility Agent’s demand, for the account of the Notifying Lender the amounts which the Facility Agent from time to time notifies the Borrowers (or each relevant Affected Borrower), that the Notifying Lender has specified to be necessary to compensate the Notifying Lender for the increased cost.</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If the Borrowers are (or, subject to Clause 29.2, each applicable Affected Borrower is) not willing to continue to compensate the Notifying Lender for the increased cost under Clause 24.4, the Borrowers (or each Affected Borrower) may give the Facility Agent not less than 15 days’ notice of its intention to prepay the Notifying Lender’s Contribution at the end of an Interest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0" w:right="259" w:bottom="1440" w:gutter="0" w:footer="0" w:header="0"/>
        </w:sectPr>
      </w:pPr>
    </w:p>
    <w:bookmarkStart w:id="257" w:name="page258"/>
    <w:bookmarkEnd w:id="25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24.6</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A notice under Clause 24.5 shall be irrevocable; the Facility Agent shall promptly notify the Notifying Lender of the Borrowers’ (or each relevant Affected Borrower’s) notice of intended prepayment; and:</w:t>
      </w:r>
    </w:p>
    <w:p>
      <w:pPr>
        <w:spacing w:after="0" w:line="76" w:lineRule="exact"/>
        <w:rPr>
          <w:sz w:val="20"/>
          <w:szCs w:val="20"/>
          <w:color w:val="auto"/>
        </w:rPr>
      </w:pPr>
    </w:p>
    <w:p>
      <w:pPr>
        <w:ind w:left="920" w:hanging="912"/>
        <w:spacing w:after="0"/>
        <w:tabs>
          <w:tab w:leader="none" w:pos="9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Commitment of the Notifying Lender shall be cancelled; and</w:t>
      </w:r>
    </w:p>
    <w:p>
      <w:pPr>
        <w:spacing w:after="0" w:line="130" w:lineRule="exact"/>
        <w:rPr>
          <w:rFonts w:ascii="Arial" w:cs="Arial" w:eastAsia="Arial" w:hAnsi="Arial"/>
          <w:sz w:val="18"/>
          <w:szCs w:val="18"/>
          <w:color w:val="auto"/>
        </w:rPr>
      </w:pPr>
    </w:p>
    <w:p>
      <w:pPr>
        <w:ind w:left="920" w:hanging="912"/>
        <w:spacing w:after="0" w:line="308" w:lineRule="auto"/>
        <w:tabs>
          <w:tab w:leader="none" w:pos="9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on the date specified in its notice of intended prepayment, the Borrowers (or each relevant Affected Borrower) shall prepay (without premium or penalty) the Notifying Lender’s Contribution, together with accrued interest thereon at the applicable rate plus the Margin.</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Clause 8 shall apply in relation to the prepayment.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Creditor Party may following the occurrence of an Event of Default and without prior notice:</w:t>
      </w:r>
    </w:p>
    <w:p>
      <w:pPr>
        <w:spacing w:after="0" w:line="131" w:lineRule="exact"/>
        <w:rPr>
          <w:sz w:val="20"/>
          <w:szCs w:val="20"/>
          <w:color w:val="auto"/>
        </w:rPr>
      </w:pPr>
    </w:p>
    <w:p>
      <w:pPr>
        <w:ind w:left="920" w:right="140" w:hanging="912"/>
        <w:spacing w:after="0" w:line="264" w:lineRule="auto"/>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Borrowers at any office in any country of that Creditor Party in or towards satisfaction of any sum then due from the Borrowers to that Creditor Party under any of the Finance Documents; and</w:t>
      </w:r>
    </w:p>
    <w:p>
      <w:pPr>
        <w:spacing w:after="0" w:line="86" w:lineRule="exact"/>
        <w:rPr>
          <w:rFonts w:ascii="Arial" w:cs="Arial" w:eastAsia="Arial" w:hAnsi="Arial"/>
          <w:sz w:val="18"/>
          <w:szCs w:val="18"/>
          <w:color w:val="auto"/>
        </w:rPr>
      </w:pPr>
    </w:p>
    <w:p>
      <w:pPr>
        <w:ind w:left="920" w:hanging="912"/>
        <w:spacing w:after="0"/>
        <w:tabs>
          <w:tab w:leader="none" w:pos="9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700" w:right="340" w:hanging="787"/>
        <w:spacing w:after="0" w:line="277" w:lineRule="auto"/>
        <w:tabs>
          <w:tab w:leader="none" w:pos="17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25.1; and those rights shall be without prejudice and in addition to any right of set-off, combination of accounts, charge, lien or other right or remedy to which a Creditor Party is entitled (whether under the general law or any document).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For the purposes of this Clause 25, a sum payable by the Borrowers to the Facility Agent or the Security Trustee for distribution to, or for the account of, a Lender shall be treated as a sum due to that Lender; and each Lender’s proportion of a sum so payable for distribution to, or for the account of, the Lenders shall be treated as a sum due to such Lender.</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No Security Interest</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This Clause 25 gives the Creditor Parties a contractual right of set-off only, and does not create any equitable charge or other Security Interest over any credit balance of the Borrowers.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270" w:right="319" w:bottom="1440" w:gutter="0" w:footer="0" w:header="0"/>
        </w:sectPr>
      </w:pPr>
    </w:p>
    <w:bookmarkStart w:id="258" w:name="page259"/>
    <w:bookmarkEnd w:id="258"/>
    <w:p>
      <w:pPr>
        <w:ind w:left="920" w:hanging="912"/>
        <w:spacing w:after="0"/>
        <w:tabs>
          <w:tab w:leader="none" w:pos="92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AND CHANGES IN LENDING OFFICES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w:t>
      </w:r>
      <w:r>
        <w:rPr>
          <w:rFonts w:ascii="Arial" w:cs="Arial" w:eastAsia="Arial" w:hAnsi="Arial"/>
          <w:sz w:val="16"/>
          <w:szCs w:val="16"/>
          <w:b w:val="1"/>
          <w:bCs w:val="1"/>
          <w:color w:val="auto"/>
        </w:rPr>
        <w:t>Transfer by the Borrowers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The Borrowers may not assign or transfer any of their rights, liabilities or obligations under any Finance Document.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Transfer by a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Subject to Clause 26.4,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 any time, cause:</w:t>
      </w:r>
    </w:p>
    <w:p>
      <w:pPr>
        <w:spacing w:after="0" w:line="135" w:lineRule="exact"/>
        <w:rPr>
          <w:sz w:val="20"/>
          <w:szCs w:val="20"/>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 combination of (a) and (b);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all or part of its credit risk under this Agreement and the other Finance Documents,</w:t>
      </w:r>
    </w:p>
    <w:p>
      <w:pPr>
        <w:spacing w:after="0" w:line="117" w:lineRule="exact"/>
        <w:rPr>
          <w:rFonts w:ascii="Arial" w:cs="Arial" w:eastAsia="Arial" w:hAnsi="Arial"/>
          <w:sz w:val="18"/>
          <w:szCs w:val="18"/>
          <w:color w:val="auto"/>
        </w:rPr>
      </w:pPr>
    </w:p>
    <w:p>
      <w:pPr>
        <w:ind w:left="920" w:right="140"/>
        <w:spacing w:after="0" w:line="259" w:lineRule="auto"/>
        <w:rPr>
          <w:rFonts w:ascii="Arial" w:cs="Arial" w:eastAsia="Arial" w:hAnsi="Arial"/>
          <w:sz w:val="18"/>
          <w:szCs w:val="18"/>
          <w:color w:val="auto"/>
        </w:rPr>
      </w:pPr>
      <w:r>
        <w:rPr>
          <w:rFonts w:ascii="Arial" w:cs="Arial" w:eastAsia="Arial" w:hAnsi="Arial"/>
          <w:sz w:val="18"/>
          <w:szCs w:val="18"/>
          <w:color w:val="auto"/>
        </w:rPr>
        <w:t>to be syndicated to or, (in the case of its rights) assigned, pledged or transferred to, or (in the case of its obligations) pledged or assumed by, any third party (a “</w:t>
      </w:r>
      <w:r>
        <w:rPr>
          <w:rFonts w:ascii="Arial" w:cs="Arial" w:eastAsia="Arial" w:hAnsi="Arial"/>
          <w:sz w:val="18"/>
          <w:szCs w:val="18"/>
          <w:b w:val="1"/>
          <w:bCs w:val="1"/>
          <w:color w:val="auto"/>
        </w:rPr>
        <w:t>Transferee Lender</w:t>
      </w:r>
      <w:r>
        <w:rPr>
          <w:rFonts w:ascii="Arial" w:cs="Arial" w:eastAsia="Arial" w:hAnsi="Arial"/>
          <w:sz w:val="18"/>
          <w:szCs w:val="18"/>
          <w:color w:val="auto"/>
        </w:rPr>
        <w:t>”) by delivering to the Facility Agent a completed certificate in the form set out in Schedule 4 with any modifications approved or required by the Facility Agent (a “</w:t>
      </w:r>
      <w:r>
        <w:rPr>
          <w:rFonts w:ascii="Arial" w:cs="Arial" w:eastAsia="Arial" w:hAnsi="Arial"/>
          <w:sz w:val="18"/>
          <w:szCs w:val="18"/>
          <w:b w:val="1"/>
          <w:bCs w:val="1"/>
          <w:color w:val="auto"/>
        </w:rPr>
        <w:t>Transfer Certificate</w:t>
      </w:r>
      <w:r>
        <w:rPr>
          <w:rFonts w:ascii="Arial" w:cs="Arial" w:eastAsia="Arial" w:hAnsi="Arial"/>
          <w:sz w:val="18"/>
          <w:szCs w:val="18"/>
          <w:color w:val="auto"/>
        </w:rPr>
        <w:t>”) executed by the Transferor Lender and the Transferee Lender.</w:t>
      </w:r>
    </w:p>
    <w:p>
      <w:pPr>
        <w:spacing w:after="0" w:line="78" w:lineRule="exact"/>
        <w:rPr>
          <w:rFonts w:ascii="Arial" w:cs="Arial" w:eastAsia="Arial" w:hAnsi="Arial"/>
          <w:sz w:val="18"/>
          <w:szCs w:val="18"/>
          <w:color w:val="auto"/>
        </w:rPr>
      </w:pPr>
    </w:p>
    <w:p>
      <w:pPr>
        <w:ind w:left="920" w:right="40"/>
        <w:spacing w:after="0" w:line="264" w:lineRule="auto"/>
        <w:rPr>
          <w:rFonts w:ascii="Arial" w:cs="Arial" w:eastAsia="Arial" w:hAnsi="Arial"/>
          <w:sz w:val="18"/>
          <w:szCs w:val="18"/>
          <w:color w:val="auto"/>
        </w:rPr>
      </w:pPr>
      <w:r>
        <w:rPr>
          <w:rFonts w:ascii="Arial" w:cs="Arial" w:eastAsia="Arial" w:hAnsi="Arial"/>
          <w:sz w:val="18"/>
          <w:szCs w:val="18"/>
          <w:color w:val="auto"/>
        </w:rPr>
        <w:t>However any rights and obligations of the Transferor Lender in its capacity as Facility Agent or Security Trustee will have to be dealt with separately in accordance with the Agency and Trust Agreement. All costs and expenses relating to a transfer effected pursuant to this Clause 26.2 shall be borne by the Transferee Lender.</w:t>
      </w:r>
    </w:p>
    <w:p>
      <w:pPr>
        <w:spacing w:after="0" w:line="7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 transfer pursuant to this Clause 26.2 shall:</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be effected without the consent of the Borrowers:</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following the occurrence of an Event of Default;</w:t>
      </w:r>
    </w:p>
    <w:p>
      <w:pPr>
        <w:spacing w:after="0" w:line="130" w:lineRule="exact"/>
        <w:rPr>
          <w:rFonts w:ascii="Arial" w:cs="Arial" w:eastAsia="Arial" w:hAnsi="Arial"/>
          <w:sz w:val="18"/>
          <w:szCs w:val="18"/>
          <w:color w:val="auto"/>
        </w:rPr>
      </w:pPr>
    </w:p>
    <w:p>
      <w:pPr>
        <w:ind w:left="2380" w:right="180" w:hanging="670"/>
        <w:spacing w:after="0" w:line="277" w:lineRule="auto"/>
        <w:tabs>
          <w:tab w:leader="none" w:pos="238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if such transfer is to a subsidiary or any other company or financial institution which is in the same ownership or control as one of the Lenders; and</w:t>
      </w:r>
    </w:p>
    <w:p>
      <w:pPr>
        <w:spacing w:after="0" w:line="75" w:lineRule="exact"/>
        <w:rPr>
          <w:rFonts w:ascii="Arial" w:cs="Arial" w:eastAsia="Arial" w:hAnsi="Arial"/>
          <w:sz w:val="18"/>
          <w:szCs w:val="18"/>
          <w:color w:val="auto"/>
        </w:rPr>
      </w:pPr>
    </w:p>
    <w:p>
      <w:pPr>
        <w:ind w:left="1700" w:right="620" w:hanging="787"/>
        <w:spacing w:after="0" w:line="342" w:lineRule="auto"/>
        <w:tabs>
          <w:tab w:leader="none" w:pos="170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in all other circumstances, require the consent of the Borrowers (such consent not to be unreasonably withheld, conditioned or delayed) which should be provided within 5 days otherwise such consent shall be deemed to have been provided.</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Transfer Certificate, delivery and notification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soon as reasonably practicable after a Transfer Certificate is delivered to the Facility Agent, it shall (unless it has reason to believe that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 Certificate may be defective):</w:t>
      </w:r>
    </w:p>
    <w:p>
      <w:pPr>
        <w:spacing w:after="0" w:line="116" w:lineRule="exact"/>
        <w:rPr>
          <w:sz w:val="20"/>
          <w:szCs w:val="20"/>
          <w:color w:val="auto"/>
        </w:rPr>
      </w:pPr>
    </w:p>
    <w:p>
      <w:pPr>
        <w:ind w:left="920" w:hanging="912"/>
        <w:spacing w:after="0" w:line="277" w:lineRule="auto"/>
        <w:tabs>
          <w:tab w:leader="none" w:pos="9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ensure that all relevant “know your customer” requirements in connection with the Transferee Lender are complied with under all applicable laws and regulations and shall promptly notify the other Lenders and the Transferee Lender accordingly;</w:t>
      </w:r>
    </w:p>
    <w:p>
      <w:pPr>
        <w:spacing w:after="0" w:line="75" w:lineRule="exact"/>
        <w:rPr>
          <w:rFonts w:ascii="Arial" w:cs="Arial" w:eastAsia="Arial" w:hAnsi="Arial"/>
          <w:sz w:val="18"/>
          <w:szCs w:val="18"/>
          <w:color w:val="auto"/>
        </w:rPr>
      </w:pPr>
    </w:p>
    <w:p>
      <w:pPr>
        <w:ind w:left="920" w:right="320" w:hanging="912"/>
        <w:spacing w:after="0" w:line="277" w:lineRule="auto"/>
        <w:tabs>
          <w:tab w:leader="none" w:pos="9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sign the Transfer Certificate on behalf of itself the Borrowers, the Security Parties, the Security Trustee and each of the other Lenders and the Swap Bank;</w:t>
      </w:r>
    </w:p>
    <w:p>
      <w:pPr>
        <w:spacing w:after="0" w:line="75" w:lineRule="exact"/>
        <w:rPr>
          <w:rFonts w:ascii="Arial" w:cs="Arial" w:eastAsia="Arial" w:hAnsi="Arial"/>
          <w:sz w:val="18"/>
          <w:szCs w:val="18"/>
          <w:color w:val="auto"/>
        </w:rPr>
      </w:pPr>
    </w:p>
    <w:p>
      <w:pPr>
        <w:ind w:left="920" w:right="160" w:hanging="912"/>
        <w:spacing w:after="0" w:line="277" w:lineRule="auto"/>
        <w:tabs>
          <w:tab w:leader="none" w:pos="9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Borrowers and each Security Party letters or faxes notifying them of the Transfer Certificate and attaching a copy of it;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0" w:right="239" w:bottom="1440" w:gutter="0" w:footer="0" w:header="0"/>
        </w:sectPr>
      </w:pPr>
    </w:p>
    <w:bookmarkStart w:id="259" w:name="page260"/>
    <w:bookmarkEnd w:id="259"/>
    <w:p>
      <w:pPr>
        <w:ind w:left="920" w:hanging="912"/>
        <w:spacing w:after="0"/>
        <w:tabs>
          <w:tab w:leader="none" w:pos="9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send to the Transferee Lender copies of the letters or faxes sent under paragraph (b)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Effective Date of Transfer Certificate</w:t>
      </w:r>
    </w:p>
    <w:p>
      <w:pPr>
        <w:spacing w:after="0" w:line="117"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color w:val="auto"/>
        </w:rPr>
        <w:t xml:space="preserve">A Transfer Certificate becomes effective on the date, if any, specified in the Transfer Certificate as its 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Facility Agent under Clause 26.3 on or before that date.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No transfer without Transfer Certificate</w:t>
      </w:r>
    </w:p>
    <w:p>
      <w:pPr>
        <w:spacing w:after="0" w:line="121"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No assignment or transfer of any right or obligation of a Lender under any Finance Document is binding on, or effective in relation to, the Borrowers, any Security Party, the Facility Agent or the Security Trustee unless it is effected, evidenced or perfected by a Transfer Certificate.</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Lender re-organisation; waiver of Transfer Certificate</w:t>
      </w:r>
    </w:p>
    <w:p>
      <w:pPr>
        <w:spacing w:after="0" w:line="121" w:lineRule="exact"/>
        <w:rPr>
          <w:sz w:val="20"/>
          <w:szCs w:val="20"/>
          <w:color w:val="auto"/>
        </w:rPr>
      </w:pPr>
    </w:p>
    <w:p>
      <w:pPr>
        <w:ind w:left="920" w:right="220"/>
        <w:spacing w:after="0" w:line="279" w:lineRule="auto"/>
        <w:rPr>
          <w:sz w:val="20"/>
          <w:szCs w:val="20"/>
          <w:color w:val="auto"/>
        </w:rPr>
      </w:pPr>
      <w:r>
        <w:rPr>
          <w:rFonts w:ascii="Arial" w:cs="Arial" w:eastAsia="Arial" w:hAnsi="Arial"/>
          <w:sz w:val="17"/>
          <w:szCs w:val="17"/>
          <w:color w:val="auto"/>
        </w:rPr>
        <w:t>However, if a Lender enters into any merger, de-merger or other reorganisation as a result of which all its rights or obligations vest in another person (the “</w:t>
      </w:r>
      <w:r>
        <w:rPr>
          <w:rFonts w:ascii="Arial" w:cs="Arial" w:eastAsia="Arial" w:hAnsi="Arial"/>
          <w:sz w:val="17"/>
          <w:szCs w:val="17"/>
          <w:b w:val="1"/>
          <w:bCs w:val="1"/>
          <w:color w:val="auto"/>
        </w:rPr>
        <w:t>successor</w:t>
      </w:r>
      <w:r>
        <w:rPr>
          <w:rFonts w:ascii="Arial" w:cs="Arial" w:eastAsia="Arial" w:hAnsi="Arial"/>
          <w:sz w:val="17"/>
          <w:szCs w:val="17"/>
          <w:color w:val="auto"/>
        </w:rPr>
        <w:t>”), the Facility Agent may, if it sees fit, by notice to the successor and the Borrowers and the Security Trustee waive the need for the execution and delivery of a Transfer Certificate; and, upon service of the Facility Agent’s notice, the successor shall become a Lender with the same Commitment and Contribution as were held by the predecessor Lender.</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Effect of Transfer Certificate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Transfer Certificate takes effect in accordance with English law as follows:</w:t>
      </w:r>
    </w:p>
    <w:p>
      <w:pPr>
        <w:spacing w:after="0" w:line="131" w:lineRule="exact"/>
        <w:rPr>
          <w:sz w:val="20"/>
          <w:szCs w:val="20"/>
          <w:color w:val="auto"/>
        </w:rPr>
      </w:pPr>
    </w:p>
    <w:p>
      <w:pPr>
        <w:jc w:val="both"/>
        <w:ind w:left="920" w:right="80" w:hanging="912"/>
        <w:spacing w:after="0" w:line="312" w:lineRule="auto"/>
        <w:tabs>
          <w:tab w:leader="none" w:pos="9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to the extent specified in the Transfer Certificate, all rights and interests (present, future or contingent) which the Transferor Lender has under or by virtue of the Finance Documents (other than a Master Agreement) are assigned to the Transferee Lender absolutely, free of any defects in the Transferor Lender’s title and of any rights or equities which the Borrowers or any Security Party had against the Transferor Lender;</w:t>
      </w:r>
    </w:p>
    <w:p>
      <w:pPr>
        <w:spacing w:after="0" w:line="52" w:lineRule="exact"/>
        <w:rPr>
          <w:rFonts w:ascii="Arial" w:cs="Arial" w:eastAsia="Arial" w:hAnsi="Arial"/>
          <w:sz w:val="16"/>
          <w:szCs w:val="16"/>
          <w:color w:val="auto"/>
        </w:rPr>
      </w:pPr>
    </w:p>
    <w:p>
      <w:pPr>
        <w:ind w:left="920" w:hanging="912"/>
        <w:spacing w:after="0"/>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920" w:right="540" w:hanging="912"/>
        <w:spacing w:after="0" w:line="277" w:lineRule="auto"/>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ind w:left="920" w:right="100" w:hanging="912"/>
        <w:spacing w:after="0" w:line="259" w:lineRule="auto"/>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(other than a Master Agreement) which are applicable to the Lenders generally, including those about pro-rata sharing and the exclusion of liability on the part of, and the indemnification of, the Facility Agent and the Security Trustee and, to the extent that the Transferee Lender becomes bound by those provisions (other than those relating to exclusion of liability), the Transferor Lender ceases to be bound by them;</w:t>
      </w:r>
    </w:p>
    <w:p>
      <w:pPr>
        <w:spacing w:after="0" w:line="92" w:lineRule="exact"/>
        <w:rPr>
          <w:rFonts w:ascii="Arial" w:cs="Arial" w:eastAsia="Arial" w:hAnsi="Arial"/>
          <w:sz w:val="18"/>
          <w:szCs w:val="18"/>
          <w:color w:val="auto"/>
        </w:rPr>
      </w:pPr>
    </w:p>
    <w:p>
      <w:pPr>
        <w:jc w:val="both"/>
        <w:ind w:left="920" w:right="60" w:hanging="912"/>
        <w:spacing w:after="0" w:line="264" w:lineRule="auto"/>
        <w:tabs>
          <w:tab w:leader="none" w:pos="9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the Borrowers or any Security Party against the Transferor Lender had not existed;</w:t>
      </w:r>
    </w:p>
    <w:p>
      <w:pPr>
        <w:spacing w:after="0" w:line="86" w:lineRule="exact"/>
        <w:rPr>
          <w:rFonts w:ascii="Arial" w:cs="Arial" w:eastAsia="Arial" w:hAnsi="Arial"/>
          <w:sz w:val="18"/>
          <w:szCs w:val="18"/>
          <w:color w:val="auto"/>
        </w:rPr>
      </w:pPr>
    </w:p>
    <w:p>
      <w:pPr>
        <w:ind w:left="920" w:right="200" w:hanging="912"/>
        <w:spacing w:after="0" w:line="312" w:lineRule="auto"/>
        <w:tabs>
          <w:tab w:leader="none" w:pos="9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Transferee Lender becomes entitled to all the rights under the Finance Documents (other than a Master Agreement)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260" w:name="page261"/>
    <w:bookmarkEnd w:id="260"/>
    <w:p>
      <w:pPr>
        <w:jc w:val="both"/>
        <w:ind w:left="920" w:right="140" w:hanging="912"/>
        <w:spacing w:after="0" w:line="259" w:lineRule="auto"/>
        <w:tabs>
          <w:tab w:leader="none" w:pos="9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any breach of a warranty, undertaking, condition or other provision of a Finance Document or any misrepresentation made in or in connection with a Finance Document (other than a Master Agreement),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78" w:lineRule="exact"/>
        <w:rPr>
          <w:rFonts w:ascii="Arial" w:cs="Arial" w:eastAsia="Arial" w:hAnsi="Arial"/>
          <w:sz w:val="18"/>
          <w:szCs w:val="18"/>
          <w:color w:val="auto"/>
        </w:rPr>
      </w:pPr>
    </w:p>
    <w:p>
      <w:pPr>
        <w:ind w:left="920" w:right="100"/>
        <w:spacing w:after="0" w:line="277" w:lineRule="auto"/>
        <w:rPr>
          <w:rFonts w:ascii="Arial" w:cs="Arial" w:eastAsia="Arial" w:hAnsi="Arial"/>
          <w:sz w:val="18"/>
          <w:szCs w:val="18"/>
          <w:color w:val="auto"/>
        </w:rPr>
      </w:pPr>
      <w:r>
        <w:rPr>
          <w:rFonts w:ascii="Arial" w:cs="Arial" w:eastAsia="Arial" w:hAnsi="Arial"/>
          <w:sz w:val="18"/>
          <w:szCs w:val="18"/>
          <w:color w:val="auto"/>
        </w:rPr>
        <w:t>The rights and equities of the Borrowers or any Security Party referred to above include, but are not limited to, any right of set off and any other kind of cross-claim.</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Maintenance of register of Lenders</w:t>
      </w:r>
    </w:p>
    <w:p>
      <w:pPr>
        <w:spacing w:after="0" w:line="121" w:lineRule="exact"/>
        <w:rPr>
          <w:sz w:val="20"/>
          <w:szCs w:val="20"/>
          <w:color w:val="auto"/>
        </w:rPr>
      </w:pPr>
    </w:p>
    <w:p>
      <w:pPr>
        <w:ind w:left="920" w:right="340"/>
        <w:spacing w:after="0" w:line="257" w:lineRule="auto"/>
        <w:rPr>
          <w:sz w:val="20"/>
          <w:szCs w:val="20"/>
          <w:color w:val="auto"/>
        </w:rPr>
      </w:pPr>
      <w:r>
        <w:rPr>
          <w:rFonts w:ascii="Arial" w:cs="Arial" w:eastAsia="Arial" w:hAnsi="Arial"/>
          <w:sz w:val="18"/>
          <w:szCs w:val="18"/>
          <w:color w:val="auto"/>
        </w:rPr>
        <w:t>During the Security Period, the Facility Agent shall maintain a register in which it shall record the name, Commitment, Contribution and administrative details (including the lending office) from time to time of each Lender holding a Transfer Certificate and the effective date (in accordance with Clause 26.4 or, as the case may be, Clause 2.5) of the Transfer Certificate; and the Facility Agent shall make the register available for inspection by any Lender, the Security Trustee and the Borrowers during normal banking hours, subject to receiving at least 3 Business Days prior notice.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5"/>
          <w:szCs w:val="15"/>
          <w:b w:val="1"/>
          <w:bCs w:val="1"/>
          <w:color w:val="auto"/>
        </w:rPr>
        <w:t>Reliance on register of Lenders</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The entries on that register shall, in the absence of manifest error, be conclusive in determining the identities of the Lenders and the amounts of their Commitments and Contributions and the effective dates of Transfer Certificates and may be relied upon by the Facility Agent and the other parties to the Finance Documents for all purposes relating to the Finance Documents.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b w:val="1"/>
          <w:bCs w:val="1"/>
          <w:color w:val="auto"/>
        </w:rPr>
        <w:t>Authorisation of Facility Agent and conditions to sign Transfer Certificates</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Borrowers, the Security Trustee, each Lender and the Swap Bank irrevocably authorises the Facility Agent to sign Transfer Certificates on its behalf. The Borrowers and each Security Party irrevocably agree to the transfer procedures set out in this Clause 26 and to the extent the cooperation of the Borrowers and/or any Security Party shall be required to effect any such transfer, the Borrowers and such Security Party shall take all necessary steps to afford such cooperation.</w:t>
      </w:r>
    </w:p>
    <w:p>
      <w:pPr>
        <w:spacing w:after="0" w:line="7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Facility Agent shall only be obliged to execute a Transfer Certificate as soon as it is satisfied that all “know your customer” requirements are complied with under all applicable laws and regulations in connection with the Transferee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26.11</w:t>
      </w:r>
      <w:r>
        <w:rPr>
          <w:sz w:val="20"/>
          <w:szCs w:val="20"/>
          <w:color w:val="auto"/>
        </w:rPr>
        <w:tab/>
      </w:r>
      <w:r>
        <w:rPr>
          <w:rFonts w:ascii="Arial" w:cs="Arial" w:eastAsia="Arial" w:hAnsi="Arial"/>
          <w:sz w:val="15"/>
          <w:szCs w:val="15"/>
          <w:b w:val="1"/>
          <w:bCs w:val="1"/>
          <w:color w:val="auto"/>
        </w:rPr>
        <w:t>Registration fee</w:t>
      </w:r>
    </w:p>
    <w:p>
      <w:pPr>
        <w:spacing w:after="0" w:line="121"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In respect of any Transfer Certificate, the Facility Agent shall be entitled to recover a registration fee of $2,500 from the Transferor Lender or (at the Facility Agent’s option) the Transferee Lender.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26.12</w:t>
      </w:r>
      <w:r>
        <w:rPr>
          <w:sz w:val="20"/>
          <w:szCs w:val="20"/>
          <w:color w:val="auto"/>
        </w:rPr>
        <w:tab/>
      </w:r>
      <w:r>
        <w:rPr>
          <w:rFonts w:ascii="Arial" w:cs="Arial" w:eastAsia="Arial" w:hAnsi="Arial"/>
          <w:sz w:val="16"/>
          <w:szCs w:val="16"/>
          <w:b w:val="1"/>
          <w:bCs w:val="1"/>
          <w:color w:val="auto"/>
        </w:rPr>
        <w:t>Sub-participation; subrogation assignment</w:t>
      </w:r>
    </w:p>
    <w:p>
      <w:pPr>
        <w:spacing w:after="0" w:line="121" w:lineRule="exact"/>
        <w:rPr>
          <w:sz w:val="20"/>
          <w:szCs w:val="20"/>
          <w:color w:val="auto"/>
        </w:rPr>
      </w:pPr>
    </w:p>
    <w:p>
      <w:pPr>
        <w:ind w:left="920" w:right="120"/>
        <w:spacing w:after="0" w:line="279" w:lineRule="auto"/>
        <w:rPr>
          <w:sz w:val="20"/>
          <w:szCs w:val="20"/>
          <w:color w:val="auto"/>
        </w:rPr>
      </w:pPr>
      <w:r>
        <w:rPr>
          <w:rFonts w:ascii="Arial" w:cs="Arial" w:eastAsia="Arial" w:hAnsi="Arial"/>
          <w:sz w:val="17"/>
          <w:szCs w:val="17"/>
          <w:color w:val="auto"/>
        </w:rPr>
        <w:t>A Lender may sub-participate all or any part of its rights and/or obligations under or in connection with the Finance Documents (other than a Master Agreement) without the consent of, or any notice to, the Borrowers, any Security Party, the Facility Agent or the Security Trustee or any other Creditor Party; and the Lenders may assign, in any manner and terms agreed by the Majority Lenders, the Facility Agent and the Security Trustee, all or any part of those rights to an insurer or surety who has become subrogated to them.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261" w:name="page262"/>
    <w:bookmarkEnd w:id="26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26.13</w:t>
      </w:r>
      <w:r>
        <w:rPr>
          <w:sz w:val="20"/>
          <w:szCs w:val="20"/>
          <w:color w:val="auto"/>
        </w:rPr>
        <w:tab/>
      </w:r>
      <w:r>
        <w:rPr>
          <w:rFonts w:ascii="Arial" w:cs="Arial" w:eastAsia="Arial" w:hAnsi="Arial"/>
          <w:sz w:val="16"/>
          <w:szCs w:val="16"/>
          <w:b w:val="1"/>
          <w:bCs w:val="1"/>
          <w:color w:val="auto"/>
        </w:rPr>
        <w:t>Disclosure of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Lender may, without the prior consent of the Borrowers or any Security Party, disclose to:</w:t>
      </w:r>
    </w:p>
    <w:p>
      <w:pPr>
        <w:spacing w:after="0" w:line="131" w:lineRule="exact"/>
        <w:rPr>
          <w:sz w:val="20"/>
          <w:szCs w:val="20"/>
          <w:color w:val="auto"/>
        </w:rPr>
      </w:pPr>
    </w:p>
    <w:p>
      <w:pPr>
        <w:ind w:left="920" w:hanging="912"/>
        <w:spacing w:after="0"/>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potential Transferee Lender or sub participant as well as, where relevant, to rating agencies, trustees and accountants;</w:t>
      </w:r>
    </w:p>
    <w:p>
      <w:pPr>
        <w:spacing w:after="0" w:line="130" w:lineRule="exact"/>
        <w:rPr>
          <w:rFonts w:ascii="Arial" w:cs="Arial" w:eastAsia="Arial" w:hAnsi="Arial"/>
          <w:sz w:val="18"/>
          <w:szCs w:val="18"/>
          <w:color w:val="auto"/>
        </w:rPr>
      </w:pPr>
    </w:p>
    <w:p>
      <w:pPr>
        <w:jc w:val="both"/>
        <w:ind w:left="920" w:right="240" w:hanging="912"/>
        <w:spacing w:after="0" w:line="342" w:lineRule="auto"/>
        <w:tabs>
          <w:tab w:leader="none" w:pos="9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29" w:lineRule="exact"/>
        <w:rPr>
          <w:rFonts w:ascii="Arial" w:cs="Arial" w:eastAsia="Arial" w:hAnsi="Arial"/>
          <w:sz w:val="16"/>
          <w:szCs w:val="16"/>
          <w:color w:val="auto"/>
        </w:rPr>
      </w:pPr>
    </w:p>
    <w:p>
      <w:pPr>
        <w:ind w:left="920" w:right="300" w:hanging="912"/>
        <w:spacing w:after="0" w:line="277" w:lineRule="auto"/>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to whom or for whose benefit that Lender charges, assigns or otherwise creates a Security Interest (or may do so) pursuant to Clause 26.16,</w:t>
      </w:r>
    </w:p>
    <w:p>
      <w:pPr>
        <w:spacing w:after="0" w:line="140" w:lineRule="exact"/>
        <w:rPr>
          <w:rFonts w:ascii="Arial" w:cs="Arial" w:eastAsia="Arial" w:hAnsi="Arial"/>
          <w:sz w:val="16"/>
          <w:szCs w:val="16"/>
          <w:color w:val="auto"/>
        </w:rPr>
      </w:pPr>
    </w:p>
    <w:p>
      <w:pPr>
        <w:ind w:left="920" w:right="220"/>
        <w:spacing w:after="0" w:line="255" w:lineRule="auto"/>
        <w:rPr>
          <w:rFonts w:ascii="Arial" w:cs="Arial" w:eastAsia="Arial" w:hAnsi="Arial"/>
          <w:sz w:val="16"/>
          <w:szCs w:val="16"/>
          <w:color w:val="auto"/>
        </w:rPr>
      </w:pPr>
      <w:r>
        <w:rPr>
          <w:rFonts w:ascii="Arial" w:cs="Arial" w:eastAsia="Arial" w:hAnsi="Arial"/>
          <w:sz w:val="18"/>
          <w:szCs w:val="18"/>
          <w:color w:val="auto"/>
        </w:rPr>
        <w:t>any financial or other information which that Lender has received in relation to the Loan, the Borrowers, any Security Party or their affairs and collateral or security provided under or in connection with any Finance Document, their financial circumstances and any other information whatsoever, as that Lender may deem reasonably necessary or appropriate in connection with the potential syndication, the assessment of the credit risk and the ongoing monitoring of the Loan by any potential Transferee Lender and that Lender shall be released from its obligation of secrecy and from banking confidentiality. The Lender concerned and the Borrowers shall require that any such potential Transferee Lender, sub-participant, rating agency, trustee or accountant signs a confidentiality agreement. The Borrowers shall, and shall procure that any other Security Party shall:</w:t>
      </w:r>
    </w:p>
    <w:p>
      <w:pPr>
        <w:spacing w:after="0" w:line="94" w:lineRule="exact"/>
        <w:rPr>
          <w:rFonts w:ascii="Arial" w:cs="Arial" w:eastAsia="Arial" w:hAnsi="Arial"/>
          <w:sz w:val="16"/>
          <w:szCs w:val="16"/>
          <w:color w:val="auto"/>
        </w:rPr>
      </w:pPr>
    </w:p>
    <w:p>
      <w:pPr>
        <w:ind w:left="1700" w:right="340" w:hanging="787"/>
        <w:spacing w:after="0" w:line="277" w:lineRule="auto"/>
        <w:tabs>
          <w:tab w:leader="none" w:pos="17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provide the Creditor Parties (or any of them) with all information deemed, reasonably, necessary by the Creditor Parties (or any of them) for the purposes of any transfer or sub-participation to be effected pursuant to this Clause 26;</w:t>
      </w:r>
    </w:p>
    <w:p>
      <w:pPr>
        <w:spacing w:after="0" w:line="75" w:lineRule="exact"/>
        <w:rPr>
          <w:rFonts w:ascii="Arial" w:cs="Arial" w:eastAsia="Arial" w:hAnsi="Arial"/>
          <w:sz w:val="18"/>
          <w:szCs w:val="18"/>
          <w:color w:val="auto"/>
        </w:rPr>
      </w:pPr>
    </w:p>
    <w:p>
      <w:pPr>
        <w:ind w:left="1700" w:right="20" w:hanging="787"/>
        <w:spacing w:after="0" w:line="264" w:lineRule="auto"/>
        <w:tabs>
          <w:tab w:leader="none" w:pos="17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procure that the directors and offices of the Borrowers or any Security Party are available to participate in any meeting with any Transferee Lender or any rating agency at such times and places as the Creditor Parties may reasonably request on notice (to be served on the Borrowers reasonably in advance) to the Borrowers or that Security Party; and</w:t>
      </w:r>
    </w:p>
    <w:p>
      <w:pPr>
        <w:spacing w:after="0" w:line="86"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permit any Transferee Lender to board any Ship at all reasonable times to inspect its condition with reasonable notice to the Borrowers (after taking into consideration the relevant Ship’s schedule).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5"/>
          <w:szCs w:val="15"/>
          <w:b w:val="1"/>
          <w:bCs w:val="1"/>
          <w:color w:val="auto"/>
        </w:rPr>
        <w:t>Change of lending office</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 Lender may change its lending office by giving notice to the Facility Agent and the change shall become effective on the later of:</w:t>
      </w:r>
    </w:p>
    <w:p>
      <w:pPr>
        <w:spacing w:after="0" w:line="131" w:lineRule="exact"/>
        <w:rPr>
          <w:sz w:val="20"/>
          <w:szCs w:val="20"/>
          <w:color w:val="auto"/>
        </w:rPr>
      </w:pPr>
    </w:p>
    <w:p>
      <w:pPr>
        <w:ind w:left="920" w:hanging="912"/>
        <w:spacing w:after="0"/>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date on which the Facility Agent receives the notice;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26.15</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ind w:left="920" w:right="220"/>
        <w:spacing w:after="0" w:line="308" w:lineRule="auto"/>
        <w:rPr>
          <w:sz w:val="20"/>
          <w:szCs w:val="20"/>
          <w:color w:val="auto"/>
        </w:rPr>
      </w:pPr>
      <w:r>
        <w:rPr>
          <w:rFonts w:ascii="Arial" w:cs="Arial" w:eastAsia="Arial" w:hAnsi="Arial"/>
          <w:sz w:val="17"/>
          <w:szCs w:val="17"/>
          <w:color w:val="auto"/>
        </w:rPr>
        <w:t>On receiving such a notice, the Facility Agent shall notify the Borrowers and the Security Trustee; and, until the Facility Agent receives such a notice, it shall be entitled to assume that a Lender is acting through the lending office of which the Facility Agent last had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0" w:right="239" w:bottom="1440" w:gutter="0" w:footer="0" w:header="0"/>
        </w:sectPr>
      </w:pPr>
    </w:p>
    <w:bookmarkStart w:id="262" w:name="page263"/>
    <w:bookmarkEnd w:id="26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26.16</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In addition to the other rights provided to Lenders under this Clause 26, each Lender may without consulting with or obtaining consent from the Borrowers or any Security Party at any time charge, assign or otherwise create a Security Interest in or over (whether by way of collateral or otherwise) all or any of its rights under any Finance Document (other than a Master Agreement) to secure obligations of that Lender including, without limitation:</w:t>
      </w:r>
    </w:p>
    <w:p>
      <w:pPr>
        <w:spacing w:after="0" w:line="92" w:lineRule="exact"/>
        <w:rPr>
          <w:sz w:val="20"/>
          <w:szCs w:val="20"/>
          <w:color w:val="auto"/>
        </w:rPr>
      </w:pPr>
    </w:p>
    <w:p>
      <w:pPr>
        <w:ind w:left="920" w:hanging="912"/>
        <w:spacing w:after="0"/>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30" w:lineRule="exact"/>
        <w:rPr>
          <w:rFonts w:ascii="Arial" w:cs="Arial" w:eastAsia="Arial" w:hAnsi="Arial"/>
          <w:sz w:val="18"/>
          <w:szCs w:val="18"/>
          <w:color w:val="auto"/>
        </w:rPr>
      </w:pPr>
    </w:p>
    <w:p>
      <w:pPr>
        <w:ind w:left="920" w:right="180" w:hanging="912"/>
        <w:spacing w:after="0" w:line="277" w:lineRule="auto"/>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130" w:lineRule="exact"/>
        <w:rPr>
          <w:rFonts w:ascii="Arial" w:cs="Arial" w:eastAsia="Arial" w:hAnsi="Arial"/>
          <w:sz w:val="18"/>
          <w:szCs w:val="18"/>
          <w:color w:val="auto"/>
        </w:rPr>
      </w:pPr>
    </w:p>
    <w:p>
      <w:pPr>
        <w:ind w:left="1700" w:right="680" w:hanging="787"/>
        <w:spacing w:after="0" w:line="277" w:lineRule="auto"/>
        <w:tabs>
          <w:tab w:leader="none" w:pos="17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75" w:lineRule="exact"/>
        <w:rPr>
          <w:rFonts w:ascii="Arial" w:cs="Arial" w:eastAsia="Arial" w:hAnsi="Arial"/>
          <w:sz w:val="18"/>
          <w:szCs w:val="18"/>
          <w:color w:val="auto"/>
        </w:rPr>
      </w:pPr>
    </w:p>
    <w:p>
      <w:pPr>
        <w:ind w:left="1700" w:right="360" w:hanging="787"/>
        <w:spacing w:after="0" w:line="277" w:lineRule="auto"/>
        <w:tabs>
          <w:tab w:leader="none" w:pos="17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require any payments to be made by a Borrower or any Security Party or grant to any person any more extensive rights than those required to be made or granted to the relevant Lender under the Finance Documents.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26.17</w:t>
      </w:r>
      <w:r>
        <w:rPr>
          <w:sz w:val="20"/>
          <w:szCs w:val="20"/>
          <w:color w:val="auto"/>
        </w:rPr>
        <w:tab/>
      </w:r>
      <w:r>
        <w:rPr>
          <w:rFonts w:ascii="Arial" w:cs="Arial" w:eastAsia="Arial" w:hAnsi="Arial"/>
          <w:sz w:val="16"/>
          <w:szCs w:val="16"/>
          <w:b w:val="1"/>
          <w:bCs w:val="1"/>
          <w:color w:val="auto"/>
        </w:rPr>
        <w:t>Replacement of Reference Bank</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If the Reference Bank ceases to be a Lender or is unable on a continuing basis to supply quotations for the purposes of Clause 5 then, unless the Borrowers, the Facility Agent and the Majority Lenders otherwise agree, the Facility Agent, acting on the instructions of the Majority Lenders, and after consulting the Borrower, shall appoint another bank (whether or not a Lender) to be a replacement Reference Bank; and, when that appointment comes into effect, the first-mentioned Reference Bank’s appointment shall cease to be effective.</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26.18</w:t>
      </w:r>
      <w:r>
        <w:rPr>
          <w:sz w:val="20"/>
          <w:szCs w:val="20"/>
          <w:color w:val="auto"/>
        </w:rPr>
        <w:tab/>
      </w:r>
      <w:r>
        <w:rPr>
          <w:rFonts w:ascii="Arial" w:cs="Arial" w:eastAsia="Arial" w:hAnsi="Arial"/>
          <w:sz w:val="16"/>
          <w:szCs w:val="16"/>
          <w:b w:val="1"/>
          <w:bCs w:val="1"/>
          <w:color w:val="auto"/>
        </w:rPr>
        <w:t>Replacement of a Defaulting Lender</w:t>
      </w:r>
    </w:p>
    <w:p>
      <w:pPr>
        <w:spacing w:after="0" w:line="135" w:lineRule="exact"/>
        <w:rPr>
          <w:sz w:val="20"/>
          <w:szCs w:val="20"/>
          <w:color w:val="auto"/>
        </w:rPr>
      </w:pPr>
    </w:p>
    <w:p>
      <w:pPr>
        <w:ind w:left="920" w:hanging="912"/>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any Lender becomes a Defaulting Lender; or</w:t>
      </w:r>
    </w:p>
    <w:p>
      <w:pPr>
        <w:spacing w:after="0" w:line="130" w:lineRule="exact"/>
        <w:rPr>
          <w:rFonts w:ascii="Arial" w:cs="Arial" w:eastAsia="Arial" w:hAnsi="Arial"/>
          <w:sz w:val="18"/>
          <w:szCs w:val="18"/>
          <w:color w:val="auto"/>
        </w:rPr>
      </w:pPr>
    </w:p>
    <w:p>
      <w:pPr>
        <w:ind w:left="1700" w:right="60" w:hanging="787"/>
        <w:spacing w:after="0" w:line="264" w:lineRule="auto"/>
        <w:tabs>
          <w:tab w:leader="none" w:pos="17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a Borrower becomes obliged to repay any amount in accordance with Clause 23 (</w:t>
      </w:r>
      <w:r>
        <w:rPr>
          <w:rFonts w:ascii="Arial" w:cs="Arial" w:eastAsia="Arial" w:hAnsi="Arial"/>
          <w:sz w:val="18"/>
          <w:szCs w:val="18"/>
          <w:i w:val="1"/>
          <w:iCs w:val="1"/>
          <w:color w:val="auto"/>
        </w:rPr>
        <w:t>Illegality</w:t>
      </w:r>
      <w:r>
        <w:rPr>
          <w:rFonts w:ascii="Arial" w:cs="Arial" w:eastAsia="Arial" w:hAnsi="Arial"/>
          <w:sz w:val="18"/>
          <w:szCs w:val="18"/>
          <w:color w:val="auto"/>
        </w:rPr>
        <w:t>) or to pay any additional amounts pursuant to Clause 24 (</w:t>
      </w:r>
      <w:r>
        <w:rPr>
          <w:rFonts w:ascii="Arial" w:cs="Arial" w:eastAsia="Arial" w:hAnsi="Arial"/>
          <w:sz w:val="18"/>
          <w:szCs w:val="18"/>
          <w:i w:val="1"/>
          <w:iCs w:val="1"/>
          <w:color w:val="auto"/>
        </w:rPr>
        <w:t>Increased Costs</w:t>
      </w:r>
      <w:r>
        <w:rPr>
          <w:rFonts w:ascii="Arial" w:cs="Arial" w:eastAsia="Arial" w:hAnsi="Arial"/>
          <w:sz w:val="18"/>
          <w:szCs w:val="18"/>
          <w:color w:val="auto"/>
        </w:rPr>
        <w:t>), Clause 22.2 (</w:t>
      </w:r>
      <w:r>
        <w:rPr>
          <w:rFonts w:ascii="Arial" w:cs="Arial" w:eastAsia="Arial" w:hAnsi="Arial"/>
          <w:sz w:val="18"/>
          <w:szCs w:val="18"/>
          <w:i w:val="1"/>
          <w:iCs w:val="1"/>
          <w:color w:val="auto"/>
        </w:rPr>
        <w:t>Grossing-up for taxes</w:t>
      </w:r>
      <w:r>
        <w:rPr>
          <w:rFonts w:ascii="Arial" w:cs="Arial" w:eastAsia="Arial" w:hAnsi="Arial"/>
          <w:sz w:val="18"/>
          <w:szCs w:val="18"/>
          <w:color w:val="auto"/>
        </w:rPr>
        <w:t>) or Clause 22.3 (</w:t>
      </w:r>
      <w:r>
        <w:rPr>
          <w:rFonts w:ascii="Arial" w:cs="Arial" w:eastAsia="Arial" w:hAnsi="Arial"/>
          <w:sz w:val="18"/>
          <w:szCs w:val="18"/>
          <w:i w:val="1"/>
          <w:iCs w:val="1"/>
          <w:color w:val="auto"/>
        </w:rPr>
        <w:t>Indemnity and evidence of payment of taxes</w:t>
      </w:r>
      <w:r>
        <w:rPr>
          <w:rFonts w:ascii="Arial" w:cs="Arial" w:eastAsia="Arial" w:hAnsi="Arial"/>
          <w:sz w:val="18"/>
          <w:szCs w:val="18"/>
          <w:color w:val="auto"/>
        </w:rPr>
        <w:t>) to any Lender,</w:t>
      </w:r>
    </w:p>
    <w:p>
      <w:pPr>
        <w:spacing w:after="0" w:line="73" w:lineRule="exact"/>
        <w:rPr>
          <w:rFonts w:ascii="Arial" w:cs="Arial" w:eastAsia="Arial" w:hAnsi="Arial"/>
          <w:sz w:val="18"/>
          <w:szCs w:val="18"/>
          <w:color w:val="auto"/>
        </w:rPr>
      </w:pPr>
    </w:p>
    <w:p>
      <w:pPr>
        <w:ind w:left="1720"/>
        <w:spacing w:after="0" w:line="271" w:lineRule="auto"/>
        <w:rPr>
          <w:rFonts w:ascii="Arial" w:cs="Arial" w:eastAsia="Arial" w:hAnsi="Arial"/>
          <w:sz w:val="18"/>
          <w:szCs w:val="18"/>
          <w:color w:val="auto"/>
        </w:rPr>
      </w:pPr>
      <w:r>
        <w:rPr>
          <w:rFonts w:ascii="Arial" w:cs="Arial" w:eastAsia="Arial" w:hAnsi="Arial"/>
          <w:sz w:val="17"/>
          <w:szCs w:val="17"/>
          <w:color w:val="auto"/>
        </w:rPr>
        <w:t>the Borrowers may , at any time a Lender has become and continues to be a Defaulting Lender, by giving 5 Business Days’ prior written notice to the Facility Agent and such Lender replace such Lender by requiring such Lender to (and, to the extent permitted by law, such Lender shall) transfer pursuant to this Clause 26 all (and not part only) of its rights and obligations under this Agreement to a Lender or other bank, financial institution, trust, fund or other entity (a “</w:t>
      </w:r>
      <w:r>
        <w:rPr>
          <w:rFonts w:ascii="Arial" w:cs="Arial" w:eastAsia="Arial" w:hAnsi="Arial"/>
          <w:sz w:val="17"/>
          <w:szCs w:val="17"/>
          <w:b w:val="1"/>
          <w:bCs w:val="1"/>
          <w:color w:val="auto"/>
        </w:rPr>
        <w:t>Replacement Lender</w:t>
      </w:r>
      <w:r>
        <w:rPr>
          <w:rFonts w:ascii="Arial" w:cs="Arial" w:eastAsia="Arial" w:hAnsi="Arial"/>
          <w:sz w:val="17"/>
          <w:szCs w:val="17"/>
          <w:color w:val="auto"/>
        </w:rPr>
        <w:t>”) selected by the Borrowers, and which confirms its willingness to assume and does assume all the obligations, or all the relevant obligations, of the transferring Lender in accordance with this Clause 26 for a purchase price in cash payable at the time of transfer which is in an amount equal to the outstanding principal amount of such Lender’s Contribution and all accrued interest, Break Costs and other amounts payable in relation thereto under the Finance Documents;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263" w:name="page264"/>
    <w:bookmarkEnd w:id="263"/>
    <w:p>
      <w:pPr>
        <w:ind w:left="920" w:hanging="912"/>
        <w:spacing w:after="0"/>
        <w:tabs>
          <w:tab w:leader="none" w:pos="9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replacement of a Defaulting Lender pursuant to this Clause 26.18 shall be subject to the following conditions: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Borrowers shall have no right to replace the Facility Agent or Security Trustee;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neither the Facility Agent nor the Defaulting Lender shall have any obligation to the Borrowers to find a Replacement Lender;</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transfer must take place no later than 7 Business Days after the notice referred to in paragraph (a) above;</w:t>
      </w:r>
    </w:p>
    <w:p>
      <w:pPr>
        <w:spacing w:after="0" w:line="130" w:lineRule="exact"/>
        <w:rPr>
          <w:rFonts w:ascii="Arial" w:cs="Arial" w:eastAsia="Arial" w:hAnsi="Arial"/>
          <w:sz w:val="18"/>
          <w:szCs w:val="18"/>
          <w:color w:val="auto"/>
        </w:rPr>
      </w:pPr>
    </w:p>
    <w:p>
      <w:pPr>
        <w:ind w:left="1700" w:right="240" w:hanging="787"/>
        <w:spacing w:after="0" w:line="277" w:lineRule="auto"/>
        <w:tabs>
          <w:tab w:leader="none" w:pos="17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such Replacement Lender any of the fees received by the Defaulting Lender pursuant to the Finance Documents; and</w:t>
      </w:r>
    </w:p>
    <w:p>
      <w:pPr>
        <w:spacing w:after="0" w:line="75" w:lineRule="exact"/>
        <w:rPr>
          <w:rFonts w:ascii="Arial" w:cs="Arial" w:eastAsia="Arial" w:hAnsi="Arial"/>
          <w:sz w:val="18"/>
          <w:szCs w:val="18"/>
          <w:color w:val="auto"/>
        </w:rPr>
      </w:pPr>
    </w:p>
    <w:p>
      <w:pPr>
        <w:ind w:left="1700" w:right="260" w:hanging="787"/>
        <w:spacing w:after="0" w:line="264" w:lineRule="auto"/>
        <w:tabs>
          <w:tab w:leader="none" w:pos="17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86" w:lineRule="exact"/>
        <w:rPr>
          <w:rFonts w:ascii="Arial" w:cs="Arial" w:eastAsia="Arial" w:hAnsi="Arial"/>
          <w:sz w:val="18"/>
          <w:szCs w:val="18"/>
          <w:color w:val="auto"/>
        </w:rPr>
      </w:pPr>
    </w:p>
    <w:p>
      <w:pPr>
        <w:ind w:left="920" w:right="40" w:hanging="912"/>
        <w:spacing w:after="0" w:line="264" w:lineRule="auto"/>
        <w:tabs>
          <w:tab w:leader="none" w:pos="9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Defaulting Lender shall perform the checks described in paragraph (b)(v) above as soon as reasonably practicable following delivery of a notice referred to in paragraph (a) above and shall notify the Facility Agent and the Borrowers when it is satisfied that it has complied with those checks.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26.19</w:t>
      </w:r>
      <w:r>
        <w:rPr>
          <w:sz w:val="20"/>
          <w:szCs w:val="20"/>
          <w:color w:val="auto"/>
        </w:rPr>
        <w:tab/>
      </w:r>
      <w:r>
        <w:rPr>
          <w:rFonts w:ascii="Arial" w:cs="Arial" w:eastAsia="Arial" w:hAnsi="Arial"/>
          <w:sz w:val="16"/>
          <w:szCs w:val="16"/>
          <w:b w:val="1"/>
          <w:bCs w:val="1"/>
          <w:color w:val="auto"/>
        </w:rPr>
        <w:t>Excluded Commitments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20" w:right="200" w:hanging="912"/>
        <w:spacing w:after="0" w:line="277" w:lineRule="auto"/>
        <w:tabs>
          <w:tab w:leader="none" w:pos="9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Defaulting Lender fails to respond to a request for a consent, waiver, amendment of or in relation to any term of any Finance Document or any other vote of Lenders under the terms of this Agreement within 10 Business Days of that request being made;</w:t>
      </w:r>
    </w:p>
    <w:p>
      <w:pPr>
        <w:spacing w:after="0" w:line="75" w:lineRule="exact"/>
        <w:rPr>
          <w:rFonts w:ascii="Arial" w:cs="Arial" w:eastAsia="Arial" w:hAnsi="Arial"/>
          <w:sz w:val="18"/>
          <w:szCs w:val="18"/>
          <w:color w:val="auto"/>
        </w:rPr>
      </w:pPr>
    </w:p>
    <w:p>
      <w:pPr>
        <w:ind w:left="920" w:right="360" w:hanging="912"/>
        <w:spacing w:after="0" w:line="342" w:lineRule="auto"/>
        <w:tabs>
          <w:tab w:leader="none" w:pos="92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or any Lender which is not a Defaulting Lender fails to respond to such a request (other than an amendment, waiver or consent referred to in paragraphs (i), (ii) and (iii) of Clause 27.2 (Exceptions) or such a vote within 10 Business Days of that request being made</w:t>
      </w:r>
    </w:p>
    <w:p>
      <w:pPr>
        <w:spacing w:after="0" w:line="1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(unless in either case the Borrowers and the Facility Agent agree to a longer time period in relation to any request):</w:t>
      </w:r>
    </w:p>
    <w:p>
      <w:pPr>
        <w:spacing w:after="0" w:line="130" w:lineRule="exact"/>
        <w:rPr>
          <w:rFonts w:ascii="Arial" w:cs="Arial" w:eastAsia="Arial" w:hAnsi="Arial"/>
          <w:sz w:val="16"/>
          <w:szCs w:val="16"/>
          <w:color w:val="auto"/>
        </w:rPr>
      </w:pPr>
    </w:p>
    <w:p>
      <w:pPr>
        <w:ind w:left="1700" w:right="500" w:hanging="787"/>
        <w:spacing w:after="0" w:line="264" w:lineRule="auto"/>
        <w:tabs>
          <w:tab w:leader="none" w:pos="1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its Commitment shall not be included for the purpose of calculating the Total Commitments under the Loan when ascertaining whether any relevant percentage (including, for the avoidance of doubt, unanimity) of Total Commitments has been obtained to approve that request; and</w:t>
      </w:r>
    </w:p>
    <w:p>
      <w:pPr>
        <w:spacing w:after="0" w:line="86"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26.20</w:t>
      </w:r>
      <w:r>
        <w:rPr>
          <w:sz w:val="20"/>
          <w:szCs w:val="20"/>
          <w:color w:val="auto"/>
        </w:rPr>
        <w:tab/>
      </w:r>
      <w:r>
        <w:rPr>
          <w:rFonts w:ascii="Arial" w:cs="Arial" w:eastAsia="Arial" w:hAnsi="Arial"/>
          <w:sz w:val="16"/>
          <w:szCs w:val="16"/>
          <w:b w:val="1"/>
          <w:bCs w:val="1"/>
          <w:color w:val="auto"/>
        </w:rPr>
        <w:t>Disenfranchisement of Defaulting Lenders</w:t>
      </w:r>
    </w:p>
    <w:p>
      <w:pPr>
        <w:spacing w:after="0" w:line="135" w:lineRule="exact"/>
        <w:rPr>
          <w:sz w:val="20"/>
          <w:szCs w:val="20"/>
          <w:color w:val="auto"/>
        </w:rPr>
      </w:pPr>
    </w:p>
    <w:p>
      <w:pPr>
        <w:ind w:left="920" w:hanging="912"/>
        <w:spacing w:after="0"/>
        <w:tabs>
          <w:tab w:leader="none" w:pos="9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so long as a Defaulting Lender has any undrawn Commitment, in ascertaining:</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74" w:right="279" w:bottom="1440" w:gutter="0" w:footer="0" w:header="0"/>
        </w:sectPr>
      </w:pPr>
    </w:p>
    <w:bookmarkStart w:id="264" w:name="page265"/>
    <w:bookmarkEnd w:id="264"/>
    <w:p>
      <w:pPr>
        <w:ind w:left="1700" w:hanging="787"/>
        <w:spacing w:after="0"/>
        <w:tabs>
          <w:tab w:leader="none" w:pos="17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w:t>
      </w:r>
    </w:p>
    <w:p>
      <w:pPr>
        <w:spacing w:after="0" w:line="130" w:lineRule="exact"/>
        <w:rPr>
          <w:rFonts w:ascii="Arial" w:cs="Arial" w:eastAsia="Arial" w:hAnsi="Arial"/>
          <w:sz w:val="18"/>
          <w:szCs w:val="18"/>
          <w:color w:val="auto"/>
        </w:rPr>
      </w:pPr>
    </w:p>
    <w:p>
      <w:pPr>
        <w:ind w:left="2380" w:hanging="670"/>
        <w:spacing w:after="0"/>
        <w:tabs>
          <w:tab w:leader="none" w:pos="238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any given percentage (including, for the avoidance of doubt, unanimity) of the Total Commitments under the Loan; or</w:t>
      </w:r>
    </w:p>
    <w:p>
      <w:pPr>
        <w:spacing w:after="0" w:line="142" w:lineRule="exact"/>
        <w:rPr>
          <w:rFonts w:ascii="Arial" w:cs="Arial" w:eastAsia="Arial" w:hAnsi="Arial"/>
          <w:sz w:val="17"/>
          <w:szCs w:val="17"/>
          <w:color w:val="auto"/>
        </w:rPr>
      </w:pPr>
    </w:p>
    <w:p>
      <w:pPr>
        <w:ind w:left="2380" w:hanging="670"/>
        <w:spacing w:after="0"/>
        <w:tabs>
          <w:tab w:leader="none" w:pos="238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agreement of any specified group of Lenders,</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has been obtained to approve any request for a consent, waiver, amendment or other vote of Lenders under the Finance Documents,</w:t>
      </w:r>
    </w:p>
    <w:p>
      <w:pPr>
        <w:spacing w:after="0" w:line="140"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that Defaulting Lender’s Commitment under the Loan will be reduced by the amount of its undrawn Commitment under the Loan and, to the extent that that reduction results in that Defaulting Lender’s Commitment being zero, that Defaulting Lender shall be deemed not to be a Lender for the purposes of paragraphs (i) and (ii) above.</w:t>
      </w:r>
    </w:p>
    <w:p>
      <w:pPr>
        <w:spacing w:after="0" w:line="87" w:lineRule="exact"/>
        <w:rPr>
          <w:sz w:val="20"/>
          <w:szCs w:val="20"/>
          <w:color w:val="auto"/>
        </w:rPr>
      </w:pPr>
    </w:p>
    <w:p>
      <w:pPr>
        <w:ind w:left="920" w:hanging="912"/>
        <w:spacing w:after="0"/>
        <w:tabs>
          <w:tab w:leader="none" w:pos="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For the purposes of this Clause 26.20 the Facility Agent may assume that the following Lenders are Defaulting Lenders: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any Lender which has notified the Facility Agent that it has become a Defaulting Lender;</w:t>
      </w:r>
    </w:p>
    <w:p>
      <w:pPr>
        <w:spacing w:after="0" w:line="130" w:lineRule="exact"/>
        <w:rPr>
          <w:rFonts w:ascii="Arial" w:cs="Arial" w:eastAsia="Arial" w:hAnsi="Arial"/>
          <w:sz w:val="18"/>
          <w:szCs w:val="18"/>
          <w:color w:val="auto"/>
        </w:rPr>
      </w:pPr>
    </w:p>
    <w:p>
      <w:pPr>
        <w:ind w:left="1700" w:right="520" w:hanging="787"/>
        <w:spacing w:after="0" w:line="277" w:lineRule="auto"/>
        <w:tabs>
          <w:tab w:leader="none" w:pos="17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has occurred,</w:t>
      </w:r>
    </w:p>
    <w:p>
      <w:pPr>
        <w:spacing w:after="0" w:line="62" w:lineRule="exact"/>
        <w:rPr>
          <w:sz w:val="20"/>
          <w:szCs w:val="20"/>
          <w:color w:val="auto"/>
        </w:rPr>
      </w:pPr>
    </w:p>
    <w:p>
      <w:pPr>
        <w:ind w:left="920" w:right="440"/>
        <w:spacing w:after="0" w:line="308" w:lineRule="auto"/>
        <w:rPr>
          <w:sz w:val="20"/>
          <w:szCs w:val="20"/>
          <w:color w:val="auto"/>
        </w:rPr>
      </w:pPr>
      <w:r>
        <w:rPr>
          <w:rFonts w:ascii="Arial" w:cs="Arial" w:eastAsia="Arial" w:hAnsi="Arial"/>
          <w:sz w:val="17"/>
          <w:szCs w:val="17"/>
          <w:color w:val="auto"/>
        </w:rPr>
        <w:t>unless it has received notice to the contrary from the Lender concerned (together with any supporting evidence reasonably requested by the Facility Agent) or the Facility Agent is otherwise aware that the Lender has ceased to be a Defaulting Lender.</w:t>
      </w:r>
    </w:p>
    <w:p>
      <w:pPr>
        <w:spacing w:after="0" w:line="291" w:lineRule="exact"/>
        <w:rPr>
          <w:sz w:val="20"/>
          <w:szCs w:val="20"/>
          <w:color w:val="auto"/>
        </w:rPr>
      </w:pPr>
    </w:p>
    <w:p>
      <w:pPr>
        <w:ind w:left="920" w:hanging="912"/>
        <w:spacing w:after="0"/>
        <w:tabs>
          <w:tab w:leader="none" w:pos="92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 AND WAIVERS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27.1</w:t>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920" w:right="520" w:hanging="912"/>
        <w:spacing w:after="0" w:line="308" w:lineRule="auto"/>
        <w:tabs>
          <w:tab w:leader="none" w:pos="92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Subject to Clause 27.2 (Exceptions) any term of the Finance Documents may be amended or waived only with the consent of the Majority Lenders and the Borrowers and any such amendment or waiver will be binding on all Creditor Parties and the Borrowers.</w:t>
      </w:r>
    </w:p>
    <w:p>
      <w:pPr>
        <w:spacing w:after="0" w:line="51" w:lineRule="exact"/>
        <w:rPr>
          <w:rFonts w:ascii="Arial" w:cs="Arial" w:eastAsia="Arial" w:hAnsi="Arial"/>
          <w:sz w:val="17"/>
          <w:szCs w:val="17"/>
          <w:color w:val="auto"/>
        </w:rPr>
      </w:pPr>
    </w:p>
    <w:p>
      <w:pPr>
        <w:ind w:left="920" w:hanging="912"/>
        <w:spacing w:after="0"/>
        <w:tabs>
          <w:tab w:leader="none" w:pos="9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instructions given by the Majority Lenders will be binding on all the Creditor Parties.</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Facility Agent may effect, on behalf of any Creditor Party, any amendment or waiver permitted by this Clause.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920" w:right="40" w:hanging="912"/>
        <w:spacing w:after="0" w:line="277" w:lineRule="auto"/>
        <w:tabs>
          <w:tab w:leader="none" w:pos="9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However, Clause 27.1 applies as if the words “the Majority Lenders” were replaced therein by the words “all Lenders” as regards an amendment or waiver that has the effect of changing or which relates to:</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definition of “Majority Lenders” or “Finance Documents” in Clause 1.1 (Definitions);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700" w:hanging="787"/>
        <w:spacing w:after="0" w:line="277" w:lineRule="auto"/>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commission or other amount payable or the rate at which they are calculated under any of the Finance Documents;</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 increase in or an extension of any Lender’s Commitment;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74" w:right="279" w:bottom="1440" w:gutter="0" w:footer="0" w:header="0"/>
        </w:sectPr>
      </w:pPr>
    </w:p>
    <w:bookmarkStart w:id="265" w:name="page266"/>
    <w:bookmarkEnd w:id="265"/>
    <w:p>
      <w:pPr>
        <w:ind w:left="1700" w:right="340" w:hanging="787"/>
        <w:spacing w:after="0" w:line="277" w:lineRule="auto"/>
        <w:tabs>
          <w:tab w:leader="none" w:pos="17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3, Clause 8, Clause 11.5, 11.6, 11.7 and 11.21, Clause 15, Clause 16.4, Clause 17, Clause 22, Clause 23, Clause 26 or this Clause 27.2;</w:t>
      </w:r>
    </w:p>
    <w:p>
      <w:pPr>
        <w:spacing w:after="0" w:line="75" w:lineRule="exact"/>
        <w:rPr>
          <w:rFonts w:ascii="Arial" w:cs="Arial" w:eastAsia="Arial" w:hAnsi="Arial"/>
          <w:sz w:val="18"/>
          <w:szCs w:val="18"/>
          <w:color w:val="auto"/>
        </w:rPr>
      </w:pPr>
    </w:p>
    <w:p>
      <w:pPr>
        <w:ind w:left="1700" w:right="340" w:hanging="787"/>
        <w:spacing w:after="0" w:line="308" w:lineRule="auto"/>
        <w:tabs>
          <w:tab w:leader="none" w:pos="17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the nature, scope or release of any Security Interest, guarantee, indemnities or subordination arrangement created by any Finance Document or the manner in which the proceeds of enforcement of any Security Interest are distributed;</w:t>
      </w:r>
    </w:p>
    <w:p>
      <w:pPr>
        <w:spacing w:after="0" w:line="51" w:lineRule="exact"/>
        <w:rPr>
          <w:rFonts w:ascii="Arial" w:cs="Arial" w:eastAsia="Arial" w:hAnsi="Arial"/>
          <w:sz w:val="17"/>
          <w:szCs w:val="17"/>
          <w:color w:val="auto"/>
        </w:rPr>
      </w:pPr>
    </w:p>
    <w:p>
      <w:pPr>
        <w:ind w:left="1700" w:hanging="787"/>
        <w:spacing w:after="0"/>
        <w:tabs>
          <w:tab w:leader="none" w:pos="17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change to any Borrower or any Security Party;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any change of the currency in which the Loan is provided or any amount is payable under any of the Finance Documents; and</w:t>
      </w:r>
    </w:p>
    <w:p>
      <w:pPr>
        <w:spacing w:after="0" w:line="142" w:lineRule="exact"/>
        <w:rPr>
          <w:rFonts w:ascii="Arial" w:cs="Arial" w:eastAsia="Arial" w:hAnsi="Arial"/>
          <w:sz w:val="17"/>
          <w:szCs w:val="17"/>
          <w:color w:val="auto"/>
        </w:rPr>
      </w:pPr>
    </w:p>
    <w:p>
      <w:pPr>
        <w:ind w:left="1700" w:hanging="787"/>
        <w:spacing w:after="0"/>
        <w:tabs>
          <w:tab w:leader="none" w:pos="17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extend the Availability Period.</w:t>
      </w:r>
    </w:p>
    <w:p>
      <w:pPr>
        <w:spacing w:after="0" w:line="130" w:lineRule="exact"/>
        <w:rPr>
          <w:rFonts w:ascii="Arial" w:cs="Arial" w:eastAsia="Arial" w:hAnsi="Arial"/>
          <w:sz w:val="18"/>
          <w:szCs w:val="18"/>
          <w:color w:val="auto"/>
        </w:rPr>
      </w:pPr>
    </w:p>
    <w:p>
      <w:pPr>
        <w:ind w:left="920" w:hanging="912"/>
        <w:spacing w:after="0" w:line="277" w:lineRule="auto"/>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Facility Agent, the Arranger or the Security Trustee may not be effected without the consent of the Facility Agent, the Arranger or the Security Trustee, as the case may be.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Exclusion of other or implied variations</w:t>
      </w:r>
    </w:p>
    <w:p>
      <w:pPr>
        <w:spacing w:after="0" w:line="121"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Except for a document which satisfies the requirements of Clauses 27.1 and 27.2, no document, and no 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92" w:lineRule="exact"/>
        <w:rPr>
          <w:sz w:val="20"/>
          <w:szCs w:val="20"/>
          <w:color w:val="auto"/>
        </w:rPr>
      </w:pPr>
    </w:p>
    <w:p>
      <w:pPr>
        <w:ind w:left="920" w:hanging="912"/>
        <w:spacing w:after="0"/>
        <w:tabs>
          <w:tab w:leader="none" w:pos="9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 breach by a Borrower or a Security Party of an obligation under a Finance Document or the general law;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17" w:lineRule="exact"/>
        <w:rPr>
          <w:rFonts w:ascii="Arial" w:cs="Arial" w:eastAsia="Arial" w:hAnsi="Arial"/>
          <w:sz w:val="18"/>
          <w:szCs w:val="18"/>
          <w:color w:val="auto"/>
        </w:rPr>
      </w:pPr>
    </w:p>
    <w:p>
      <w:pPr>
        <w:ind w:left="920" w:right="260"/>
        <w:spacing w:after="0" w:line="277" w:lineRule="auto"/>
        <w:rPr>
          <w:rFonts w:ascii="Arial" w:cs="Arial" w:eastAsia="Arial" w:hAnsi="Arial"/>
          <w:sz w:val="18"/>
          <w:szCs w:val="18"/>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315" w:lineRule="exact"/>
        <w:rPr>
          <w:sz w:val="20"/>
          <w:szCs w:val="20"/>
          <w:color w:val="auto"/>
        </w:rPr>
      </w:pPr>
    </w:p>
    <w:p>
      <w:pPr>
        <w:ind w:left="920" w:hanging="912"/>
        <w:spacing w:after="0"/>
        <w:tabs>
          <w:tab w:leader="none" w:pos="92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w:t>
      </w:r>
      <w:r>
        <w:rPr>
          <w:rFonts w:ascii="Arial" w:cs="Arial" w:eastAsia="Arial" w:hAnsi="Arial"/>
          <w:sz w:val="16"/>
          <w:szCs w:val="16"/>
          <w:b w:val="1"/>
          <w:bCs w:val="1"/>
          <w:color w:val="auto"/>
        </w:rPr>
        <w:t>General</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Unless otherwise specifically provided, any notice under or in connection with any Finance Document shall be given by letter or fax; and references in the Finance Documents to written notices, notices in writing and notices signed by particular persons shall be construed accordingly.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274" w:right="31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28.2</w:t>
            </w: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w w:val="93"/>
              </w:rPr>
              <w:t>Addresses for communications</w:t>
            </w:r>
          </w:p>
        </w:tc>
        <w:tc>
          <w:tcPr>
            <w:tcW w:w="778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color w:val="auto"/>
              </w:rPr>
              <w:t>A notice shall be sent:</w:t>
            </w:r>
          </w:p>
        </w:tc>
        <w:tc>
          <w:tcPr>
            <w:tcW w:w="7780" w:type="dxa"/>
            <w:vAlign w:val="bottom"/>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2840" w:type="dxa"/>
            <w:vAlign w:val="bottom"/>
          </w:tcPr>
          <w:p>
            <w:pPr>
              <w:ind w:left="300"/>
              <w:spacing w:after="0"/>
              <w:rPr>
                <w:sz w:val="20"/>
                <w:szCs w:val="20"/>
                <w:color w:val="auto"/>
              </w:rPr>
            </w:pPr>
            <w:r>
              <w:rPr>
                <w:rFonts w:ascii="Arial" w:cs="Arial" w:eastAsia="Arial" w:hAnsi="Arial"/>
                <w:sz w:val="18"/>
                <w:szCs w:val="18"/>
                <w:color w:val="auto"/>
              </w:rPr>
              <w:t>to the Borrower:</w:t>
            </w:r>
          </w:p>
        </w:tc>
        <w:tc>
          <w:tcPr>
            <w:tcW w:w="7780" w:type="dxa"/>
            <w:vAlign w:val="bottom"/>
          </w:tcPr>
          <w:p>
            <w:pPr>
              <w:spacing w:after="0"/>
              <w:rPr>
                <w:sz w:val="24"/>
                <w:szCs w:val="24"/>
                <w:color w:val="auto"/>
              </w:rPr>
            </w:pPr>
          </w:p>
        </w:tc>
      </w:tr>
      <w:tr>
        <w:trPr>
          <w:trHeight w:val="445"/>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c/o Capital Ship Management Corp.</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3 Iassonos Street</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185 37 – Piraeus</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Greece</w:t>
            </w:r>
          </w:p>
        </w:tc>
      </w:tr>
      <w:tr>
        <w:trPr>
          <w:trHeight w:val="445"/>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Fax No: +30 210 4285 679</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for the attention of the Chief Financial Officer</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(b)</w:t>
            </w:r>
          </w:p>
        </w:tc>
        <w:tc>
          <w:tcPr>
            <w:tcW w:w="2840" w:type="dxa"/>
            <w:vAlign w:val="bottom"/>
          </w:tcPr>
          <w:p>
            <w:pPr>
              <w:ind w:left="320"/>
              <w:spacing w:after="0"/>
              <w:rPr>
                <w:sz w:val="20"/>
                <w:szCs w:val="20"/>
                <w:color w:val="auto"/>
              </w:rPr>
            </w:pPr>
            <w:r>
              <w:rPr>
                <w:rFonts w:ascii="Arial" w:cs="Arial" w:eastAsia="Arial" w:hAnsi="Arial"/>
                <w:sz w:val="18"/>
                <w:szCs w:val="18"/>
                <w:color w:val="auto"/>
              </w:rPr>
              <w:t>to a Lender:</w:t>
            </w:r>
          </w:p>
        </w:tc>
        <w:tc>
          <w:tcPr>
            <w:tcW w:w="7780" w:type="dxa"/>
            <w:vAlign w:val="bottom"/>
          </w:tcPr>
          <w:p>
            <w:pPr>
              <w:ind w:left="200"/>
              <w:spacing w:after="0"/>
              <w:rPr>
                <w:sz w:val="20"/>
                <w:szCs w:val="20"/>
                <w:color w:val="auto"/>
              </w:rPr>
            </w:pPr>
            <w:r>
              <w:rPr>
                <w:rFonts w:ascii="Arial" w:cs="Arial" w:eastAsia="Arial" w:hAnsi="Arial"/>
                <w:sz w:val="18"/>
                <w:szCs w:val="18"/>
                <w:color w:val="auto"/>
              </w:rPr>
              <w:t>at the address below its name in Schedule 1 or (as the case</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may require) in the relevant Transfer Certificate.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(c)</w:t>
            </w:r>
          </w:p>
        </w:tc>
        <w:tc>
          <w:tcPr>
            <w:tcW w:w="2840" w:type="dxa"/>
            <w:vAlign w:val="bottom"/>
          </w:tcPr>
          <w:p>
            <w:pPr>
              <w:ind w:left="320"/>
              <w:spacing w:after="0"/>
              <w:rPr>
                <w:sz w:val="20"/>
                <w:szCs w:val="20"/>
                <w:color w:val="auto"/>
              </w:rPr>
            </w:pPr>
            <w:r>
              <w:rPr>
                <w:rFonts w:ascii="Arial" w:cs="Arial" w:eastAsia="Arial" w:hAnsi="Arial"/>
                <w:sz w:val="18"/>
                <w:szCs w:val="18"/>
                <w:color w:val="auto"/>
              </w:rPr>
              <w:t>to the Swap Bank:</w:t>
            </w:r>
          </w:p>
        </w:tc>
        <w:tc>
          <w:tcPr>
            <w:tcW w:w="7780" w:type="dxa"/>
            <w:vAlign w:val="bottom"/>
          </w:tcPr>
          <w:p>
            <w:pPr>
              <w:ind w:left="200"/>
              <w:spacing w:after="0"/>
              <w:rPr>
                <w:sz w:val="20"/>
                <w:szCs w:val="20"/>
                <w:color w:val="auto"/>
              </w:rPr>
            </w:pPr>
            <w:r>
              <w:rPr>
                <w:rFonts w:ascii="Arial" w:cs="Arial" w:eastAsia="Arial" w:hAnsi="Arial"/>
                <w:sz w:val="18"/>
                <w:szCs w:val="18"/>
                <w:color w:val="auto"/>
              </w:rPr>
              <w:t>ING Bank N.V.</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Foppingadreef 7</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PO Box 1800, NL-1000 BV</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Amsterdam</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The Netherlands</w:t>
            </w:r>
          </w:p>
        </w:tc>
      </w:tr>
      <w:tr>
        <w:trPr>
          <w:trHeight w:val="432"/>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Fax No: +31 20 501 3381 and (additionally) +31 20 501 3161</w:t>
            </w:r>
          </w:p>
        </w:tc>
      </w:tr>
      <w:tr>
        <w:trPr>
          <w:trHeight w:val="418"/>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w w:val="96"/>
              </w:rPr>
              <w:t>Attn: Operations/Derivatives/TRC 00.13, Financial Markets/Operations/Forex/Money Markets TRC</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01.003 and Head of Legal Financial Markets</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(d)</w:t>
            </w:r>
          </w:p>
        </w:tc>
        <w:tc>
          <w:tcPr>
            <w:tcW w:w="2840" w:type="dxa"/>
            <w:vAlign w:val="bottom"/>
          </w:tcPr>
          <w:p>
            <w:pPr>
              <w:ind w:left="320"/>
              <w:spacing w:after="0"/>
              <w:rPr>
                <w:sz w:val="20"/>
                <w:szCs w:val="20"/>
                <w:color w:val="auto"/>
              </w:rPr>
            </w:pPr>
            <w:r>
              <w:rPr>
                <w:rFonts w:ascii="Arial" w:cs="Arial" w:eastAsia="Arial" w:hAnsi="Arial"/>
                <w:sz w:val="18"/>
                <w:szCs w:val="18"/>
                <w:color w:val="auto"/>
              </w:rPr>
              <w:t>to the Facility Agent</w:t>
            </w:r>
          </w:p>
        </w:tc>
        <w:tc>
          <w:tcPr>
            <w:tcW w:w="7780" w:type="dxa"/>
            <w:vAlign w:val="bottom"/>
          </w:tcPr>
          <w:p>
            <w:pPr>
              <w:ind w:left="200"/>
              <w:spacing w:after="0"/>
              <w:rPr>
                <w:sz w:val="20"/>
                <w:szCs w:val="20"/>
                <w:color w:val="auto"/>
              </w:rPr>
            </w:pPr>
            <w:r>
              <w:rPr>
                <w:rFonts w:ascii="Arial" w:cs="Arial" w:eastAsia="Arial" w:hAnsi="Arial"/>
                <w:sz w:val="18"/>
                <w:szCs w:val="18"/>
                <w:color w:val="auto"/>
              </w:rPr>
              <w:t>ING Bank N.V., London Branch</w:t>
            </w:r>
          </w:p>
        </w:tc>
      </w:tr>
      <w:tr>
        <w:trPr>
          <w:trHeight w:val="216"/>
        </w:trPr>
        <w:tc>
          <w:tcPr>
            <w:tcW w:w="620" w:type="dxa"/>
            <w:vAlign w:val="bottom"/>
          </w:tcPr>
          <w:p>
            <w:pPr>
              <w:spacing w:after="0"/>
              <w:rPr>
                <w:sz w:val="18"/>
                <w:szCs w:val="18"/>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and Security Trustee:</w:t>
            </w:r>
          </w:p>
        </w:tc>
        <w:tc>
          <w:tcPr>
            <w:tcW w:w="7780" w:type="dxa"/>
            <w:vAlign w:val="bottom"/>
          </w:tcPr>
          <w:p>
            <w:pPr>
              <w:ind w:left="200"/>
              <w:spacing w:after="0"/>
              <w:rPr>
                <w:sz w:val="20"/>
                <w:szCs w:val="20"/>
                <w:color w:val="auto"/>
              </w:rPr>
            </w:pPr>
            <w:r>
              <w:rPr>
                <w:rFonts w:ascii="Arial" w:cs="Arial" w:eastAsia="Arial" w:hAnsi="Arial"/>
                <w:sz w:val="18"/>
                <w:szCs w:val="18"/>
                <w:color w:val="auto"/>
              </w:rPr>
              <w:t>60 London Wall</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London EC2M 5TQ</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England</w:t>
            </w:r>
          </w:p>
        </w:tc>
      </w:tr>
      <w:tr>
        <w:trPr>
          <w:trHeight w:val="432"/>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Fax No: +44 207 767 7324</w:t>
            </w:r>
          </w:p>
        </w:tc>
      </w:tr>
      <w:tr>
        <w:trPr>
          <w:trHeight w:val="418"/>
        </w:trPr>
        <w:tc>
          <w:tcPr>
            <w:tcW w:w="620" w:type="dxa"/>
            <w:vAlign w:val="bottom"/>
          </w:tcPr>
          <w:p>
            <w:pPr>
              <w:spacing w:after="0"/>
              <w:rPr>
                <w:sz w:val="24"/>
                <w:szCs w:val="24"/>
                <w:color w:val="auto"/>
              </w:rPr>
            </w:pPr>
          </w:p>
        </w:tc>
        <w:tc>
          <w:tcPr>
            <w:tcW w:w="10620" w:type="dxa"/>
            <w:vAlign w:val="bottom"/>
            <w:gridSpan w:val="2"/>
          </w:tcPr>
          <w:p>
            <w:pPr>
              <w:ind w:left="300"/>
              <w:spacing w:after="0"/>
              <w:rPr>
                <w:sz w:val="20"/>
                <w:szCs w:val="20"/>
                <w:color w:val="auto"/>
              </w:rPr>
            </w:pPr>
            <w:r>
              <w:rPr>
                <w:rFonts w:ascii="Arial" w:cs="Arial" w:eastAsia="Arial" w:hAnsi="Arial"/>
                <w:sz w:val="18"/>
                <w:szCs w:val="18"/>
                <w:color w:val="auto"/>
                <w:w w:val="91"/>
              </w:rPr>
              <w:t>or to such other address as the relevant party may notify the Facility Agent or, if the relevant party is the Facility Agent or the Security Trustee,</w:t>
            </w:r>
          </w:p>
        </w:tc>
      </w:tr>
      <w:tr>
        <w:trPr>
          <w:trHeight w:val="230"/>
        </w:trPr>
        <w:tc>
          <w:tcPr>
            <w:tcW w:w="620" w:type="dxa"/>
            <w:vAlign w:val="bottom"/>
          </w:tcPr>
          <w:p>
            <w:pPr>
              <w:spacing w:after="0"/>
              <w:rPr>
                <w:sz w:val="20"/>
                <w:szCs w:val="20"/>
                <w:color w:val="auto"/>
              </w:rPr>
            </w:pPr>
          </w:p>
        </w:tc>
        <w:tc>
          <w:tcPr>
            <w:tcW w:w="10620" w:type="dxa"/>
            <w:vAlign w:val="bottom"/>
            <w:gridSpan w:val="2"/>
          </w:tcPr>
          <w:p>
            <w:pPr>
              <w:ind w:left="300"/>
              <w:spacing w:after="0"/>
              <w:rPr>
                <w:sz w:val="20"/>
                <w:szCs w:val="20"/>
                <w:color w:val="auto"/>
              </w:rPr>
            </w:pPr>
            <w:r>
              <w:rPr>
                <w:rFonts w:ascii="Arial" w:cs="Arial" w:eastAsia="Arial" w:hAnsi="Arial"/>
                <w:sz w:val="18"/>
                <w:szCs w:val="18"/>
                <w:color w:val="auto"/>
              </w:rPr>
              <w:t>the Borrowers, the Lenders and the Security Parties.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28.3</w:t>
            </w:r>
          </w:p>
        </w:tc>
        <w:tc>
          <w:tcPr>
            <w:tcW w:w="2700" w:type="dxa"/>
            <w:vAlign w:val="bottom"/>
          </w:tcPr>
          <w:p>
            <w:pPr>
              <w:ind w:left="300"/>
              <w:spacing w:after="0"/>
              <w:rPr>
                <w:sz w:val="20"/>
                <w:szCs w:val="20"/>
                <w:color w:val="auto"/>
              </w:rPr>
            </w:pPr>
            <w:r>
              <w:rPr>
                <w:rFonts w:ascii="Arial" w:cs="Arial" w:eastAsia="Arial" w:hAnsi="Arial"/>
                <w:sz w:val="18"/>
                <w:szCs w:val="18"/>
                <w:b w:val="1"/>
                <w:bCs w:val="1"/>
                <w:color w:val="auto"/>
              </w:rPr>
              <w:t>Effective date of notices</w:t>
            </w:r>
          </w:p>
        </w:tc>
      </w:tr>
      <w:tr>
        <w:trPr>
          <w:trHeight w:val="324"/>
        </w:trPr>
        <w:tc>
          <w:tcPr>
            <w:tcW w:w="620" w:type="dxa"/>
            <w:vAlign w:val="bottom"/>
          </w:tcPr>
          <w:p>
            <w:pPr>
              <w:spacing w:after="0"/>
              <w:rPr>
                <w:sz w:val="24"/>
                <w:szCs w:val="24"/>
                <w:color w:val="auto"/>
              </w:rPr>
            </w:pPr>
          </w:p>
        </w:tc>
        <w:tc>
          <w:tcPr>
            <w:tcW w:w="2700" w:type="dxa"/>
            <w:vAlign w:val="bottom"/>
          </w:tcPr>
          <w:p>
            <w:pPr>
              <w:ind w:left="300"/>
              <w:spacing w:after="0"/>
              <w:rPr>
                <w:sz w:val="20"/>
                <w:szCs w:val="20"/>
                <w:color w:val="auto"/>
              </w:rPr>
            </w:pPr>
            <w:r>
              <w:rPr>
                <w:rFonts w:ascii="Arial" w:cs="Arial" w:eastAsia="Arial" w:hAnsi="Arial"/>
                <w:sz w:val="18"/>
                <w:szCs w:val="18"/>
                <w:color w:val="auto"/>
                <w:w w:val="88"/>
              </w:rPr>
              <w:t>Subject to Clauses 28.4 and 28.5:</w:t>
            </w:r>
          </w:p>
        </w:tc>
      </w:tr>
    </w:tbl>
    <w:p>
      <w:pPr>
        <w:spacing w:after="0" w:line="107" w:lineRule="exact"/>
        <w:rPr>
          <w:sz w:val="20"/>
          <w:szCs w:val="20"/>
          <w:color w:val="auto"/>
        </w:rPr>
      </w:pPr>
    </w:p>
    <w:p>
      <w:pPr>
        <w:ind w:left="920" w:hanging="912"/>
        <w:spacing w:after="0"/>
        <w:tabs>
          <w:tab w:leader="none" w:pos="9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a notice which is delivered personally or posted shall be deemed to be served, and shall take effect, at the time when it is delivered; and</w:t>
      </w:r>
    </w:p>
    <w:p>
      <w:pPr>
        <w:spacing w:after="0" w:line="142" w:lineRule="exact"/>
        <w:rPr>
          <w:rFonts w:ascii="Arial" w:cs="Arial" w:eastAsia="Arial" w:hAnsi="Arial"/>
          <w:sz w:val="17"/>
          <w:szCs w:val="17"/>
          <w:color w:val="auto"/>
        </w:rPr>
      </w:pPr>
    </w:p>
    <w:p>
      <w:pPr>
        <w:ind w:left="920" w:hanging="912"/>
        <w:spacing w:after="0"/>
        <w:tabs>
          <w:tab w:leader="none" w:pos="9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2 hours after its transmission is completed.</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Service outside business hours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However, if under Clause 28.3 a notice would be deemed to be served:</w:t>
      </w:r>
    </w:p>
    <w:p>
      <w:pPr>
        <w:spacing w:after="0" w:line="131" w:lineRule="exact"/>
        <w:rPr>
          <w:sz w:val="20"/>
          <w:szCs w:val="20"/>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the notice shall (subject to Clause 28.5) be deemed to be served, and shall take effect, at 9 a.m. on the next day which is such a business day.</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Illegible notices</w:t>
      </w:r>
    </w:p>
    <w:p>
      <w:pPr>
        <w:spacing w:after="0" w:line="121" w:lineRule="exact"/>
        <w:rPr>
          <w:sz w:val="20"/>
          <w:szCs w:val="20"/>
          <w:color w:val="auto"/>
        </w:rPr>
      </w:pPr>
    </w:p>
    <w:p>
      <w:pPr>
        <w:ind w:left="920" w:right="440"/>
        <w:spacing w:after="0" w:line="308" w:lineRule="auto"/>
        <w:rPr>
          <w:sz w:val="20"/>
          <w:szCs w:val="20"/>
          <w:color w:val="auto"/>
        </w:rPr>
      </w:pPr>
      <w:r>
        <w:rPr>
          <w:rFonts w:ascii="Arial" w:cs="Arial" w:eastAsia="Arial" w:hAnsi="Arial"/>
          <w:sz w:val="17"/>
          <w:szCs w:val="17"/>
          <w:color w:val="auto"/>
        </w:rPr>
        <w:t>Clauses 28.3 and 28.4 do not apply if the recipient of a notice notifies the sender within one hour after the time at which the notice would otherwise be deemed to be served that the notice has been received in a form which is illegible in a material respect.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270" w:right="419" w:bottom="1440" w:gutter="0" w:footer="0" w:header="0"/>
        </w:sectPr>
      </w:pPr>
    </w:p>
    <w:bookmarkStart w:id="267" w:name="page268"/>
    <w:bookmarkEnd w:id="26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28.6</w:t>
      </w:r>
      <w:r>
        <w:rPr>
          <w:sz w:val="20"/>
          <w:szCs w:val="20"/>
          <w:color w:val="auto"/>
        </w:rPr>
        <w:tab/>
      </w:r>
      <w:r>
        <w:rPr>
          <w:rFonts w:ascii="Arial" w:cs="Arial" w:eastAsia="Arial" w:hAnsi="Arial"/>
          <w:sz w:val="15"/>
          <w:szCs w:val="15"/>
          <w:b w:val="1"/>
          <w:bCs w:val="1"/>
          <w:color w:val="auto"/>
        </w:rPr>
        <w:t>Valid notices</w:t>
      </w:r>
    </w:p>
    <w:p>
      <w:pPr>
        <w:spacing w:after="0" w:line="121" w:lineRule="exact"/>
        <w:rPr>
          <w:sz w:val="20"/>
          <w:szCs w:val="20"/>
          <w:color w:val="auto"/>
        </w:rPr>
      </w:pPr>
    </w:p>
    <w:p>
      <w:pPr>
        <w:ind w:left="920" w:right="480"/>
        <w:spacing w:after="0" w:line="342" w:lineRule="auto"/>
        <w:rPr>
          <w:sz w:val="20"/>
          <w:szCs w:val="20"/>
          <w:color w:val="auto"/>
        </w:rPr>
      </w:pPr>
      <w:r>
        <w:rPr>
          <w:rFonts w:ascii="Arial" w:cs="Arial" w:eastAsia="Arial" w:hAnsi="Arial"/>
          <w:sz w:val="16"/>
          <w:szCs w:val="16"/>
          <w:color w:val="auto"/>
        </w:rPr>
        <w:t>A notice under or in connection with a Finance Document shall not be invalid by reason that its contents or the manner of serving it do not comply with the requirements of this Agreement or, where appropriate, any other Finance Document under which it is served if:</w:t>
      </w:r>
    </w:p>
    <w:p>
      <w:pPr>
        <w:spacing w:after="0" w:line="29" w:lineRule="exact"/>
        <w:rPr>
          <w:sz w:val="20"/>
          <w:szCs w:val="20"/>
          <w:color w:val="auto"/>
        </w:rPr>
      </w:pPr>
    </w:p>
    <w:p>
      <w:pPr>
        <w:ind w:left="920" w:right="80" w:hanging="912"/>
        <w:spacing w:after="0" w:line="277" w:lineRule="auto"/>
        <w:tabs>
          <w:tab w:leader="none" w:pos="9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75" w:lineRule="exact"/>
        <w:rPr>
          <w:rFonts w:ascii="Arial" w:cs="Arial" w:eastAsia="Arial" w:hAnsi="Arial"/>
          <w:sz w:val="18"/>
          <w:szCs w:val="18"/>
          <w:color w:val="auto"/>
        </w:rPr>
      </w:pPr>
    </w:p>
    <w:p>
      <w:pPr>
        <w:ind w:left="920" w:right="300" w:hanging="912"/>
        <w:spacing w:after="0" w:line="277" w:lineRule="auto"/>
        <w:tabs>
          <w:tab w:leader="none" w:pos="9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Electronic communication</w:t>
      </w:r>
    </w:p>
    <w:p>
      <w:pPr>
        <w:spacing w:after="0" w:line="121"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Any communication to be made between the Facility Agent and a Lender or the Swap Bank under or in connection with the Finance Documents may be made by electronic mail or other electronic means, if the Facility Agent and the relevant Creditor Party:</w:t>
      </w:r>
    </w:p>
    <w:p>
      <w:pPr>
        <w:spacing w:after="0" w:line="52" w:lineRule="exact"/>
        <w:rPr>
          <w:sz w:val="20"/>
          <w:szCs w:val="20"/>
          <w:color w:val="auto"/>
        </w:rPr>
      </w:pPr>
    </w:p>
    <w:p>
      <w:pPr>
        <w:ind w:left="1700" w:hanging="787"/>
        <w:spacing w:after="0"/>
        <w:tabs>
          <w:tab w:leader="none" w:pos="1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30" w:lineRule="exact"/>
        <w:rPr>
          <w:rFonts w:ascii="Arial" w:cs="Arial" w:eastAsia="Arial" w:hAnsi="Arial"/>
          <w:sz w:val="18"/>
          <w:szCs w:val="18"/>
          <w:color w:val="auto"/>
        </w:rPr>
      </w:pPr>
    </w:p>
    <w:p>
      <w:pPr>
        <w:ind w:left="1700" w:right="60" w:hanging="787"/>
        <w:spacing w:after="0" w:line="277" w:lineRule="auto"/>
        <w:tabs>
          <w:tab w:leader="none" w:pos="1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1700" w:hanging="787"/>
        <w:spacing w:after="0"/>
        <w:tabs>
          <w:tab w:leader="none" w:pos="17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notify each other of any change to their respective addresses or any other such information supplied to them.</w:t>
      </w:r>
    </w:p>
    <w:p>
      <w:pPr>
        <w:spacing w:after="0" w:line="117"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Any electronic communication made between the Facility Agent and a Lender or the Swap Bank will be effective only when actually received in readable form and, in the case of any electronic communication made by a Creditor Party to the Facility Agent, only if it is addressed in such a manner as the Facility Agent shall specify for this purpose.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color w:val="auto"/>
        </w:rPr>
        <w:t>English language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notice under or in connection with a Finance Document shall be in English.</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Meaning of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 communication.</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b w:val="1"/>
          <w:bCs w:val="1"/>
          <w:color w:val="auto"/>
        </w:rPr>
        <w:t>Communication when Agent is Impaired Agent</w:t>
      </w:r>
    </w:p>
    <w:p>
      <w:pPr>
        <w:spacing w:after="0" w:line="121"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If the Facility Agent is an Impaired Agent, the parties to this Agreement may, instead of communicating with each other through the Facility Agent, communicate with each other directly and (while the Facility Agent is an Impaired Agent) all the provisions of the Finance Documents which require communications to be made or notices to be given to or by the Facility Agent shall be varied so that communications may be made and notices given to or by the relevant parties directly. This provision shall not operate after a replacement Facility Agent has been appointed.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0" w:right="279" w:bottom="1440" w:gutter="0" w:footer="0" w:header="0"/>
        </w:sectPr>
      </w:pPr>
    </w:p>
    <w:bookmarkStart w:id="268" w:name="page269"/>
    <w:bookmarkEnd w:id="268"/>
    <w:p>
      <w:pPr>
        <w:ind w:left="920" w:hanging="912"/>
        <w:spacing w:after="0"/>
        <w:tabs>
          <w:tab w:leader="none" w:pos="92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 AND SEVERAL LIABILITY</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29.1</w:t>
      </w:r>
      <w:r>
        <w:rPr>
          <w:rFonts w:ascii="Arial" w:cs="Arial" w:eastAsia="Arial" w:hAnsi="Arial"/>
          <w:sz w:val="16"/>
          <w:szCs w:val="16"/>
          <w:b w:val="1"/>
          <w:bCs w:val="1"/>
          <w:color w:val="auto"/>
        </w:rPr>
        <w:t>General</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Subject to Clause 29.2, all liabilities and obligations of the Borrowers under this Agreement shall, whether expressed to be so or not, be several and, if and to the extent consistent with Clauses 29.2 and 29.3, joint.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Dropdown</w:t>
      </w:r>
    </w:p>
    <w:p>
      <w:pPr>
        <w:spacing w:after="0" w:line="135" w:lineRule="exact"/>
        <w:rPr>
          <w:sz w:val="20"/>
          <w:szCs w:val="20"/>
          <w:color w:val="auto"/>
        </w:rPr>
      </w:pPr>
    </w:p>
    <w:p>
      <w:pPr>
        <w:ind w:left="920" w:hanging="912"/>
        <w:spacing w:after="0"/>
        <w:tabs>
          <w:tab w:leader="none" w:pos="9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Notwithstanding the provisions of Clause 29.1, upon the occurrence of a Dropdown:</w:t>
      </w:r>
    </w:p>
    <w:p>
      <w:pPr>
        <w:spacing w:after="0" w:line="130" w:lineRule="exact"/>
        <w:rPr>
          <w:rFonts w:ascii="Arial" w:cs="Arial" w:eastAsia="Arial" w:hAnsi="Arial"/>
          <w:sz w:val="18"/>
          <w:szCs w:val="18"/>
          <w:color w:val="auto"/>
        </w:rPr>
      </w:pPr>
    </w:p>
    <w:p>
      <w:pPr>
        <w:ind w:left="1700" w:right="20" w:hanging="787"/>
        <w:spacing w:after="0" w:line="257" w:lineRule="auto"/>
        <w:tabs>
          <w:tab w:leader="none" w:pos="17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Affected Borrower to which such Dropdown relates shall automatically cease to be joint and severally liable for the obligations of any Borrower which is not an Affected Borrower, and shall become joint and severally liable for the obligations under Clause 6 (</w:t>
      </w:r>
      <w:r>
        <w:rPr>
          <w:rFonts w:ascii="Arial" w:cs="Arial" w:eastAsia="Arial" w:hAnsi="Arial"/>
          <w:sz w:val="18"/>
          <w:szCs w:val="18"/>
          <w:i w:val="1"/>
          <w:iCs w:val="1"/>
          <w:color w:val="auto"/>
        </w:rPr>
        <w:t>Repayment and Prepayment</w:t>
      </w:r>
      <w:r>
        <w:rPr>
          <w:rFonts w:ascii="Arial" w:cs="Arial" w:eastAsia="Arial" w:hAnsi="Arial"/>
          <w:sz w:val="18"/>
          <w:szCs w:val="18"/>
          <w:color w:val="auto"/>
        </w:rPr>
        <w:t>), Clause 7 (</w:t>
      </w:r>
      <w:r>
        <w:rPr>
          <w:rFonts w:ascii="Arial" w:cs="Arial" w:eastAsia="Arial" w:hAnsi="Arial"/>
          <w:sz w:val="18"/>
          <w:szCs w:val="18"/>
          <w:i w:val="1"/>
          <w:iCs w:val="1"/>
          <w:color w:val="auto"/>
        </w:rPr>
        <w:t>Default Interest</w:t>
      </w:r>
      <w:r>
        <w:rPr>
          <w:rFonts w:ascii="Arial" w:cs="Arial" w:eastAsia="Arial" w:hAnsi="Arial"/>
          <w:sz w:val="18"/>
          <w:szCs w:val="18"/>
          <w:color w:val="auto"/>
        </w:rPr>
        <w:t>), Clause 8.9 (</w:t>
      </w:r>
      <w:r>
        <w:rPr>
          <w:rFonts w:ascii="Arial" w:cs="Arial" w:eastAsia="Arial" w:hAnsi="Arial"/>
          <w:sz w:val="18"/>
          <w:szCs w:val="18"/>
          <w:i w:val="1"/>
          <w:iCs w:val="1"/>
          <w:color w:val="auto"/>
        </w:rPr>
        <w:t>Mandatory Prepayment</w:t>
      </w:r>
      <w:r>
        <w:rPr>
          <w:rFonts w:ascii="Arial" w:cs="Arial" w:eastAsia="Arial" w:hAnsi="Arial"/>
          <w:sz w:val="18"/>
          <w:szCs w:val="18"/>
          <w:color w:val="auto"/>
        </w:rPr>
        <w:t>), Clause 5 (</w:t>
      </w:r>
      <w:r>
        <w:rPr>
          <w:rFonts w:ascii="Arial" w:cs="Arial" w:eastAsia="Arial" w:hAnsi="Arial"/>
          <w:sz w:val="18"/>
          <w:szCs w:val="18"/>
          <w:i w:val="1"/>
          <w:iCs w:val="1"/>
          <w:color w:val="auto"/>
        </w:rPr>
        <w:t>Interest</w:t>
      </w:r>
      <w:r>
        <w:rPr>
          <w:rFonts w:ascii="Arial" w:cs="Arial" w:eastAsia="Arial" w:hAnsi="Arial"/>
          <w:sz w:val="18"/>
          <w:szCs w:val="18"/>
          <w:color w:val="auto"/>
        </w:rPr>
        <w:t>), Clause 21.2 (</w:t>
      </w:r>
      <w:r>
        <w:rPr>
          <w:rFonts w:ascii="Arial" w:cs="Arial" w:eastAsia="Arial" w:hAnsi="Arial"/>
          <w:sz w:val="18"/>
          <w:szCs w:val="18"/>
          <w:i w:val="1"/>
          <w:iCs w:val="1"/>
          <w:color w:val="auto"/>
        </w:rPr>
        <w:t>Break Costs</w:t>
      </w:r>
      <w:r>
        <w:rPr>
          <w:rFonts w:ascii="Arial" w:cs="Arial" w:eastAsia="Arial" w:hAnsi="Arial"/>
          <w:sz w:val="18"/>
          <w:szCs w:val="18"/>
          <w:color w:val="auto"/>
        </w:rPr>
        <w:t>) and Clause 24.1 (</w:t>
      </w:r>
      <w:r>
        <w:rPr>
          <w:rFonts w:ascii="Arial" w:cs="Arial" w:eastAsia="Arial" w:hAnsi="Arial"/>
          <w:sz w:val="18"/>
          <w:szCs w:val="18"/>
          <w:i w:val="1"/>
          <w:iCs w:val="1"/>
          <w:color w:val="auto"/>
        </w:rPr>
        <w:t>Increased costs</w:t>
      </w:r>
      <w:r>
        <w:rPr>
          <w:rFonts w:ascii="Arial" w:cs="Arial" w:eastAsia="Arial" w:hAnsi="Arial"/>
          <w:sz w:val="18"/>
          <w:szCs w:val="18"/>
          <w:color w:val="auto"/>
        </w:rPr>
        <w:t>) (together, the “</w:t>
      </w:r>
      <w:r>
        <w:rPr>
          <w:rFonts w:ascii="Arial" w:cs="Arial" w:eastAsia="Arial" w:hAnsi="Arial"/>
          <w:sz w:val="18"/>
          <w:szCs w:val="18"/>
          <w:b w:val="1"/>
          <w:bCs w:val="1"/>
          <w:color w:val="auto"/>
        </w:rPr>
        <w:t>Affected Clauses</w:t>
      </w:r>
      <w:r>
        <w:rPr>
          <w:rFonts w:ascii="Arial" w:cs="Arial" w:eastAsia="Arial" w:hAnsi="Arial"/>
          <w:sz w:val="18"/>
          <w:szCs w:val="18"/>
          <w:color w:val="auto"/>
        </w:rPr>
        <w:t>”) in relation to the Tranche(s) financing the Ship(s) of the other Affected Borrower(s);</w:t>
      </w:r>
    </w:p>
    <w:p>
      <w:pPr>
        <w:spacing w:after="0" w:line="93" w:lineRule="exact"/>
        <w:rPr>
          <w:rFonts w:ascii="Arial" w:cs="Arial" w:eastAsia="Arial" w:hAnsi="Arial"/>
          <w:sz w:val="18"/>
          <w:szCs w:val="18"/>
          <w:color w:val="auto"/>
        </w:rPr>
      </w:pPr>
    </w:p>
    <w:p>
      <w:pPr>
        <w:ind w:left="1700" w:right="320" w:hanging="787"/>
        <w:spacing w:after="0" w:line="277" w:lineRule="auto"/>
        <w:tabs>
          <w:tab w:leader="none" w:pos="17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each of the Borrowers other than any Affected Borrower shall be automatically released from their obligations under the Affected Clauses in relation to the Tranche(s) financing the Ship(s) of the Affected Borrower(s); and</w:t>
      </w:r>
    </w:p>
    <w:p>
      <w:pPr>
        <w:spacing w:after="0" w:line="75" w:lineRule="exact"/>
        <w:rPr>
          <w:rFonts w:ascii="Arial" w:cs="Arial" w:eastAsia="Arial" w:hAnsi="Arial"/>
          <w:sz w:val="18"/>
          <w:szCs w:val="18"/>
          <w:color w:val="auto"/>
        </w:rPr>
      </w:pPr>
    </w:p>
    <w:p>
      <w:pPr>
        <w:ind w:left="1700" w:right="400" w:hanging="787"/>
        <w:spacing w:after="0" w:line="277" w:lineRule="auto"/>
        <w:tabs>
          <w:tab w:leader="none" w:pos="17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such Affected Borrower shall be automatically released from its obligations under the Affected Clauses in relation to each of the Tranche(s) which are not financing the Ship(s) of the Affected Borrower(s).</w:t>
      </w:r>
    </w:p>
    <w:p>
      <w:pPr>
        <w:spacing w:after="0" w:line="71" w:lineRule="exact"/>
        <w:rPr>
          <w:rFonts w:ascii="Arial" w:cs="Arial" w:eastAsia="Arial" w:hAnsi="Arial"/>
          <w:sz w:val="18"/>
          <w:szCs w:val="18"/>
          <w:color w:val="auto"/>
        </w:rPr>
      </w:pPr>
    </w:p>
    <w:p>
      <w:pPr>
        <w:ind w:left="920" w:hanging="912"/>
        <w:spacing w:after="0" w:line="274" w:lineRule="auto"/>
        <w:tabs>
          <w:tab w:leader="none" w:pos="9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Where this Agreement provides for any payment other than under the Affected Clauses (any such payment being an “</w:t>
      </w:r>
      <w:r>
        <w:rPr>
          <w:rFonts w:ascii="Arial" w:cs="Arial" w:eastAsia="Arial" w:hAnsi="Arial"/>
          <w:sz w:val="17"/>
          <w:szCs w:val="17"/>
          <w:b w:val="1"/>
          <w:bCs w:val="1"/>
          <w:color w:val="auto"/>
        </w:rPr>
        <w:t>Unscheduled Amount</w:t>
      </w:r>
      <w:r>
        <w:rPr>
          <w:rFonts w:ascii="Arial" w:cs="Arial" w:eastAsia="Arial" w:hAnsi="Arial"/>
          <w:sz w:val="17"/>
          <w:szCs w:val="17"/>
          <w:color w:val="auto"/>
        </w:rPr>
        <w:t>”) and save as contemplated in Clause 21.1 (</w:t>
      </w:r>
      <w:r>
        <w:rPr>
          <w:rFonts w:ascii="Arial" w:cs="Arial" w:eastAsia="Arial" w:hAnsi="Arial"/>
          <w:sz w:val="17"/>
          <w:szCs w:val="17"/>
          <w:i w:val="1"/>
          <w:iCs w:val="1"/>
          <w:color w:val="auto"/>
        </w:rPr>
        <w:t>Indemnities regarding borrowing and repayment of Loan</w:t>
      </w:r>
      <w:r>
        <w:rPr>
          <w:rFonts w:ascii="Arial" w:cs="Arial" w:eastAsia="Arial" w:hAnsi="Arial"/>
          <w:sz w:val="17"/>
          <w:szCs w:val="17"/>
          <w:color w:val="auto"/>
        </w:rPr>
        <w:t>) and Clause 22.2 (</w:t>
      </w:r>
      <w:r>
        <w:rPr>
          <w:rFonts w:ascii="Arial" w:cs="Arial" w:eastAsia="Arial" w:hAnsi="Arial"/>
          <w:sz w:val="17"/>
          <w:szCs w:val="17"/>
          <w:i w:val="1"/>
          <w:iCs w:val="1"/>
          <w:color w:val="auto"/>
        </w:rPr>
        <w:t>Grossing-up for taxes</w:t>
      </w:r>
      <w:r>
        <w:rPr>
          <w:rFonts w:ascii="Arial" w:cs="Arial" w:eastAsia="Arial" w:hAnsi="Arial"/>
          <w:sz w:val="17"/>
          <w:szCs w:val="17"/>
          <w:color w:val="auto"/>
        </w:rPr>
        <w:t xml:space="preserve">), the Affected Borrower(s) shall be joint and severally liable for a </w:t>
      </w:r>
      <w:r>
        <w:rPr>
          <w:rFonts w:ascii="Arial" w:cs="Arial" w:eastAsia="Arial" w:hAnsi="Arial"/>
          <w:sz w:val="17"/>
          <w:szCs w:val="17"/>
          <w:i w:val="1"/>
          <w:iCs w:val="1"/>
          <w:color w:val="auto"/>
        </w:rPr>
        <w:t>pro-rata</w:t>
      </w:r>
      <w:r>
        <w:rPr>
          <w:rFonts w:ascii="Arial" w:cs="Arial" w:eastAsia="Arial" w:hAnsi="Arial"/>
          <w:sz w:val="17"/>
          <w:szCs w:val="17"/>
          <w:color w:val="auto"/>
        </w:rPr>
        <w:t xml:space="preserve"> share of such Unscheduled Amount corresponding to the Relevant Proportion. For the purposes of claiming any such Unscheduled Amount, a demand made upon the Borrowers for the full amount of the Unscheduled Amount shall be deemed to be a demand served on each Borrower (including on any Affected Borrower in the Relevant Proportion of such Unscheduled Amount) for the amount of such Unscheduled Amount for which each such Borrower is liable.</w:t>
      </w:r>
    </w:p>
    <w:p>
      <w:pPr>
        <w:spacing w:after="0" w:line="83" w:lineRule="exact"/>
        <w:rPr>
          <w:rFonts w:ascii="Arial" w:cs="Arial" w:eastAsia="Arial" w:hAnsi="Arial"/>
          <w:sz w:val="17"/>
          <w:szCs w:val="17"/>
          <w:color w:val="auto"/>
        </w:rPr>
      </w:pPr>
    </w:p>
    <w:p>
      <w:pPr>
        <w:ind w:left="920" w:hanging="912"/>
        <w:spacing w:after="0"/>
        <w:tabs>
          <w:tab w:leader="none" w:pos="9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This Clause shall not relieve the Borrowers or any other Security Parties from:</w:t>
      </w:r>
    </w:p>
    <w:p>
      <w:pPr>
        <w:spacing w:after="0" w:line="130" w:lineRule="exact"/>
        <w:rPr>
          <w:rFonts w:ascii="Arial" w:cs="Arial" w:eastAsia="Arial" w:hAnsi="Arial"/>
          <w:sz w:val="18"/>
          <w:szCs w:val="18"/>
          <w:color w:val="auto"/>
        </w:rPr>
      </w:pPr>
    </w:p>
    <w:p>
      <w:pPr>
        <w:ind w:left="1700" w:right="340" w:hanging="787"/>
        <w:spacing w:after="0" w:line="277" w:lineRule="auto"/>
        <w:tabs>
          <w:tab w:leader="none" w:pos="17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consequences of the Borrowers (or any of them) failing to meet their respective obligations under the Affected Clauses at any time; or</w:t>
      </w:r>
    </w:p>
    <w:p>
      <w:pPr>
        <w:spacing w:after="0" w:line="75" w:lineRule="exact"/>
        <w:rPr>
          <w:rFonts w:ascii="Arial" w:cs="Arial" w:eastAsia="Arial" w:hAnsi="Arial"/>
          <w:sz w:val="18"/>
          <w:szCs w:val="18"/>
          <w:color w:val="auto"/>
        </w:rPr>
      </w:pPr>
    </w:p>
    <w:p>
      <w:pPr>
        <w:ind w:left="1700" w:right="260" w:hanging="787"/>
        <w:spacing w:after="0" w:line="277" w:lineRule="auto"/>
        <w:tabs>
          <w:tab w:leader="none" w:pos="17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any claim or demand made by any Finance Party on an Affected Borrower (or any other Security Party in relation to such claim or demand) prior to the Dropdown relating to such Affected Borrower.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No impairment of Borrower’s obligations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liabilities and obligations of a Borrower shall not be impaired by:</w:t>
      </w:r>
    </w:p>
    <w:p>
      <w:pPr>
        <w:spacing w:after="0" w:line="131" w:lineRule="exact"/>
        <w:rPr>
          <w:sz w:val="20"/>
          <w:szCs w:val="20"/>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this Agreement being or later becoming void, unenforceable or illegal as regards any other Borrower;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Lender entering into any rescheduling, refinancing or other arrangement of any kind with any other Borrower;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Lender releasing any other Borrower or any Security Interest created by a Finance Document; or</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70" w:right="299" w:bottom="1440" w:gutter="0" w:footer="0" w:header="0"/>
        </w:sectPr>
      </w:pPr>
    </w:p>
    <w:bookmarkStart w:id="269" w:name="page270"/>
    <w:bookmarkEnd w:id="26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29.4</w:t>
      </w:r>
      <w:r>
        <w:rPr>
          <w:sz w:val="20"/>
          <w:szCs w:val="20"/>
          <w:color w:val="auto"/>
        </w:rPr>
        <w:tab/>
      </w:r>
      <w:r>
        <w:rPr>
          <w:rFonts w:ascii="Arial" w:cs="Arial" w:eastAsia="Arial" w:hAnsi="Arial"/>
          <w:sz w:val="16"/>
          <w:szCs w:val="16"/>
          <w:b w:val="1"/>
          <w:bCs w:val="1"/>
          <w:color w:val="auto"/>
        </w:rPr>
        <w:t>Principal debtors</w:t>
      </w:r>
    </w:p>
    <w:p>
      <w:pPr>
        <w:spacing w:after="0" w:line="121" w:lineRule="exact"/>
        <w:rPr>
          <w:sz w:val="20"/>
          <w:szCs w:val="20"/>
          <w:color w:val="auto"/>
        </w:rPr>
      </w:pPr>
    </w:p>
    <w:p>
      <w:pPr>
        <w:ind w:left="920" w:right="480"/>
        <w:spacing w:after="0" w:line="264" w:lineRule="auto"/>
        <w:rPr>
          <w:sz w:val="20"/>
          <w:szCs w:val="20"/>
          <w:color w:val="auto"/>
        </w:rPr>
      </w:pPr>
      <w:r>
        <w:rPr>
          <w:rFonts w:ascii="Arial" w:cs="Arial" w:eastAsia="Arial" w:hAnsi="Arial"/>
          <w:sz w:val="18"/>
          <w:szCs w:val="18"/>
          <w:color w:val="auto"/>
        </w:rPr>
        <w:t>Subject to Clause 29.2, 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Subordination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Clause 29.6, during the Security Period, no Borrower shall:</w:t>
      </w:r>
    </w:p>
    <w:p>
      <w:pPr>
        <w:spacing w:after="0" w:line="131" w:lineRule="exact"/>
        <w:rPr>
          <w:sz w:val="20"/>
          <w:szCs w:val="20"/>
          <w:color w:val="auto"/>
        </w:rPr>
      </w:pPr>
    </w:p>
    <w:p>
      <w:pPr>
        <w:ind w:left="920" w:right="780" w:hanging="912"/>
        <w:spacing w:after="0" w:line="308" w:lineRule="auto"/>
        <w:tabs>
          <w:tab w:leader="none" w:pos="92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claim any amount which may be due to it from any other Borrower whether in respect of a payment made, or matter arising out of, this Agreement or any Finance Document, or any matter unconnected with this Agreement or any Finance Document; or</w:t>
      </w:r>
    </w:p>
    <w:p>
      <w:pPr>
        <w:spacing w:after="0" w:line="51" w:lineRule="exact"/>
        <w:rPr>
          <w:rFonts w:ascii="Arial" w:cs="Arial" w:eastAsia="Arial" w:hAnsi="Arial"/>
          <w:sz w:val="17"/>
          <w:szCs w:val="17"/>
          <w:color w:val="auto"/>
        </w:rPr>
      </w:pPr>
    </w:p>
    <w:p>
      <w:pPr>
        <w:ind w:left="920" w:right="20" w:hanging="912"/>
        <w:spacing w:after="0" w:line="277" w:lineRule="auto"/>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take or enforce any form of security from any other Borrower for such an amount, or in any other way seek to have recourse in respect of such an amount against any asset of any other Borrower;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set off such an amount against any sum due from it to any other Borrower; or</w:t>
      </w:r>
    </w:p>
    <w:p>
      <w:pPr>
        <w:spacing w:after="0" w:line="130" w:lineRule="exact"/>
        <w:rPr>
          <w:rFonts w:ascii="Arial" w:cs="Arial" w:eastAsia="Arial" w:hAnsi="Arial"/>
          <w:sz w:val="18"/>
          <w:szCs w:val="18"/>
          <w:color w:val="auto"/>
        </w:rPr>
      </w:pPr>
    </w:p>
    <w:p>
      <w:pPr>
        <w:ind w:left="920" w:right="260" w:hanging="912"/>
        <w:spacing w:after="0" w:line="277" w:lineRule="auto"/>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prove or claim for such an amount in any liquidation, administration, arrangement or similar procedure involving any other Borrower or other Security Party; or</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exercise or assert any combination of the foregoing.</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Borrower’s required action</w:t>
      </w:r>
    </w:p>
    <w:p>
      <w:pPr>
        <w:spacing w:after="0" w:line="121" w:lineRule="exact"/>
        <w:rPr>
          <w:sz w:val="20"/>
          <w:szCs w:val="20"/>
          <w:color w:val="auto"/>
        </w:rPr>
      </w:pPr>
    </w:p>
    <w:p>
      <w:pPr>
        <w:jc w:val="both"/>
        <w:ind w:left="920" w:right="400"/>
        <w:spacing w:after="0" w:line="264" w:lineRule="auto"/>
        <w:rPr>
          <w:sz w:val="20"/>
          <w:szCs w:val="20"/>
          <w:color w:val="auto"/>
        </w:rPr>
      </w:pPr>
      <w:r>
        <w:rPr>
          <w:rFonts w:ascii="Arial" w:cs="Arial" w:eastAsia="Arial" w:hAnsi="Arial"/>
          <w:sz w:val="18"/>
          <w:szCs w:val="18"/>
          <w:color w:val="auto"/>
        </w:rPr>
        <w:t>If during the Security Period, the Facility Agent, by notice to a Borrower, requires it to take any action referred to in paragraphs (a) to (d) of Clause 29.5, in relation to the other Borrower, that Borrower shall take that action as soon as practicable after receiving the Facility Agent’s notice.</w:t>
      </w:r>
    </w:p>
    <w:p>
      <w:pPr>
        <w:spacing w:after="0" w:line="326" w:lineRule="exact"/>
        <w:rPr>
          <w:sz w:val="20"/>
          <w:szCs w:val="20"/>
          <w:color w:val="auto"/>
        </w:rPr>
      </w:pPr>
    </w:p>
    <w:p>
      <w:pPr>
        <w:ind w:left="920" w:hanging="912"/>
        <w:spacing w:after="0"/>
        <w:tabs>
          <w:tab w:leader="none" w:pos="92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30.1</w:t>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Each Creditor Party agrees to keep all Confidential Information confidential and not to disclose it to anyone, save to the extent permitted by Clauses 31.2 and 31.3 and to ensure that all Confidential Information is protected with security measures and a degree of care that would apply to its own confidential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Creditor Party may disclose:</w:t>
      </w:r>
    </w:p>
    <w:p>
      <w:pPr>
        <w:spacing w:after="0" w:line="131" w:lineRule="exact"/>
        <w:rPr>
          <w:sz w:val="20"/>
          <w:szCs w:val="20"/>
          <w:color w:val="auto"/>
        </w:rPr>
      </w:pPr>
    </w:p>
    <w:p>
      <w:pPr>
        <w:ind w:left="920" w:right="40" w:hanging="912"/>
        <w:spacing w:after="0" w:line="255" w:lineRule="auto"/>
        <w:tabs>
          <w:tab w:leader="none" w:pos="9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Creditor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0" w:right="259" w:bottom="1440" w:gutter="0" w:footer="0" w:header="0"/>
        </w:sectPr>
      </w:pPr>
    </w:p>
    <w:bookmarkStart w:id="270" w:name="page271"/>
    <w:bookmarkEnd w:id="270"/>
    <w:p>
      <w:pPr>
        <w:ind w:left="912" w:hanging="912"/>
        <w:spacing w:after="0"/>
        <w:tabs>
          <w:tab w:leader="none" w:pos="912"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ind w:left="1692" w:right="120" w:hanging="787"/>
        <w:spacing w:after="0" w:line="264"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Facility Agent and, in each case, to any of that person’s affiliates, Related Funds, Representatives and professional advisers;</w:t>
      </w:r>
    </w:p>
    <w:p>
      <w:pPr>
        <w:spacing w:after="0" w:line="86" w:lineRule="exact"/>
        <w:rPr>
          <w:rFonts w:ascii="Arial" w:cs="Arial" w:eastAsia="Arial" w:hAnsi="Arial"/>
          <w:sz w:val="18"/>
          <w:szCs w:val="18"/>
          <w:color w:val="auto"/>
        </w:rPr>
      </w:pPr>
    </w:p>
    <w:p>
      <w:pPr>
        <w:ind w:left="1692" w:hanging="787"/>
        <w:spacing w:after="0" w:line="259"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Borrowers and/or any Security Party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692" w:right="340" w:hanging="787"/>
        <w:spacing w:after="0" w:line="277"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appointed by any Creditor Party or by a person to whom paragraph (b)(i) or (ii) above applies to receive communications, notices, information or documents delivered pursuant to the Finance Documents on its behalf;</w:t>
      </w:r>
    </w:p>
    <w:p>
      <w:pPr>
        <w:spacing w:after="0" w:line="75" w:lineRule="exact"/>
        <w:rPr>
          <w:rFonts w:ascii="Arial" w:cs="Arial" w:eastAsia="Arial" w:hAnsi="Arial"/>
          <w:sz w:val="18"/>
          <w:szCs w:val="18"/>
          <w:color w:val="auto"/>
        </w:rPr>
      </w:pPr>
    </w:p>
    <w:p>
      <w:pPr>
        <w:ind w:left="1692" w:right="80" w:hanging="787"/>
        <w:spacing w:after="0" w:line="277"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1692" w:right="280" w:hanging="787"/>
        <w:spacing w:after="0" w:line="264"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6" w:lineRule="exact"/>
        <w:rPr>
          <w:rFonts w:ascii="Arial" w:cs="Arial" w:eastAsia="Arial" w:hAnsi="Arial"/>
          <w:sz w:val="18"/>
          <w:szCs w:val="18"/>
          <w:color w:val="auto"/>
        </w:rPr>
      </w:pPr>
    </w:p>
    <w:p>
      <w:pPr>
        <w:ind w:left="1692" w:right="120" w:hanging="787"/>
        <w:spacing w:after="0" w:line="277"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1692" w:right="200" w:hanging="787"/>
        <w:spacing w:after="0" w:line="277" w:lineRule="auto"/>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to whom or for whose benefit that Creditor Party charges, assigns or otherwise creates a Security Interest (or may do so) pursuant to Clause 26.17;</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428"/>
        </w:numPr>
        <w:rPr>
          <w:rFonts w:ascii="Arial" w:cs="Arial" w:eastAsia="Arial" w:hAnsi="Arial"/>
          <w:sz w:val="17"/>
          <w:szCs w:val="17"/>
          <w:color w:val="auto"/>
        </w:rPr>
      </w:pPr>
      <w:r>
        <w:rPr>
          <w:rFonts w:ascii="Arial" w:cs="Arial" w:eastAsia="Arial" w:hAnsi="Arial"/>
          <w:sz w:val="17"/>
          <w:szCs w:val="17"/>
          <w:color w:val="auto"/>
        </w:rPr>
        <w:t>who is a party to a Finance Document, a member of a Group, or any related entity of the Borrowers or any Security Party; or</w:t>
      </w:r>
    </w:p>
    <w:p>
      <w:pPr>
        <w:spacing w:after="0" w:line="142" w:lineRule="exact"/>
        <w:rPr>
          <w:rFonts w:ascii="Arial" w:cs="Arial" w:eastAsia="Arial" w:hAnsi="Arial"/>
          <w:sz w:val="17"/>
          <w:szCs w:val="17"/>
          <w:color w:val="auto"/>
        </w:rPr>
      </w:pPr>
    </w:p>
    <w:p>
      <w:pPr>
        <w:ind w:left="1692" w:hanging="787"/>
        <w:spacing w:after="0"/>
        <w:tabs>
          <w:tab w:leader="none" w:pos="16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with the consent of the Borrowers;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 each case, such Confidential Information as that Creditor Party shall consider appropriate if:</w:t>
      </w:r>
    </w:p>
    <w:p>
      <w:pPr>
        <w:spacing w:after="0" w:line="131" w:lineRule="exact"/>
        <w:rPr>
          <w:sz w:val="20"/>
          <w:szCs w:val="20"/>
          <w:color w:val="auto"/>
        </w:rPr>
      </w:pPr>
    </w:p>
    <w:p>
      <w:pPr>
        <w:ind w:left="2372" w:right="20" w:hanging="670"/>
        <w:spacing w:after="0" w:line="259" w:lineRule="auto"/>
        <w:tabs>
          <w:tab w:leader="none" w:pos="237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2372" w:right="420" w:hanging="670"/>
        <w:spacing w:after="0" w:line="259" w:lineRule="auto"/>
        <w:tabs>
          <w:tab w:leader="none" w:pos="237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or</w:t>
      </w:r>
    </w:p>
    <w:p>
      <w:pPr>
        <w:spacing w:after="0" w:line="92" w:lineRule="exact"/>
        <w:rPr>
          <w:rFonts w:ascii="Arial" w:cs="Arial" w:eastAsia="Arial" w:hAnsi="Arial"/>
          <w:sz w:val="18"/>
          <w:szCs w:val="18"/>
          <w:color w:val="auto"/>
        </w:rPr>
      </w:pPr>
    </w:p>
    <w:p>
      <w:pPr>
        <w:jc w:val="both"/>
        <w:ind w:left="2372" w:right="100" w:hanging="670"/>
        <w:spacing w:after="0" w:line="259" w:lineRule="auto"/>
        <w:tabs>
          <w:tab w:leader="none" w:pos="237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Creditor Party, it is not practicable so to do in the circumstances;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12"/>
          </w:cols>
          <w:pgMar w:left="248" w:top="274" w:right="239" w:bottom="1440" w:gutter="0" w:footer="0" w:header="0"/>
        </w:sectPr>
      </w:pPr>
    </w:p>
    <w:bookmarkStart w:id="271" w:name="page272"/>
    <w:bookmarkEnd w:id="271"/>
    <w:p>
      <w:pPr>
        <w:ind w:left="920" w:hanging="912"/>
        <w:spacing w:after="0" w:line="293" w:lineRule="auto"/>
        <w:tabs>
          <w:tab w:leader="none" w:pos="9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person appointed by that Creditor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Borrowers and the relevant Creditor Party; and</w:t>
      </w:r>
    </w:p>
    <w:p>
      <w:pPr>
        <w:spacing w:after="0" w:line="70" w:lineRule="exact"/>
        <w:rPr>
          <w:rFonts w:ascii="Arial" w:cs="Arial" w:eastAsia="Arial" w:hAnsi="Arial"/>
          <w:sz w:val="16"/>
          <w:szCs w:val="16"/>
          <w:color w:val="auto"/>
        </w:rPr>
      </w:pPr>
    </w:p>
    <w:p>
      <w:pPr>
        <w:ind w:left="920" w:right="80" w:hanging="912"/>
        <w:spacing w:after="0" w:line="342" w:lineRule="auto"/>
        <w:tabs>
          <w:tab w:leader="none" w:pos="9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to any rating agency (including its professional advisers) such Confidential Information as may be required to be disclosed to enable such rating agency to carry out its normal rating activities in relation to the Finance Documents and/or the Borrowers and/or the Security Parties.</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jc w:val="both"/>
        <w:ind w:left="920" w:right="640" w:hanging="912"/>
        <w:spacing w:after="0" w:line="264" w:lineRule="auto"/>
        <w:tabs>
          <w:tab w:leader="none" w:pos="9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Creditor Party may disclose to any national or international numbering service provider appointed by that Creditor Party to provide identification numbering services in respect of this Agreement, the Loan and/or the Borrowers and/or the Security Parties the following information:</w:t>
      </w:r>
    </w:p>
    <w:p>
      <w:pPr>
        <w:spacing w:after="0" w:line="86"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names of the Borrowers and the Security Parties;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country of domicile of the Borrowers and the Security Parties;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place of incorporation of the Borrowers and the Security Parties;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name of the Facility Agent;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amount of the Loan;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currency of the Loan;</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final Repayment Date;</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such other information agreed between such Creditor Party and the Borrowers,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74" w:right="299" w:bottom="1440" w:gutter="0" w:footer="0" w:header="0"/>
        </w:sectPr>
      </w:pPr>
    </w:p>
    <w:bookmarkStart w:id="272" w:name="page273"/>
    <w:bookmarkEnd w:id="27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enable such numbering service provider to provide its usual syndicated loan numbering identification services;</w:t>
      </w:r>
    </w:p>
    <w:p>
      <w:pPr>
        <w:spacing w:after="0" w:line="131" w:lineRule="exact"/>
        <w:rPr>
          <w:sz w:val="20"/>
          <w:szCs w:val="20"/>
          <w:color w:val="auto"/>
        </w:rPr>
      </w:pPr>
    </w:p>
    <w:p>
      <w:pPr>
        <w:ind w:left="920" w:hanging="912"/>
        <w:spacing w:after="0" w:line="264" w:lineRule="auto"/>
        <w:tabs>
          <w:tab w:leader="none" w:pos="9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parties to this Agreement acknowledge and agree that each identification number assigned to this Agreement, the Loan and/or the Borrowers and/or any Security Party by a numbering service provider and the information associated with each such number may be disclosed to users of its services in accordance with the standard terms and conditions of that numbering service provider;</w:t>
      </w:r>
    </w:p>
    <w:p>
      <w:pPr>
        <w:spacing w:after="0" w:line="86" w:lineRule="exact"/>
        <w:rPr>
          <w:rFonts w:ascii="Arial" w:cs="Arial" w:eastAsia="Arial" w:hAnsi="Arial"/>
          <w:sz w:val="18"/>
          <w:szCs w:val="18"/>
          <w:color w:val="auto"/>
        </w:rPr>
      </w:pPr>
    </w:p>
    <w:p>
      <w:pPr>
        <w:ind w:left="920" w:right="200" w:hanging="912"/>
        <w:spacing w:after="0" w:line="277" w:lineRule="auto"/>
        <w:tabs>
          <w:tab w:leader="none" w:pos="9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paragraphs (a)(i) to (a)(xv) above is, nor will at any time be, unpublished price-sensitive information;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Facility Agent shall notify the Borrowers and the other Creditor Parties of:</w:t>
      </w:r>
    </w:p>
    <w:p>
      <w:pPr>
        <w:spacing w:after="0" w:line="130" w:lineRule="exact"/>
        <w:rPr>
          <w:rFonts w:ascii="Arial" w:cs="Arial" w:eastAsia="Arial" w:hAnsi="Arial"/>
          <w:sz w:val="18"/>
          <w:szCs w:val="18"/>
          <w:color w:val="auto"/>
        </w:rPr>
      </w:pPr>
    </w:p>
    <w:p>
      <w:pPr>
        <w:ind w:left="1700" w:right="360" w:hanging="787"/>
        <w:spacing w:after="0" w:line="277" w:lineRule="auto"/>
        <w:tabs>
          <w:tab w:leader="none" w:pos="17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Loan and/or the Borrowers and/or the Security Parties; and</w:t>
      </w:r>
    </w:p>
    <w:p>
      <w:pPr>
        <w:spacing w:after="0" w:line="75" w:lineRule="exact"/>
        <w:rPr>
          <w:rFonts w:ascii="Arial" w:cs="Arial" w:eastAsia="Arial" w:hAnsi="Arial"/>
          <w:sz w:val="18"/>
          <w:szCs w:val="18"/>
          <w:color w:val="auto"/>
        </w:rPr>
      </w:pPr>
    </w:p>
    <w:p>
      <w:pPr>
        <w:ind w:left="1700" w:right="60" w:hanging="787"/>
        <w:spacing w:after="0" w:line="277" w:lineRule="auto"/>
        <w:tabs>
          <w:tab w:leader="none" w:pos="17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Loan and/or the Borrowers and/or the Security Parties by such numbering service provider.</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This Clause 30 constitutes the entire agreement between the parties to this Agreement in relation to the obligations of the Creditor Parties under the Finance Documents regarding Confidential Information and supersedes any previous agreement, whether express or implied, regarding Confidential Information.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920" w:right="120"/>
        <w:spacing w:after="0" w:line="286" w:lineRule="auto"/>
        <w:rPr>
          <w:sz w:val="20"/>
          <w:szCs w:val="20"/>
          <w:color w:val="auto"/>
        </w:rPr>
      </w:pPr>
      <w:r>
        <w:rPr>
          <w:rFonts w:ascii="Arial" w:cs="Arial" w:eastAsia="Arial" w:hAnsi="Arial"/>
          <w:sz w:val="17"/>
          <w:szCs w:val="17"/>
          <w:color w:val="auto"/>
        </w:rPr>
        <w:t>Each of the Creditor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Creditor Parties undertakes not to use any Confidential Information for any unlawful purpose.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the Creditor Parties agrees (to the extent permitted by law and regulation) to inform the Borrowers:</w:t>
      </w:r>
    </w:p>
    <w:p>
      <w:pPr>
        <w:spacing w:after="0" w:line="131" w:lineRule="exact"/>
        <w:rPr>
          <w:sz w:val="20"/>
          <w:szCs w:val="20"/>
          <w:color w:val="auto"/>
        </w:rPr>
      </w:pPr>
    </w:p>
    <w:p>
      <w:pPr>
        <w:ind w:left="920" w:right="300" w:hanging="912"/>
        <w:spacing w:after="0" w:line="342" w:lineRule="auto"/>
        <w:tabs>
          <w:tab w:leader="none" w:pos="92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of the circumstances of any disclosure of Confidential Information made pursuant to paragraph (b)(v) of Clause 30.2 except where such disclosure is made to any of the persons referred to in that paragraph during the ordinary course of its supervisory or regulatory function; and</w:t>
      </w:r>
    </w:p>
    <w:p>
      <w:pPr>
        <w:spacing w:after="0" w:line="29" w:lineRule="exact"/>
        <w:rPr>
          <w:rFonts w:ascii="Arial" w:cs="Arial" w:eastAsia="Arial" w:hAnsi="Arial"/>
          <w:sz w:val="16"/>
          <w:szCs w:val="16"/>
          <w:color w:val="auto"/>
        </w:rPr>
      </w:pPr>
    </w:p>
    <w:p>
      <w:pPr>
        <w:ind w:left="920" w:hanging="912"/>
        <w:spacing w:after="0"/>
        <w:tabs>
          <w:tab w:leader="none" w:pos="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30.</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The obligations in this Clause 30 are continuing and, in particular, shall survive and remain binding on each Creditor Party for a period of 12 months from the earlier of:</w:t>
      </w:r>
    </w:p>
    <w:p>
      <w:pPr>
        <w:spacing w:after="0" w:line="76" w:lineRule="exact"/>
        <w:rPr>
          <w:sz w:val="20"/>
          <w:szCs w:val="20"/>
          <w:color w:val="auto"/>
        </w:rPr>
      </w:pPr>
    </w:p>
    <w:p>
      <w:pPr>
        <w:ind w:left="920" w:right="160" w:hanging="912"/>
        <w:spacing w:after="0" w:line="277" w:lineRule="auto"/>
        <w:tabs>
          <w:tab w:leader="none" w:pos="9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Borrowers and the Security Parties under or in connection with this Agreement have been paid in full and all Commitments have been cancelled or otherwise cease to be available;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74" w:right="279" w:bottom="1440" w:gutter="0" w:footer="0" w:header="0"/>
        </w:sectPr>
      </w:pPr>
    </w:p>
    <w:bookmarkStart w:id="273" w:name="page274"/>
    <w:bookmarkEnd w:id="273"/>
    <w:p>
      <w:pPr>
        <w:ind w:left="920" w:hanging="912"/>
        <w:spacing w:after="0"/>
        <w:tabs>
          <w:tab w:leader="none" w:pos="9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on which such Creditor Party otherwise ceases to be a Creditor Party.</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Defaulting Lender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Agent:</w:t>
      </w:r>
    </w:p>
    <w:p>
      <w:pPr>
        <w:spacing w:after="0" w:line="131" w:lineRule="exact"/>
        <w:rPr>
          <w:sz w:val="20"/>
          <w:szCs w:val="20"/>
          <w:color w:val="auto"/>
        </w:rPr>
      </w:pPr>
    </w:p>
    <w:p>
      <w:pPr>
        <w:ind w:left="920" w:hanging="912"/>
        <w:spacing w:after="0"/>
        <w:tabs>
          <w:tab w:leader="none" w:pos="9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130" w:lineRule="exact"/>
        <w:rPr>
          <w:rFonts w:ascii="Arial" w:cs="Arial" w:eastAsia="Arial" w:hAnsi="Arial"/>
          <w:sz w:val="18"/>
          <w:szCs w:val="18"/>
          <w:color w:val="auto"/>
        </w:rPr>
      </w:pPr>
    </w:p>
    <w:p>
      <w:pPr>
        <w:ind w:left="920" w:right="620" w:hanging="912"/>
        <w:spacing w:after="0" w:line="440" w:lineRule="auto"/>
        <w:tabs>
          <w:tab w:leader="none" w:pos="912" w:val="left"/>
        </w:tabs>
        <w:numPr>
          <w:ilvl w:val="0"/>
          <w:numId w:val="436"/>
        </w:numPr>
        <w:rPr>
          <w:rFonts w:ascii="Arial" w:cs="Arial" w:eastAsia="Arial" w:hAnsi="Arial"/>
          <w:sz w:val="17"/>
          <w:szCs w:val="17"/>
          <w:color w:val="auto"/>
        </w:rPr>
      </w:pPr>
      <w:r>
        <w:rPr>
          <w:rFonts w:ascii="Arial" w:cs="Arial" w:eastAsia="Arial" w:hAnsi="Arial"/>
          <w:sz w:val="17"/>
          <w:szCs w:val="17"/>
          <w:color w:val="auto"/>
        </w:rPr>
        <w:t>on the written request of the Guarantor or Substitute Guarantor or the Majority Lenders shall, as soon as reasonably practicable, disclose, the identity of a Defaulting Lender to the Guarantor or Substitute Guarantor and to the other Creditor Parties.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rights and remedies which the Finance Documents give to each Creditor Party are:</w:t>
      </w:r>
    </w:p>
    <w:p>
      <w:pPr>
        <w:spacing w:after="0" w:line="131" w:lineRule="exact"/>
        <w:rPr>
          <w:sz w:val="20"/>
          <w:szCs w:val="20"/>
          <w:color w:val="auto"/>
        </w:rPr>
      </w:pPr>
    </w:p>
    <w:p>
      <w:pPr>
        <w:ind w:left="920" w:hanging="912"/>
        <w:spacing w:after="0"/>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920" w:hanging="912"/>
        <w:spacing w:after="0"/>
        <w:tabs>
          <w:tab w:leader="none" w:pos="92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shall not, unless a Finance Document explicitly and specifically states so, be taken to exclude or limit any right or remedy conferred by any law.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Severability of provisions</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If any provision of a Finance Document is or subsequently becomes void, unenforceable or illegal, that shall not affect the validity, enforceability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or legality of the other provisions of that Finance Document or of the provisions of any other Finance Document.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31.3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Third party rights</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A person who is not a party to this Agreement has no right under the Contracts (Rights of Third Parties) Act 1999 to enforce or to enjoy the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benefit of any term of this Agreement.</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31.4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Benefit and binding effect</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8"/>
              </w:rPr>
              <w:t>The terms of this Agreement shall be binding upon, and shall enure to the benefit of, the parties hereto and their respective (including</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subsequent) successors and permitted assigns and transferees.</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LAW AND JURISDICTION</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English law</w:t>
            </w:r>
          </w:p>
        </w:tc>
      </w:tr>
      <w:tr>
        <w:trPr>
          <w:trHeight w:val="310"/>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This Agreement and any non-contractual obligation arising out of or in connection with it shall be governed by, and construed in accordance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with, English law.</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32.2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rPr>
              <w:t>Exclusive English jurisdiction</w:t>
            </w:r>
          </w:p>
        </w:tc>
      </w:tr>
      <w:tr>
        <w:trPr>
          <w:trHeight w:val="324"/>
        </w:trPr>
        <w:tc>
          <w:tcPr>
            <w:tcW w:w="620" w:type="dxa"/>
            <w:vAlign w:val="bottom"/>
          </w:tcPr>
          <w:p>
            <w:pPr>
              <w:spacing w:after="0"/>
              <w:rPr>
                <w:sz w:val="24"/>
                <w:szCs w:val="24"/>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Subject to Clause 32.3, the courts of England shall have exclusive jurisdiction to settle any Dispute.</w:t>
            </w:r>
          </w:p>
        </w:tc>
      </w:tr>
      <w:tr>
        <w:trPr>
          <w:trHeight w:val="365"/>
        </w:trPr>
        <w:tc>
          <w:tcPr>
            <w:tcW w:w="620" w:type="dxa"/>
            <w:vAlign w:val="bottom"/>
          </w:tcPr>
          <w:p>
            <w:pPr>
              <w:spacing w:after="0"/>
              <w:rPr>
                <w:sz w:val="24"/>
                <w:szCs w:val="24"/>
                <w:color w:val="auto"/>
              </w:rPr>
            </w:pPr>
          </w:p>
        </w:tc>
        <w:tc>
          <w:tcPr>
            <w:tcW w:w="10780" w:type="dxa"/>
            <w:vAlign w:val="bottom"/>
          </w:tcPr>
          <w:p>
            <w:pPr>
              <w:ind w:left="49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274" w:right="259" w:bottom="1440" w:gutter="0" w:footer="0" w:header="0"/>
        </w:sectPr>
      </w:pPr>
    </w:p>
    <w:bookmarkStart w:id="274" w:name="page275"/>
    <w:bookmarkEnd w:id="27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32.3</w:t>
      </w:r>
      <w:r>
        <w:rPr>
          <w:sz w:val="20"/>
          <w:szCs w:val="20"/>
          <w:color w:val="auto"/>
        </w:rPr>
        <w:tab/>
      </w:r>
      <w:r>
        <w:rPr>
          <w:rFonts w:ascii="Arial" w:cs="Arial" w:eastAsia="Arial" w:hAnsi="Arial"/>
          <w:sz w:val="16"/>
          <w:szCs w:val="16"/>
          <w:b w:val="1"/>
          <w:bCs w:val="1"/>
          <w:color w:val="auto"/>
        </w:rPr>
        <w:t>Choice of forum for the exclusive benefit of the Creditor Parties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Clause 32.2 is for the exclusive benefit of the Creditor Parties, each of which reserves the right:</w:t>
      </w:r>
    </w:p>
    <w:p>
      <w:pPr>
        <w:spacing w:after="0" w:line="131" w:lineRule="exact"/>
        <w:rPr>
          <w:sz w:val="20"/>
          <w:szCs w:val="20"/>
          <w:color w:val="auto"/>
        </w:rPr>
      </w:pPr>
    </w:p>
    <w:p>
      <w:pPr>
        <w:ind w:left="920" w:hanging="912"/>
        <w:spacing w:after="0" w:line="277" w:lineRule="auto"/>
        <w:tabs>
          <w:tab w:leader="none" w:pos="9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920" w:right="360" w:hanging="912"/>
        <w:spacing w:after="0" w:line="277" w:lineRule="auto"/>
        <w:tabs>
          <w:tab w:leader="none" w:pos="9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No Borrower shall commence any proceedings in any country other than England in relation to a Dispute.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Each Borrower irrevocably appoints Curzon Maritime Ltd. at its office for the time being, presently at 30/33 Minories Street, St. Clare House, London EC3N 1DJ, England, to act as its agent to receive and accept on its behalf any process or other document relating to any proceedings in the English courts which are connected with a Dispute.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Creditor Party rights unaffected</w:t>
      </w:r>
    </w:p>
    <w:p>
      <w:pPr>
        <w:spacing w:after="0" w:line="121" w:lineRule="exact"/>
        <w:rPr>
          <w:sz w:val="20"/>
          <w:szCs w:val="20"/>
          <w:color w:val="auto"/>
        </w:rPr>
      </w:pPr>
    </w:p>
    <w:p>
      <w:pPr>
        <w:ind w:left="920" w:right="260"/>
        <w:spacing w:after="0" w:line="264" w:lineRule="auto"/>
        <w:rPr>
          <w:sz w:val="20"/>
          <w:szCs w:val="20"/>
          <w:color w:val="auto"/>
        </w:rPr>
      </w:pPr>
      <w:r>
        <w:rPr>
          <w:rFonts w:ascii="Arial" w:cs="Arial" w:eastAsia="Arial" w:hAnsi="Arial"/>
          <w:sz w:val="18"/>
          <w:szCs w:val="18"/>
          <w:color w:val="auto"/>
        </w:rPr>
        <w:t>Nothing in this Clause 32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5"/>
          <w:szCs w:val="15"/>
          <w:b w:val="1"/>
          <w:bCs w:val="1"/>
          <w:color w:val="auto"/>
        </w:rPr>
        <w:t>Meaning of “proceedings”</w:t>
      </w:r>
    </w:p>
    <w:p>
      <w:pPr>
        <w:spacing w:after="0" w:line="117" w:lineRule="exact"/>
        <w:rPr>
          <w:sz w:val="20"/>
          <w:szCs w:val="20"/>
          <w:color w:val="auto"/>
        </w:rPr>
      </w:pPr>
    </w:p>
    <w:p>
      <w:pPr>
        <w:ind w:left="920" w:right="460"/>
        <w:spacing w:after="0" w:line="289" w:lineRule="auto"/>
        <w:rPr>
          <w:sz w:val="20"/>
          <w:szCs w:val="20"/>
          <w:color w:val="auto"/>
        </w:rPr>
      </w:pPr>
      <w:r>
        <w:rPr>
          <w:rFonts w:ascii="Arial" w:cs="Arial" w:eastAsia="Arial" w:hAnsi="Arial"/>
          <w:sz w:val="17"/>
          <w:szCs w:val="17"/>
          <w:color w:val="auto"/>
        </w:rPr>
        <w:t>In this Clause 32, “</w:t>
      </w:r>
      <w:r>
        <w:rPr>
          <w:rFonts w:ascii="Arial" w:cs="Arial" w:eastAsia="Arial" w:hAnsi="Arial"/>
          <w:sz w:val="17"/>
          <w:szCs w:val="17"/>
          <w:b w:val="1"/>
          <w:bCs w:val="1"/>
          <w:color w:val="auto"/>
        </w:rPr>
        <w:t>proceedings</w:t>
      </w:r>
      <w:r>
        <w:rPr>
          <w:rFonts w:ascii="Arial" w:cs="Arial" w:eastAsia="Arial" w:hAnsi="Arial"/>
          <w:sz w:val="17"/>
          <w:szCs w:val="17"/>
          <w:color w:val="auto"/>
        </w:rPr>
        <w:t>” means proceedings of any kind, including an application for a provisional or protective measure and a “</w:t>
      </w:r>
      <w:r>
        <w:rPr>
          <w:rFonts w:ascii="Arial" w:cs="Arial" w:eastAsia="Arial" w:hAnsi="Arial"/>
          <w:sz w:val="17"/>
          <w:szCs w:val="17"/>
          <w:b w:val="1"/>
          <w:bCs w:val="1"/>
          <w:color w:val="auto"/>
        </w:rPr>
        <w:t>Dispute</w:t>
      </w:r>
      <w:r>
        <w:rPr>
          <w:rFonts w:ascii="Arial" w:cs="Arial" w:eastAsia="Arial" w:hAnsi="Arial"/>
          <w:sz w:val="17"/>
          <w:szCs w:val="17"/>
          <w:color w:val="auto"/>
        </w:rPr>
        <w:t>” means any dispute arising out of or in connection with this Agreement (including a dispute relating to the existence, validity or termination of this Agreement) or any non-contractual obligation arising out of or in connection with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00"/>
          </w:cols>
          <w:pgMar w:left="240" w:top="270" w:right="35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LENDERS AND 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Commitment</w:t>
            </w:r>
          </w:p>
        </w:tc>
        <w:tc>
          <w:tcPr>
            <w:tcW w:w="124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24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3960" w:type="dxa"/>
            <w:vAlign w:val="bottom"/>
          </w:tcPr>
          <w:p>
            <w:pPr>
              <w:ind w:left="2300"/>
              <w:spacing w:after="0"/>
              <w:rPr>
                <w:sz w:val="20"/>
                <w:szCs w:val="20"/>
                <w:color w:val="auto"/>
              </w:rPr>
            </w:pPr>
            <w:r>
              <w:rPr>
                <w:rFonts w:ascii="Arial" w:cs="Arial" w:eastAsia="Arial" w:hAnsi="Arial"/>
                <w:sz w:val="14"/>
                <w:szCs w:val="14"/>
                <w:b w:val="1"/>
                <w:bCs w:val="1"/>
                <w:color w:val="auto"/>
              </w:rPr>
              <w:t>Lending Office</w:t>
            </w:r>
          </w:p>
        </w:tc>
        <w:tc>
          <w:tcPr>
            <w:tcW w:w="1880" w:type="dxa"/>
            <w:vAlign w:val="bottom"/>
          </w:tcPr>
          <w:p>
            <w:pPr>
              <w:jc w:val="right"/>
              <w:ind w:right="58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ind w:left="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ING Bank N.V.,</w:t>
            </w:r>
          </w:p>
        </w:tc>
        <w:tc>
          <w:tcPr>
            <w:tcW w:w="3960" w:type="dxa"/>
            <w:vAlign w:val="bottom"/>
            <w:shd w:val="clear" w:color="auto" w:fill="CCEEFF"/>
          </w:tcPr>
          <w:p>
            <w:pPr>
              <w:ind w:left="1320"/>
              <w:spacing w:after="0" w:line="201" w:lineRule="exact"/>
              <w:rPr>
                <w:sz w:val="20"/>
                <w:szCs w:val="20"/>
                <w:color w:val="auto"/>
              </w:rPr>
            </w:pPr>
            <w:r>
              <w:rPr>
                <w:rFonts w:ascii="Arial" w:cs="Arial" w:eastAsia="Arial" w:hAnsi="Arial"/>
                <w:sz w:val="18"/>
                <w:szCs w:val="18"/>
                <w:color w:val="auto"/>
              </w:rPr>
              <w:t>60 London Wall</w:t>
            </w:r>
          </w:p>
        </w:tc>
        <w:tc>
          <w:tcPr>
            <w:tcW w:w="1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London Branch</w:t>
            </w:r>
          </w:p>
        </w:tc>
        <w:tc>
          <w:tcPr>
            <w:tcW w:w="39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London EC2M 5TQ</w:t>
            </w:r>
          </w:p>
        </w:tc>
        <w:tc>
          <w:tcPr>
            <w:tcW w:w="1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CEEFF"/>
          </w:tcPr>
          <w:p>
            <w:pPr>
              <w:spacing w:after="0"/>
              <w:rPr>
                <w:sz w:val="21"/>
                <w:szCs w:val="21"/>
                <w:color w:val="auto"/>
              </w:rPr>
            </w:pPr>
          </w:p>
        </w:tc>
        <w:tc>
          <w:tcPr>
            <w:tcW w:w="39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England</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997,830,000</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500" w:type="dxa"/>
            <w:vAlign w:val="bottom"/>
          </w:tcPr>
          <w:p>
            <w:pPr>
              <w:spacing w:after="0"/>
              <w:rPr>
                <w:sz w:val="24"/>
                <w:szCs w:val="24"/>
                <w:color w:val="auto"/>
              </w:rPr>
            </w:pPr>
          </w:p>
        </w:tc>
        <w:tc>
          <w:tcPr>
            <w:tcW w:w="3960" w:type="dxa"/>
            <w:vAlign w:val="bottom"/>
          </w:tcPr>
          <w:p>
            <w:pPr>
              <w:ind w:left="2160"/>
              <w:spacing w:after="0"/>
              <w:rPr>
                <w:sz w:val="20"/>
                <w:szCs w:val="20"/>
                <w:color w:val="auto"/>
              </w:rPr>
            </w:pPr>
            <w:r>
              <w:rPr>
                <w:rFonts w:ascii="Arial" w:cs="Arial" w:eastAsia="Arial" w:hAnsi="Arial"/>
                <w:sz w:val="18"/>
                <w:szCs w:val="18"/>
                <w:color w:val="auto"/>
              </w:rPr>
              <w:t>102</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160" w:top="270" w:right="1159" w:bottom="1440" w:gutter="0" w:footer="0" w:header="0"/>
        </w:sectPr>
      </w:pPr>
    </w:p>
    <w:bookmarkStart w:id="276" w:name="page277"/>
    <w:bookmarkEnd w:id="276"/>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DRAWDOWN NOTICE</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ING BANK N.V., London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60 London 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EC2M 5TQ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Administration]</w:t>
      </w:r>
    </w:p>
    <w:p>
      <w:pPr>
        <w:spacing w:after="0" w:line="127" w:lineRule="exact"/>
        <w:rPr>
          <w:sz w:val="20"/>
          <w:szCs w:val="20"/>
          <w:color w:val="auto"/>
        </w:rPr>
      </w:pPr>
    </w:p>
    <w:p>
      <w:pPr>
        <w:ind w:left="920" w:hanging="912"/>
        <w:spacing w:after="0" w:line="314" w:lineRule="auto"/>
        <w:tabs>
          <w:tab w:leader="none" w:pos="92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We refer to the loan agreement (the “</w:t>
      </w:r>
      <w:r>
        <w:rPr>
          <w:rFonts w:ascii="Arial" w:cs="Arial" w:eastAsia="Arial" w:hAnsi="Arial"/>
          <w:sz w:val="16"/>
          <w:szCs w:val="16"/>
          <w:b w:val="1"/>
          <w:bCs w:val="1"/>
          <w:color w:val="auto"/>
        </w:rPr>
        <w:t>Loan Agreement</w:t>
      </w:r>
      <w:r>
        <w:rPr>
          <w:rFonts w:ascii="Arial" w:cs="Arial" w:eastAsia="Arial" w:hAnsi="Arial"/>
          <w:sz w:val="16"/>
          <w:szCs w:val="16"/>
          <w:color w:val="auto"/>
        </w:rPr>
        <w:t>”) dated [●] 2015 and made between us, as Borrowers, the Lenders referred to therein, ING Bank N.V. as Swap Bank, and yourselves as Facility Agent and Security Trustee and in connection with a term loan facility of up to US$97,830,000in aggregate. Terms defined in the Loan Agreement have their defined meanings when used in this Drawdown Notice.</w:t>
      </w:r>
    </w:p>
    <w:p>
      <w:pPr>
        <w:spacing w:after="0" w:line="52" w:lineRule="exact"/>
        <w:rPr>
          <w:sz w:val="20"/>
          <w:szCs w:val="20"/>
          <w:color w:val="auto"/>
        </w:rPr>
      </w:pPr>
    </w:p>
    <w:p>
      <w:pPr>
        <w:ind w:left="920" w:hanging="912"/>
        <w:spacing w:after="0"/>
        <w:tabs>
          <w:tab w:leader="none" w:pos="9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We request to borrow [an Advance under Tranche [●]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(a)</w:t>
            </w:r>
          </w:p>
        </w:tc>
        <w:tc>
          <w:tcPr>
            <w:tcW w:w="1740" w:type="dxa"/>
            <w:vAlign w:val="bottom"/>
          </w:tcPr>
          <w:p>
            <w:pPr>
              <w:ind w:left="360"/>
              <w:spacing w:after="0"/>
              <w:rPr>
                <w:sz w:val="20"/>
                <w:szCs w:val="20"/>
                <w:color w:val="auto"/>
              </w:rPr>
            </w:pPr>
            <w:r>
              <w:rPr>
                <w:rFonts w:ascii="Arial" w:cs="Arial" w:eastAsia="Arial" w:hAnsi="Arial"/>
                <w:sz w:val="18"/>
                <w:szCs w:val="18"/>
                <w:color w:val="auto"/>
              </w:rPr>
              <w:t>Amount: US$[</w:t>
            </w:r>
          </w:p>
        </w:tc>
        <w:tc>
          <w:tcPr>
            <w:tcW w:w="1940" w:type="dxa"/>
            <w:vAlign w:val="bottom"/>
          </w:tcPr>
          <w:p>
            <w:pPr>
              <w:jc w:val="right"/>
              <w:ind w:right="171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38"/>
        </w:trPr>
        <w:tc>
          <w:tcPr>
            <w:tcW w:w="560" w:type="dxa"/>
            <w:vAlign w:val="bottom"/>
          </w:tcPr>
          <w:p>
            <w:pPr>
              <w:spacing w:after="0"/>
              <w:rPr>
                <w:sz w:val="20"/>
                <w:szCs w:val="20"/>
                <w:color w:val="auto"/>
              </w:rPr>
            </w:pPr>
            <w:r>
              <w:rPr>
                <w:rFonts w:ascii="Arial" w:cs="Arial" w:eastAsia="Arial" w:hAnsi="Arial"/>
                <w:sz w:val="18"/>
                <w:szCs w:val="18"/>
                <w:color w:val="auto"/>
              </w:rPr>
              <w:t>(b)</w:t>
            </w:r>
          </w:p>
        </w:tc>
        <w:tc>
          <w:tcPr>
            <w:tcW w:w="1740" w:type="dxa"/>
            <w:vAlign w:val="bottom"/>
          </w:tcPr>
          <w:p>
            <w:pPr>
              <w:ind w:left="360"/>
              <w:spacing w:after="0"/>
              <w:rPr>
                <w:sz w:val="20"/>
                <w:szCs w:val="20"/>
                <w:color w:val="auto"/>
              </w:rPr>
            </w:pPr>
            <w:r>
              <w:rPr>
                <w:rFonts w:ascii="Arial" w:cs="Arial" w:eastAsia="Arial" w:hAnsi="Arial"/>
                <w:sz w:val="18"/>
                <w:szCs w:val="18"/>
                <w:color w:val="auto"/>
                <w:w w:val="95"/>
              </w:rPr>
              <w:t>Drawdown Date: [</w:t>
            </w:r>
          </w:p>
        </w:tc>
        <w:tc>
          <w:tcPr>
            <w:tcW w:w="194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560" w:type="dxa"/>
            <w:vAlign w:val="bottom"/>
          </w:tcPr>
          <w:p>
            <w:pPr>
              <w:spacing w:after="0"/>
              <w:rPr>
                <w:sz w:val="20"/>
                <w:szCs w:val="20"/>
                <w:color w:val="auto"/>
              </w:rPr>
            </w:pPr>
            <w:r>
              <w:rPr>
                <w:rFonts w:ascii="Arial" w:cs="Arial" w:eastAsia="Arial" w:hAnsi="Arial"/>
                <w:sz w:val="18"/>
                <w:szCs w:val="18"/>
                <w:color w:val="auto"/>
              </w:rPr>
              <w:t>(c)</w:t>
            </w: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w w:val="93"/>
              </w:rPr>
              <w:t>Duration of the first Interest Period shall be [</w:t>
            </w:r>
          </w:p>
        </w:tc>
        <w:tc>
          <w:tcPr>
            <w:tcW w:w="1780" w:type="dxa"/>
            <w:vAlign w:val="bottom"/>
          </w:tcPr>
          <w:p>
            <w:pPr>
              <w:ind w:left="100"/>
              <w:spacing w:after="0"/>
              <w:rPr>
                <w:sz w:val="20"/>
                <w:szCs w:val="20"/>
                <w:color w:val="auto"/>
              </w:rPr>
            </w:pPr>
            <w:r>
              <w:rPr>
                <w:rFonts w:ascii="Arial" w:cs="Arial" w:eastAsia="Arial" w:hAnsi="Arial"/>
                <w:sz w:val="18"/>
                <w:szCs w:val="18"/>
                <w:color w:val="auto"/>
              </w:rPr>
              <w:t>] months;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560" w:type="dxa"/>
            <w:vAlign w:val="bottom"/>
          </w:tcPr>
          <w:p>
            <w:pPr>
              <w:spacing w:after="0"/>
              <w:rPr>
                <w:sz w:val="20"/>
                <w:szCs w:val="20"/>
                <w:color w:val="auto"/>
              </w:rPr>
            </w:pPr>
            <w:r>
              <w:rPr>
                <w:rFonts w:ascii="Arial" w:cs="Arial" w:eastAsia="Arial" w:hAnsi="Arial"/>
                <w:sz w:val="18"/>
                <w:szCs w:val="18"/>
                <w:color w:val="auto"/>
              </w:rPr>
              <w:t>(d)</w:t>
            </w: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Payment instructions : account of [</w:t>
            </w:r>
          </w:p>
        </w:tc>
        <w:tc>
          <w:tcPr>
            <w:tcW w:w="1780" w:type="dxa"/>
            <w:vAlign w:val="bottom"/>
          </w:tcPr>
          <w:p>
            <w:pPr>
              <w:ind w:left="80"/>
              <w:spacing w:after="0"/>
              <w:rPr>
                <w:sz w:val="20"/>
                <w:szCs w:val="20"/>
                <w:color w:val="auto"/>
              </w:rPr>
            </w:pPr>
            <w:r>
              <w:rPr>
                <w:rFonts w:ascii="Arial" w:cs="Arial" w:eastAsia="Arial" w:hAnsi="Arial"/>
                <w:sz w:val="18"/>
                <w:szCs w:val="18"/>
                <w:color w:val="auto"/>
              </w:rPr>
              <w:t>] and numbered [</w:t>
            </w:r>
          </w:p>
        </w:tc>
        <w:tc>
          <w:tcPr>
            <w:tcW w:w="1420" w:type="dxa"/>
            <w:vAlign w:val="bottom"/>
          </w:tcPr>
          <w:p>
            <w:pPr>
              <w:ind w:left="440"/>
              <w:spacing w:after="0"/>
              <w:rPr>
                <w:sz w:val="20"/>
                <w:szCs w:val="20"/>
                <w:color w:val="auto"/>
              </w:rPr>
            </w:pPr>
            <w:r>
              <w:rPr>
                <w:rFonts w:ascii="Arial" w:cs="Arial" w:eastAsia="Arial" w:hAnsi="Arial"/>
                <w:sz w:val="18"/>
                <w:szCs w:val="18"/>
                <w:color w:val="auto"/>
              </w:rPr>
              <w:t>] with [</w:t>
            </w:r>
          </w:p>
        </w:tc>
        <w:tc>
          <w:tcPr>
            <w:tcW w:w="1260" w:type="dxa"/>
            <w:vAlign w:val="bottom"/>
          </w:tcPr>
          <w:p>
            <w:pPr>
              <w:ind w:left="460"/>
              <w:spacing w:after="0"/>
              <w:rPr>
                <w:sz w:val="20"/>
                <w:szCs w:val="20"/>
                <w:color w:val="auto"/>
              </w:rPr>
            </w:pPr>
            <w:r>
              <w:rPr>
                <w:rFonts w:ascii="Arial" w:cs="Arial" w:eastAsia="Arial" w:hAnsi="Arial"/>
                <w:sz w:val="18"/>
                <w:szCs w:val="18"/>
                <w:color w:val="auto"/>
              </w:rPr>
              <w:t>] of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920" w:hanging="912"/>
        <w:spacing w:after="0"/>
        <w:tabs>
          <w:tab w:leader="none" w:pos="9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We represent and warrant that:</w:t>
      </w:r>
    </w:p>
    <w:p>
      <w:pPr>
        <w:spacing w:after="0" w:line="131" w:lineRule="exact"/>
        <w:rPr>
          <w:sz w:val="20"/>
          <w:szCs w:val="20"/>
          <w:color w:val="auto"/>
        </w:rPr>
      </w:pPr>
    </w:p>
    <w:p>
      <w:pPr>
        <w:ind w:left="920" w:right="120" w:hanging="912"/>
        <w:spacing w:after="0" w:line="277" w:lineRule="auto"/>
        <w:tabs>
          <w:tab w:leader="none" w:pos="9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representations and warranties in Clause 10 of the Loan Agreement would remain true and not misleading if repeated on the date of this notice with reference to the circumstances now existing; and</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will result from the borrowing of the Loan.</w:t>
      </w:r>
    </w:p>
    <w:p>
      <w:pPr>
        <w:spacing w:after="0" w:line="131" w:lineRule="exact"/>
        <w:rPr>
          <w:sz w:val="20"/>
          <w:szCs w:val="20"/>
          <w:color w:val="auto"/>
        </w:rPr>
      </w:pPr>
    </w:p>
    <w:p>
      <w:pPr>
        <w:ind w:left="920" w:hanging="912"/>
        <w:spacing w:after="0"/>
        <w:tabs>
          <w:tab w:leader="none" w:pos="9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This notice cannot be revoked without the prior consent of the Majority Lenders.</w:t>
      </w:r>
    </w:p>
    <w:p>
      <w:pPr>
        <w:spacing w:after="0" w:line="131" w:lineRule="exact"/>
        <w:rPr>
          <w:sz w:val="20"/>
          <w:szCs w:val="20"/>
          <w:color w:val="auto"/>
        </w:rPr>
      </w:pPr>
    </w:p>
    <w:p>
      <w:pPr>
        <w:ind w:left="920" w:hanging="912"/>
        <w:spacing w:after="0"/>
        <w:tabs>
          <w:tab w:leader="none" w:pos="9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[We authorise you to deduct any facility fees referred to in Clause 20.1 from the amount of the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Attorney-in-Fact</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FILONIKIS PRODUCT CARRIER S.A.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HELIOS PRODUCT CARRIER S.A.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HERCULES PRODUCT CARRIER S.A.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xml:space="preserve">IASON PRODUCT CARRIER S.A. </w:t>
      </w:r>
      <w:r>
        <w:rPr>
          <w:rFonts w:ascii="Arial" w:cs="Arial" w:eastAsia="Arial" w:hAnsi="Arial"/>
          <w:sz w:val="18"/>
          <w:szCs w:val="18"/>
          <w:color w:val="auto"/>
        </w:rPr>
        <w:t>and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ARCHON PRODUCT CARRIER S.A.</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240" w:top="270" w:right="579" w:bottom="1440" w:gutter="0" w:footer="0" w:header="0"/>
        </w:sectPr>
      </w:pPr>
    </w:p>
    <w:bookmarkStart w:id="277" w:name="page278"/>
    <w:bookmarkEnd w:id="27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CONDITIONS PRECEDENT DOCUMENTS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9.1(a).</w:t>
      </w:r>
    </w:p>
    <w:p>
      <w:pPr>
        <w:spacing w:after="0" w:line="131" w:lineRule="exact"/>
        <w:rPr>
          <w:sz w:val="20"/>
          <w:szCs w:val="20"/>
          <w:color w:val="auto"/>
        </w:rPr>
      </w:pPr>
    </w:p>
    <w:p>
      <w:pPr>
        <w:ind w:left="920" w:right="180" w:hanging="912"/>
        <w:spacing w:after="0" w:line="277" w:lineRule="auto"/>
        <w:tabs>
          <w:tab w:leader="none" w:pos="9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duly executed original of this Agreement, the Guarantee, the Shares Pledges and any other Finance Document if not otherwise referred to in this Schedule (and of each document required to be delivered by each Finance Document).</w:t>
      </w:r>
    </w:p>
    <w:p>
      <w:pPr>
        <w:spacing w:after="0" w:line="76" w:lineRule="exact"/>
        <w:rPr>
          <w:sz w:val="20"/>
          <w:szCs w:val="20"/>
          <w:color w:val="auto"/>
        </w:rPr>
      </w:pPr>
    </w:p>
    <w:p>
      <w:pPr>
        <w:ind w:left="920" w:hanging="912"/>
        <w:spacing w:after="0"/>
        <w:tabs>
          <w:tab w:leader="none" w:pos="9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constitutional documents of each Security Party.</w:t>
      </w:r>
    </w:p>
    <w:p>
      <w:pPr>
        <w:spacing w:after="0" w:line="131" w:lineRule="exact"/>
        <w:rPr>
          <w:sz w:val="20"/>
          <w:szCs w:val="20"/>
          <w:color w:val="auto"/>
        </w:rPr>
      </w:pPr>
    </w:p>
    <w:p>
      <w:pPr>
        <w:ind w:left="920" w:right="300" w:hanging="912"/>
        <w:spacing w:after="0" w:line="264" w:lineRule="auto"/>
        <w:tabs>
          <w:tab w:leader="none" w:pos="9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Copies of resolutions of the shareholders and directors of each Security Party authorising the execution of each of the Finance Documents to which it is a party and, in the case of the Borrowers, authorising named officers to give the Drawdown Notices and other notices under this Agreement and ratifying the execution of the Shipbuilding Contract relative to its Ship.</w:t>
      </w:r>
    </w:p>
    <w:p>
      <w:pPr>
        <w:spacing w:after="0" w:line="87" w:lineRule="exact"/>
        <w:rPr>
          <w:sz w:val="20"/>
          <w:szCs w:val="20"/>
          <w:color w:val="auto"/>
        </w:rPr>
      </w:pPr>
    </w:p>
    <w:p>
      <w:pPr>
        <w:ind w:left="920" w:hanging="912"/>
        <w:spacing w:after="0"/>
        <w:tabs>
          <w:tab w:leader="none" w:pos="9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any Finance Document is executed on behalf of each Security Party.</w:t>
      </w:r>
    </w:p>
    <w:p>
      <w:pPr>
        <w:spacing w:after="0" w:line="131" w:lineRule="exact"/>
        <w:rPr>
          <w:sz w:val="20"/>
          <w:szCs w:val="20"/>
          <w:color w:val="auto"/>
        </w:rPr>
      </w:pPr>
    </w:p>
    <w:p>
      <w:pPr>
        <w:ind w:left="920" w:right="160" w:hanging="912"/>
        <w:spacing w:after="0" w:line="277" w:lineRule="auto"/>
        <w:tabs>
          <w:tab w:leader="none" w:pos="9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Copies of all consents which any Security Party requires to enter into, or make any payment under, any Finance Document or the Shipbuilding Contract relative to that Borrower.</w:t>
      </w:r>
    </w:p>
    <w:p>
      <w:pPr>
        <w:spacing w:after="0" w:line="76" w:lineRule="exact"/>
        <w:rPr>
          <w:sz w:val="20"/>
          <w:szCs w:val="20"/>
          <w:color w:val="auto"/>
        </w:rPr>
      </w:pPr>
    </w:p>
    <w:p>
      <w:pPr>
        <w:ind w:left="920" w:right="140" w:hanging="912"/>
        <w:spacing w:after="0" w:line="277" w:lineRule="auto"/>
        <w:tabs>
          <w:tab w:leader="none" w:pos="9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Copies of the Underlying Documents and all amendments and supplements thereto and of all documents signed or issued by the parties thereto under or in connection with it.</w:t>
      </w:r>
    </w:p>
    <w:p>
      <w:pPr>
        <w:spacing w:after="0" w:line="76" w:lineRule="exact"/>
        <w:rPr>
          <w:sz w:val="20"/>
          <w:szCs w:val="20"/>
          <w:color w:val="auto"/>
        </w:rPr>
      </w:pPr>
    </w:p>
    <w:p>
      <w:pPr>
        <w:ind w:left="920" w:hanging="912"/>
        <w:spacing w:after="0" w:line="342" w:lineRule="auto"/>
        <w:tabs>
          <w:tab w:leader="none" w:pos="92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Such documentary evidence as the Facility Agent and its legal advisers may reasonably require in relation to the due authorisation and execution by the parties to each Underlying Document and of all documents to be executed by those parties under that Underlying Document.</w:t>
      </w:r>
    </w:p>
    <w:p>
      <w:pPr>
        <w:spacing w:after="0" w:line="29" w:lineRule="exact"/>
        <w:rPr>
          <w:sz w:val="20"/>
          <w:szCs w:val="20"/>
          <w:color w:val="auto"/>
        </w:rPr>
      </w:pPr>
    </w:p>
    <w:p>
      <w:pPr>
        <w:ind w:left="920" w:right="520" w:hanging="912"/>
        <w:spacing w:after="0" w:line="277" w:lineRule="auto"/>
        <w:tabs>
          <w:tab w:leader="none" w:pos="9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All documentation required by the Facility Agent in relation to any Security Party pursuant to the Facility Agent’s “know your customer” requirements.</w:t>
      </w:r>
    </w:p>
    <w:p>
      <w:pPr>
        <w:spacing w:after="0" w:line="76" w:lineRule="exact"/>
        <w:rPr>
          <w:sz w:val="20"/>
          <w:szCs w:val="20"/>
          <w:color w:val="auto"/>
        </w:rPr>
      </w:pPr>
    </w:p>
    <w:p>
      <w:pPr>
        <w:ind w:left="920" w:hanging="912"/>
        <w:spacing w:after="0"/>
        <w:tabs>
          <w:tab w:leader="none" w:pos="9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Documentary evidence that the agent for service of process named in Clause 32.4 has accepted its appointment.</w:t>
      </w:r>
    </w:p>
    <w:p>
      <w:pPr>
        <w:spacing w:after="0" w:line="131" w:lineRule="exact"/>
        <w:rPr>
          <w:sz w:val="20"/>
          <w:szCs w:val="20"/>
          <w:color w:val="auto"/>
        </w:rPr>
      </w:pPr>
    </w:p>
    <w:p>
      <w:pPr>
        <w:ind w:left="920" w:right="220" w:hanging="912"/>
        <w:spacing w:after="0" w:line="308" w:lineRule="auto"/>
        <w:tabs>
          <w:tab w:leader="none" w:pos="9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Favourable legal opinions from lawyers appointed by the Facility Agent on such matters concerning the laws of the Marshall Islands, Liberia, People’s Republic of China, South Korea and such other relevant jurisdictions as the Facility Agent may require.</w:t>
      </w:r>
    </w:p>
    <w:p>
      <w:pPr>
        <w:spacing w:after="0" w:line="51" w:lineRule="exact"/>
        <w:rPr>
          <w:rFonts w:ascii="Arial" w:cs="Arial" w:eastAsia="Arial" w:hAnsi="Arial"/>
          <w:sz w:val="17"/>
          <w:szCs w:val="17"/>
          <w:color w:val="auto"/>
        </w:rPr>
      </w:pPr>
    </w:p>
    <w:p>
      <w:pPr>
        <w:ind w:left="920" w:right="320" w:hanging="912"/>
        <w:spacing w:after="0" w:line="277" w:lineRule="auto"/>
        <w:tabs>
          <w:tab w:leader="none" w:pos="9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270" w:right="319" w:bottom="1440" w:gutter="0" w:footer="0" w:header="0"/>
        </w:sectPr>
      </w:pPr>
    </w:p>
    <w:bookmarkStart w:id="278" w:name="page279"/>
    <w:bookmarkEnd w:id="2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 DELIVERY ADVANCE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9.1(b) in relation to a drawdown of a Delivery Advance.</w:t>
      </w:r>
    </w:p>
    <w:p>
      <w:pPr>
        <w:spacing w:after="0" w:line="221"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color w:val="auto"/>
        </w:rPr>
        <w:t>In Part B of this Schedule 2, “</w:t>
      </w:r>
      <w:r>
        <w:rPr>
          <w:rFonts w:ascii="Arial" w:cs="Arial" w:eastAsia="Arial" w:hAnsi="Arial"/>
          <w:sz w:val="17"/>
          <w:szCs w:val="17"/>
          <w:b w:val="1"/>
          <w:bCs w:val="1"/>
          <w:color w:val="auto"/>
        </w:rPr>
        <w:t>Relevant Ship</w:t>
      </w:r>
      <w:r>
        <w:rPr>
          <w:rFonts w:ascii="Arial" w:cs="Arial" w:eastAsia="Arial" w:hAnsi="Arial"/>
          <w:sz w:val="17"/>
          <w:szCs w:val="17"/>
          <w:color w:val="auto"/>
        </w:rPr>
        <w:t>” means the Ship, the construction of which is to be financed or, as the case may be, re financed by the relevant Delivery Advance and “</w:t>
      </w:r>
      <w:r>
        <w:rPr>
          <w:rFonts w:ascii="Arial" w:cs="Arial" w:eastAsia="Arial" w:hAnsi="Arial"/>
          <w:sz w:val="17"/>
          <w:szCs w:val="17"/>
          <w:b w:val="1"/>
          <w:bCs w:val="1"/>
          <w:color w:val="auto"/>
        </w:rPr>
        <w:t>Relevant Borrower</w:t>
      </w:r>
      <w:r>
        <w:rPr>
          <w:rFonts w:ascii="Arial" w:cs="Arial" w:eastAsia="Arial" w:hAnsi="Arial"/>
          <w:sz w:val="17"/>
          <w:szCs w:val="17"/>
          <w:color w:val="auto"/>
        </w:rPr>
        <w:t>” means the Borrower which is or is to become the owner of that Relevant Ship on delivery.</w:t>
      </w:r>
    </w:p>
    <w:p>
      <w:pPr>
        <w:spacing w:after="0" w:line="48" w:lineRule="exact"/>
        <w:rPr>
          <w:sz w:val="20"/>
          <w:szCs w:val="20"/>
          <w:color w:val="auto"/>
        </w:rPr>
      </w:pPr>
    </w:p>
    <w:p>
      <w:pPr>
        <w:ind w:left="920" w:right="540" w:hanging="912"/>
        <w:spacing w:after="0" w:line="277" w:lineRule="auto"/>
        <w:tabs>
          <w:tab w:leader="none" w:pos="9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 duly executed original of the Mortgage, any Deed of Covenant, the General Assignment and any Charterparty Assignment (and of each document to be delivered under each of them) in respect of the Relevant Ship.</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Documentary evidence that:</w:t>
      </w:r>
    </w:p>
    <w:p>
      <w:pPr>
        <w:spacing w:after="0" w:line="131" w:lineRule="exact"/>
        <w:rPr>
          <w:sz w:val="20"/>
          <w:szCs w:val="20"/>
          <w:color w:val="auto"/>
        </w:rPr>
      </w:pPr>
    </w:p>
    <w:p>
      <w:pPr>
        <w:jc w:val="both"/>
        <w:ind w:left="920" w:right="40" w:hanging="912"/>
        <w:spacing w:after="0" w:line="286" w:lineRule="auto"/>
        <w:tabs>
          <w:tab w:leader="none" w:pos="9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the Relevant Ship has been unconditionally delivered by the Builder to, and accepted by, the Relevant Borrower under the Shipbuilding Contract relative thereto, and the Contract Price due under that Shipbuilding Contract (in addition to the part to be financed by the Delivery Advance) has been duly paid (together with, but not limited to, a copy of the bill of sale issued by the Builder and the builder’s certificate);</w:t>
      </w:r>
    </w:p>
    <w:p>
      <w:pPr>
        <w:spacing w:after="0" w:line="70" w:lineRule="exact"/>
        <w:rPr>
          <w:rFonts w:ascii="Arial" w:cs="Arial" w:eastAsia="Arial" w:hAnsi="Arial"/>
          <w:sz w:val="17"/>
          <w:szCs w:val="17"/>
          <w:color w:val="auto"/>
        </w:rPr>
      </w:pPr>
    </w:p>
    <w:p>
      <w:pPr>
        <w:ind w:left="920" w:right="280" w:hanging="912"/>
        <w:spacing w:after="0" w:line="277" w:lineRule="auto"/>
        <w:tabs>
          <w:tab w:leader="none" w:pos="9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Relevant Ship is definitively and permanently (or, if permitted by the relevant Approved Flag, provisionally) registered in the name of the Relevant Borrower under an Approved Flag;</w:t>
      </w:r>
    </w:p>
    <w:p>
      <w:pPr>
        <w:spacing w:after="0" w:line="75" w:lineRule="exact"/>
        <w:rPr>
          <w:rFonts w:ascii="Arial" w:cs="Arial" w:eastAsia="Arial" w:hAnsi="Arial"/>
          <w:sz w:val="18"/>
          <w:szCs w:val="18"/>
          <w:color w:val="auto"/>
        </w:rPr>
      </w:pPr>
    </w:p>
    <w:p>
      <w:pPr>
        <w:ind w:left="920" w:hanging="912"/>
        <w:spacing w:after="0"/>
        <w:tabs>
          <w:tab w:leader="none" w:pos="9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Relevant Ship is in the absolute and unencumbered ownership of the Relevant Borrower save as contemplated by the Finance Documents;</w:t>
      </w:r>
    </w:p>
    <w:p>
      <w:pPr>
        <w:spacing w:after="0" w:line="153" w:lineRule="exact"/>
        <w:rPr>
          <w:rFonts w:ascii="Arial" w:cs="Arial" w:eastAsia="Arial" w:hAnsi="Arial"/>
          <w:sz w:val="16"/>
          <w:szCs w:val="16"/>
          <w:color w:val="auto"/>
        </w:rPr>
      </w:pPr>
    </w:p>
    <w:p>
      <w:pPr>
        <w:ind w:left="920" w:right="60" w:hanging="912"/>
        <w:spacing w:after="0" w:line="342" w:lineRule="auto"/>
        <w:tabs>
          <w:tab w:leader="none" w:pos="9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Relevant Ship maintains the highest available class with such first-class classification society which is a member of IACS as the Lender may approve free of all recommendations and conditions of such classification society (except any that customarily apply to newbuilding vessels);</w:t>
      </w:r>
    </w:p>
    <w:p>
      <w:pPr>
        <w:spacing w:after="0" w:line="29" w:lineRule="exact"/>
        <w:rPr>
          <w:rFonts w:ascii="Arial" w:cs="Arial" w:eastAsia="Arial" w:hAnsi="Arial"/>
          <w:sz w:val="16"/>
          <w:szCs w:val="16"/>
          <w:color w:val="auto"/>
        </w:rPr>
      </w:pPr>
    </w:p>
    <w:p>
      <w:pPr>
        <w:ind w:left="920" w:right="300" w:hanging="912"/>
        <w:spacing w:after="0" w:line="277" w:lineRule="auto"/>
        <w:tabs>
          <w:tab w:leader="none" w:pos="9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relevant Mortgage has been duly registered or recorded (as the case may be) against the Relevant Ship as a valid first priority or preferred ship mortgage in accordance with the laws of an Approved Flag State; and</w:t>
      </w:r>
    </w:p>
    <w:p>
      <w:pPr>
        <w:spacing w:after="0" w:line="75" w:lineRule="exact"/>
        <w:rPr>
          <w:rFonts w:ascii="Arial" w:cs="Arial" w:eastAsia="Arial" w:hAnsi="Arial"/>
          <w:sz w:val="18"/>
          <w:szCs w:val="18"/>
          <w:color w:val="auto"/>
        </w:rPr>
      </w:pPr>
    </w:p>
    <w:p>
      <w:pPr>
        <w:ind w:left="920" w:right="80" w:hanging="912"/>
        <w:spacing w:after="0" w:line="277" w:lineRule="auto"/>
        <w:tabs>
          <w:tab w:leader="none" w:pos="9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Relevant Ship is insured in accordance with the provisions of this Agreement and all requirements therein in respect of insurances have been complied with.</w:t>
      </w:r>
    </w:p>
    <w:p>
      <w:pPr>
        <w:spacing w:after="0" w:line="76" w:lineRule="exact"/>
        <w:rPr>
          <w:sz w:val="20"/>
          <w:szCs w:val="20"/>
          <w:color w:val="auto"/>
        </w:rPr>
      </w:pPr>
    </w:p>
    <w:p>
      <w:pPr>
        <w:ind w:left="920" w:right="220" w:hanging="912"/>
        <w:spacing w:after="0" w:line="277" w:lineRule="auto"/>
        <w:tabs>
          <w:tab w:leader="none" w:pos="9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Documents establishing that the Relevant Ship will be or has been, as from its Delivery Date, be managed by the Approved Manager on terms acceptable to the Lender, together with:</w:t>
      </w:r>
    </w:p>
    <w:p>
      <w:pPr>
        <w:spacing w:after="0" w:line="76" w:lineRule="exact"/>
        <w:rPr>
          <w:sz w:val="20"/>
          <w:szCs w:val="20"/>
          <w:color w:val="auto"/>
        </w:rPr>
      </w:pPr>
    </w:p>
    <w:p>
      <w:pPr>
        <w:ind w:left="920" w:hanging="912"/>
        <w:spacing w:after="0"/>
        <w:tabs>
          <w:tab w:leader="none" w:pos="9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Approved Manager’s Undertaking in respect of the Relevant Ship; and</w:t>
      </w:r>
    </w:p>
    <w:p>
      <w:pPr>
        <w:spacing w:after="0" w:line="130" w:lineRule="exact"/>
        <w:rPr>
          <w:rFonts w:ascii="Arial" w:cs="Arial" w:eastAsia="Arial" w:hAnsi="Arial"/>
          <w:sz w:val="18"/>
          <w:szCs w:val="18"/>
          <w:color w:val="auto"/>
        </w:rPr>
      </w:pPr>
    </w:p>
    <w:p>
      <w:pPr>
        <w:ind w:left="920" w:right="140" w:hanging="912"/>
        <w:spacing w:after="0" w:line="264" w:lineRule="auto"/>
        <w:tabs>
          <w:tab w:leader="none" w:pos="9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copies of the document of compliance (DOC), the ISSC and any other ISPS document and the safety management certificate (SMC) referred to in paragraph (a) of the definition of the ISM Code Documentation certified as true and in effect by the Relevant Borrower and the Approved Manager.</w:t>
      </w:r>
    </w:p>
    <w:p>
      <w:pPr>
        <w:spacing w:after="0" w:line="87" w:lineRule="exact"/>
        <w:rPr>
          <w:sz w:val="20"/>
          <w:szCs w:val="20"/>
          <w:color w:val="auto"/>
        </w:rPr>
      </w:pPr>
    </w:p>
    <w:p>
      <w:pPr>
        <w:ind w:left="920" w:hanging="912"/>
        <w:spacing w:after="0" w:line="259" w:lineRule="auto"/>
        <w:tabs>
          <w:tab w:leader="none" w:pos="9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Two valuations of the Relevant Ship addressed to the Facility Agent and dated not earlier than 30 days before the Drawdown Date in respect of the Relevant Ship, each prepared at the cost of the Borrowers by an Approved Broker, in the case of the first valuation, selected and appointed by the Borrowers and in the case of the second valuation, selected and appointed by the Facility Agent and otherwise prepared in accordance with Clause 15.4.</w:t>
      </w:r>
    </w:p>
    <w:p>
      <w:pPr>
        <w:spacing w:after="0" w:line="92" w:lineRule="exact"/>
        <w:rPr>
          <w:rFonts w:ascii="Arial" w:cs="Arial" w:eastAsia="Arial" w:hAnsi="Arial"/>
          <w:sz w:val="18"/>
          <w:szCs w:val="18"/>
          <w:color w:val="auto"/>
        </w:rPr>
      </w:pPr>
    </w:p>
    <w:p>
      <w:pPr>
        <w:ind w:left="920" w:hanging="912"/>
        <w:spacing w:after="0"/>
        <w:tabs>
          <w:tab w:leader="none" w:pos="9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Evidence that the Earnings Account in respect of the Relevant Ship has been duly opened with the Facility Agent by the Relevant Borrower.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270" w:right="279" w:bottom="1440" w:gutter="0" w:footer="0" w:header="0"/>
        </w:sectPr>
      </w:pPr>
    </w:p>
    <w:bookmarkStart w:id="279" w:name="page280"/>
    <w:bookmarkEnd w:id="279"/>
    <w:p>
      <w:pPr>
        <w:ind w:left="912" w:right="100" w:hanging="912"/>
        <w:spacing w:after="0" w:line="277" w:lineRule="auto"/>
        <w:tabs>
          <w:tab w:leader="none" w:pos="912"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favourable opinion (at the cost of the Borrowers) from an independent insurance consultant acceptable to the Lender on such matters relating to the insurances for the Relevant Ship as the Facility Agent may require.</w:t>
      </w:r>
    </w:p>
    <w:p>
      <w:pPr>
        <w:spacing w:after="0" w:line="75" w:lineRule="exact"/>
        <w:rPr>
          <w:rFonts w:ascii="Arial" w:cs="Arial" w:eastAsia="Arial" w:hAnsi="Arial"/>
          <w:sz w:val="18"/>
          <w:szCs w:val="18"/>
          <w:color w:val="auto"/>
        </w:rPr>
      </w:pPr>
    </w:p>
    <w:p>
      <w:pPr>
        <w:ind w:left="912" w:hanging="912"/>
        <w:spacing w:after="0" w:line="277" w:lineRule="auto"/>
        <w:tabs>
          <w:tab w:leader="none" w:pos="91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Lender on such matters concerning the laws of the Approved Flag State and such other relevant jurisdictions as the Facility Agent may require.</w:t>
      </w:r>
    </w:p>
    <w:p>
      <w:pPr>
        <w:spacing w:after="0" w:line="62" w:lineRule="exact"/>
        <w:rPr>
          <w:rFonts w:ascii="Arial" w:cs="Arial" w:eastAsia="Arial" w:hAnsi="Arial"/>
          <w:sz w:val="18"/>
          <w:szCs w:val="18"/>
          <w:color w:val="auto"/>
        </w:rPr>
      </w:pPr>
    </w:p>
    <w:p>
      <w:pPr>
        <w:ind w:left="912" w:right="160"/>
        <w:spacing w:after="0" w:line="277" w:lineRule="auto"/>
        <w:rPr>
          <w:rFonts w:ascii="Arial" w:cs="Arial" w:eastAsia="Arial" w:hAnsi="Arial"/>
          <w:sz w:val="18"/>
          <w:szCs w:val="18"/>
          <w:color w:val="auto"/>
        </w:rPr>
      </w:pPr>
      <w:r>
        <w:rPr>
          <w:rFonts w:ascii="Arial" w:cs="Arial" w:eastAsia="Arial" w:hAnsi="Arial"/>
          <w:sz w:val="18"/>
          <w:szCs w:val="18"/>
          <w:color w:val="auto"/>
        </w:rPr>
        <w:t>Every copy document delivered under this Schedule shall be certified as a true and up to date copy by a director or the secretary (or equivalent officer) of the Borrowers.</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32"/>
          </w:cols>
          <w:pgMar w:left="248" w:top="274" w:right="319" w:bottom="1440" w:gutter="0" w:footer="0" w:header="0"/>
        </w:sectPr>
      </w:pPr>
    </w:p>
    <w:bookmarkStart w:id="280" w:name="page281"/>
    <w:bookmarkEnd w:id="280"/>
    <w:p>
      <w:pPr>
        <w:ind w:left="3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 ADVANCES OTHER THAN THE DELIVERY ADVANCE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9.1(c).</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Part C of this Schedule 2, “</w:t>
      </w:r>
      <w:r>
        <w:rPr>
          <w:rFonts w:ascii="Arial" w:cs="Arial" w:eastAsia="Arial" w:hAnsi="Arial"/>
          <w:sz w:val="18"/>
          <w:szCs w:val="18"/>
          <w:b w:val="1"/>
          <w:bCs w:val="1"/>
          <w:color w:val="auto"/>
        </w:rPr>
        <w:t>Relevant Instalment</w:t>
      </w:r>
      <w:r>
        <w:rPr>
          <w:rFonts w:ascii="Arial" w:cs="Arial" w:eastAsia="Arial" w:hAnsi="Arial"/>
          <w:sz w:val="18"/>
          <w:szCs w:val="18"/>
          <w:color w:val="auto"/>
        </w:rPr>
        <w:t>” means the instalment payable pursuant to Article II of the Shipbuilding Contract relating to a Designated Ship (the “</w:t>
      </w:r>
      <w:r>
        <w:rPr>
          <w:rFonts w:ascii="Arial" w:cs="Arial" w:eastAsia="Arial" w:hAnsi="Arial"/>
          <w:sz w:val="18"/>
          <w:szCs w:val="18"/>
          <w:b w:val="1"/>
          <w:bCs w:val="1"/>
          <w:color w:val="auto"/>
        </w:rPr>
        <w:t>Relevant Shipbuilding Contract</w:t>
      </w:r>
      <w:r>
        <w:rPr>
          <w:rFonts w:ascii="Arial" w:cs="Arial" w:eastAsia="Arial" w:hAnsi="Arial"/>
          <w:sz w:val="18"/>
          <w:szCs w:val="18"/>
          <w:color w:val="auto"/>
        </w:rPr>
        <w:t>”) which is to be part-financed or, as the case may be, re-financed in part by the Advance being drawndown on the relevant Drawdown Date.</w:t>
      </w:r>
    </w:p>
    <w:p>
      <w:pPr>
        <w:spacing w:after="0" w:line="86" w:lineRule="exact"/>
        <w:rPr>
          <w:sz w:val="20"/>
          <w:szCs w:val="20"/>
          <w:color w:val="auto"/>
        </w:rPr>
      </w:pPr>
    </w:p>
    <w:p>
      <w:pPr>
        <w:ind w:left="920" w:right="80" w:hanging="912"/>
        <w:spacing w:after="0" w:line="277" w:lineRule="auto"/>
        <w:tabs>
          <w:tab w:leader="none" w:pos="92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A duly executed original of the Pre-Delivery Security Assignment (and of each document required to be delivered thereunder) in respect of such Designated Ship.</w:t>
      </w:r>
    </w:p>
    <w:p>
      <w:pPr>
        <w:spacing w:after="0" w:line="76" w:lineRule="exact"/>
        <w:rPr>
          <w:sz w:val="20"/>
          <w:szCs w:val="20"/>
          <w:color w:val="auto"/>
        </w:rPr>
      </w:pPr>
    </w:p>
    <w:p>
      <w:pPr>
        <w:ind w:left="920" w:right="140" w:hanging="912"/>
        <w:spacing w:after="0" w:line="277" w:lineRule="auto"/>
        <w:tabs>
          <w:tab w:leader="none" w:pos="9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Signed acknowledgments from the Builder and the Refund Guarantors in the form acceptable to the Facility Agent and set out in Appendix 1 of the relevant Pre-Delivery Security Assignment.</w:t>
      </w:r>
    </w:p>
    <w:p>
      <w:pPr>
        <w:spacing w:after="0" w:line="76" w:lineRule="exact"/>
        <w:rPr>
          <w:sz w:val="20"/>
          <w:szCs w:val="20"/>
          <w:color w:val="auto"/>
        </w:rPr>
      </w:pPr>
    </w:p>
    <w:p>
      <w:pPr>
        <w:ind w:left="920" w:right="80" w:hanging="912"/>
        <w:spacing w:after="0" w:line="277" w:lineRule="auto"/>
        <w:tabs>
          <w:tab w:leader="none" w:pos="9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the Advance being drawn down is intended to refinance any Relevant Instalment, documentary evidence that the full amount of such Relevant Instalment has been paid by the relevant Borrower.</w:t>
      </w:r>
    </w:p>
    <w:p>
      <w:pPr>
        <w:spacing w:after="0" w:line="76" w:lineRule="exact"/>
        <w:rPr>
          <w:sz w:val="20"/>
          <w:szCs w:val="20"/>
          <w:color w:val="auto"/>
        </w:rPr>
      </w:pPr>
    </w:p>
    <w:p>
      <w:pPr>
        <w:ind w:left="920" w:right="320" w:hanging="912"/>
        <w:spacing w:after="0" w:line="277" w:lineRule="auto"/>
        <w:tabs>
          <w:tab w:leader="none" w:pos="9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 copy of the stage certificate which is a condition to the payment of the Relevant Instalment pursuant to the Relevant Shipbuilding Contract issued by the applicable classification society surveyor.</w:t>
      </w:r>
    </w:p>
    <w:p>
      <w:pPr>
        <w:spacing w:after="0" w:line="76" w:lineRule="exact"/>
        <w:rPr>
          <w:sz w:val="20"/>
          <w:szCs w:val="20"/>
          <w:color w:val="auto"/>
        </w:rPr>
      </w:pPr>
    </w:p>
    <w:p>
      <w:pPr>
        <w:ind w:left="920" w:right="140" w:hanging="912"/>
        <w:spacing w:after="0" w:line="277" w:lineRule="auto"/>
        <w:tabs>
          <w:tab w:leader="none" w:pos="9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Evidence satisfactory to the Facility Agent as to the amounts due and payable by the relevant Borrower to the Builder in respect of the Relevant Instalment pursuant to the Relevant Shipbuilding Contract.</w:t>
      </w:r>
    </w:p>
    <w:p>
      <w:pPr>
        <w:spacing w:after="0" w:line="76" w:lineRule="exact"/>
        <w:rPr>
          <w:sz w:val="20"/>
          <w:szCs w:val="20"/>
          <w:color w:val="auto"/>
        </w:rPr>
      </w:pPr>
    </w:p>
    <w:p>
      <w:pPr>
        <w:ind w:left="920" w:right="260" w:hanging="912"/>
        <w:spacing w:after="0" w:line="342" w:lineRule="auto"/>
        <w:tabs>
          <w:tab w:leader="none" w:pos="9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the Advance being drawn down is to be used to finance the Relevant Instalment, documentary evidence that the full amount of the Relevant Instalment (in addition to that part which is to be financed by the relevant Advance) has been duly paid or will be paid at the same time.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0" w:right="25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CERTIFICATE</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Transferor and the Transferee accept exclusive responsibility for ensuring that this Certificate and the transaction to which it relates comply with all legal and regulatory requirements applicable to them respectively.</w:t>
      </w:r>
    </w:p>
    <w:p>
      <w:pPr>
        <w:spacing w:after="0" w:line="16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ING BANK N.V., London Branch</w:t>
      </w:r>
      <w:r>
        <w:rPr>
          <w:rFonts w:ascii="Arial" w:cs="Arial" w:eastAsia="Arial" w:hAnsi="Arial"/>
          <w:sz w:val="18"/>
          <w:szCs w:val="18"/>
          <w:color w:val="auto"/>
        </w:rPr>
        <w:t xml:space="preserve"> for itself and for and on behalf of the Borrowers, each Security Party, the Security Trustee and each Lender, as defined in the Loan Agreement referred to below.</w:t>
      </w:r>
    </w:p>
    <w:p>
      <w:pPr>
        <w:spacing w:after="0" w:line="166" w:lineRule="exact"/>
        <w:rPr>
          <w:sz w:val="20"/>
          <w:szCs w:val="20"/>
          <w:color w:val="auto"/>
        </w:rPr>
      </w:pPr>
    </w:p>
    <w:tbl>
      <w:tblPr>
        <w:tblLayout w:type="fixed"/>
        <w:tblInd w:w="10240" w:type="dxa"/>
        <w:tblCellMar>
          <w:top w:w="0" w:type="dxa"/>
          <w:left w:w="0" w:type="dxa"/>
          <w:bottom w:w="0" w:type="dxa"/>
          <w:right w:w="0" w:type="dxa"/>
        </w:tblCellMar>
      </w:tblPr>
      <w:tr>
        <w:trPr>
          <w:trHeight w:val="230"/>
        </w:trPr>
        <w:tc>
          <w:tcPr>
            <w:tcW w:w="320" w:type="dxa"/>
            <w:vAlign w:val="bottom"/>
          </w:tcPr>
          <w:p>
            <w:pPr>
              <w:jc w:val="right"/>
              <w:ind w:right="170"/>
              <w:spacing w:after="0"/>
              <w:rPr>
                <w:sz w:val="20"/>
                <w:szCs w:val="20"/>
                <w:color w:val="auto"/>
              </w:rPr>
            </w:pPr>
            <w:r>
              <w:rPr>
                <w:rFonts w:ascii="Arial" w:cs="Arial" w:eastAsia="Arial" w:hAnsi="Arial"/>
                <w:sz w:val="18"/>
                <w:szCs w:val="18"/>
                <w:color w:val="auto"/>
                <w:w w:val="78"/>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25" w:lineRule="exact"/>
        <w:rPr>
          <w:sz w:val="20"/>
          <w:szCs w:val="20"/>
          <w:color w:val="auto"/>
        </w:rPr>
      </w:pPr>
    </w:p>
    <w:p>
      <w:pPr>
        <w:ind w:left="920" w:hanging="912"/>
        <w:spacing w:after="0"/>
        <w:tabs>
          <w:tab w:leader="none" w:pos="9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This Certificate relates to a Loan Agreement (as amended and restated on [●] 2013, the “</w:t>
      </w:r>
      <w:r>
        <w:rPr>
          <w:rFonts w:ascii="Arial" w:cs="Arial" w:eastAsia="Arial" w:hAnsi="Arial"/>
          <w:sz w:val="16"/>
          <w:szCs w:val="16"/>
          <w:b w:val="1"/>
          <w:bCs w:val="1"/>
          <w:color w:val="auto"/>
        </w:rPr>
        <w:t>Loan Agreement</w:t>
      </w:r>
      <w:r>
        <w:rPr>
          <w:rFonts w:ascii="Arial" w:cs="Arial" w:eastAsia="Arial" w:hAnsi="Arial"/>
          <w:sz w:val="16"/>
          <w:szCs w:val="16"/>
          <w:color w:val="auto"/>
        </w:rPr>
        <w:t>”) dated [●] 2015 and made between</w:t>
      </w:r>
    </w:p>
    <w:p>
      <w:pPr>
        <w:spacing w:after="0" w:line="50" w:lineRule="exact"/>
        <w:rPr>
          <w:rFonts w:ascii="Arial" w:cs="Arial" w:eastAsia="Arial" w:hAnsi="Arial"/>
          <w:sz w:val="16"/>
          <w:szCs w:val="16"/>
          <w:color w:val="auto"/>
        </w:rPr>
      </w:pPr>
    </w:p>
    <w:p>
      <w:pPr>
        <w:ind w:left="920" w:right="1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FILONIKIS PRODUCT CARRIER S.A., HELIOS PRODUCT CARRIER S.A., HERCULES PRODUCT CARRIER S.A., IASON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PRODUCT CARRIER S.A. </w:t>
      </w:r>
      <w:r>
        <w:rPr>
          <w:rFonts w:ascii="Arial" w:cs="Arial" w:eastAsia="Arial" w:hAnsi="Arial"/>
          <w:sz w:val="18"/>
          <w:szCs w:val="18"/>
          <w:color w:val="auto"/>
        </w:rPr>
        <w:t>and</w:t>
      </w:r>
      <w:r>
        <w:rPr>
          <w:rFonts w:ascii="Arial" w:cs="Arial" w:eastAsia="Arial" w:hAnsi="Arial"/>
          <w:sz w:val="18"/>
          <w:szCs w:val="18"/>
          <w:b w:val="1"/>
          <w:bCs w:val="1"/>
          <w:color w:val="auto"/>
        </w:rPr>
        <w:t xml:space="preserve"> ARCHON PRODUCT CARRIER S.A. </w:t>
      </w:r>
      <w:r>
        <w:rPr>
          <w:rFonts w:ascii="Arial" w:cs="Arial" w:eastAsia="Arial" w:hAnsi="Arial"/>
          <w:sz w:val="18"/>
          <w:szCs w:val="18"/>
          <w:color w:val="auto"/>
        </w:rPr>
        <w:t>(together, the “</w:t>
      </w:r>
      <w:r>
        <w:rPr>
          <w:rFonts w:ascii="Arial" w:cs="Arial" w:eastAsia="Arial" w:hAnsi="Arial"/>
          <w:sz w:val="18"/>
          <w:szCs w:val="18"/>
          <w:b w:val="1"/>
          <w:bCs w:val="1"/>
          <w:color w:val="auto"/>
        </w:rPr>
        <w:t>Borrowers</w:t>
      </w:r>
      <w:r>
        <w:rPr>
          <w:rFonts w:ascii="Arial" w:cs="Arial" w:eastAsia="Arial" w:hAnsi="Arial"/>
          <w:sz w:val="18"/>
          <w:szCs w:val="18"/>
          <w:color w:val="auto"/>
        </w:rPr>
        <w:t>”), (2) the banks and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named therein, (3) ING Bank N.V. as Swap Bank and (4) ING Bank N.V., London Branch as Facility Agent and Security Trustee and, for a term loan facility of up to US$97,830,000in aggregate.</w:t>
      </w:r>
    </w:p>
    <w:p>
      <w:pPr>
        <w:spacing w:after="0" w:line="95" w:lineRule="exact"/>
        <w:rPr>
          <w:sz w:val="20"/>
          <w:szCs w:val="20"/>
          <w:color w:val="auto"/>
        </w:rPr>
      </w:pPr>
    </w:p>
    <w:p>
      <w:pPr>
        <w:ind w:left="920" w:hanging="912"/>
        <w:spacing w:after="0"/>
        <w:tabs>
          <w:tab w:leader="none" w:pos="9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this Certificate:</w:t>
      </w:r>
    </w:p>
    <w:p>
      <w:pPr>
        <w:spacing w:after="0" w:line="113" w:lineRule="exact"/>
        <w:rPr>
          <w:rFonts w:ascii="Arial" w:cs="Arial" w:eastAsia="Arial" w:hAnsi="Arial"/>
          <w:sz w:val="18"/>
          <w:szCs w:val="18"/>
          <w:color w:val="auto"/>
        </w:rPr>
      </w:pPr>
    </w:p>
    <w:p>
      <w:pPr>
        <w:ind w:left="920" w:right="13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Relevant Parties</w:t>
      </w:r>
      <w:r>
        <w:rPr>
          <w:rFonts w:ascii="Arial" w:cs="Arial" w:eastAsia="Arial" w:hAnsi="Arial"/>
          <w:sz w:val="18"/>
          <w:szCs w:val="18"/>
          <w:color w:val="auto"/>
        </w:rPr>
        <w:t>” means the Facility Agent, each Borrower, [each Security Party], the Security Trustee, and each Lender; “</w:t>
      </w:r>
      <w:r>
        <w:rPr>
          <w:rFonts w:ascii="Arial" w:cs="Arial" w:eastAsia="Arial" w:hAnsi="Arial"/>
          <w:sz w:val="18"/>
          <w:szCs w:val="18"/>
          <w:b w:val="1"/>
          <w:bCs w:val="1"/>
          <w:color w:val="auto"/>
        </w:rPr>
        <w:t>the Transferor</w:t>
      </w:r>
      <w:r>
        <w:rPr>
          <w:rFonts w:ascii="Arial" w:cs="Arial" w:eastAsia="Arial" w:hAnsi="Arial"/>
          <w:sz w:val="18"/>
          <w:szCs w:val="18"/>
          <w:color w:val="auto"/>
        </w:rPr>
        <w:t>” means [full name] of [lending office];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Transferee</w:t>
      </w:r>
      <w:r>
        <w:rPr>
          <w:rFonts w:ascii="Arial" w:cs="Arial" w:eastAsia="Arial" w:hAnsi="Arial"/>
          <w:sz w:val="18"/>
          <w:szCs w:val="18"/>
          <w:color w:val="auto"/>
        </w:rPr>
        <w:t>” means [full name] of [lending office].</w:t>
      </w:r>
    </w:p>
    <w:p>
      <w:pPr>
        <w:spacing w:after="0" w:line="1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Terms defined in the Loan Agreement shall, unless the contrary intention appears, have the same meanings when used in this Certificate.</w:t>
      </w:r>
    </w:p>
    <w:p>
      <w:pPr>
        <w:spacing w:after="0" w:line="138" w:lineRule="exact"/>
        <w:rPr>
          <w:sz w:val="20"/>
          <w:szCs w:val="20"/>
          <w:color w:val="auto"/>
        </w:rPr>
      </w:pPr>
    </w:p>
    <w:p>
      <w:pPr>
        <w:ind w:left="920" w:right="400" w:hanging="912"/>
        <w:spacing w:after="0" w:line="282" w:lineRule="auto"/>
        <w:tabs>
          <w:tab w:leader="none" w:pos="9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The effective date of this Certificate is .........20[●]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Certificate shall not come into effect unless it is signed by the Facility Agent on or before that date.</w:t>
      </w:r>
    </w:p>
    <w:p>
      <w:pPr>
        <w:spacing w:after="0" w:line="71" w:lineRule="exact"/>
        <w:rPr>
          <w:sz w:val="20"/>
          <w:szCs w:val="20"/>
          <w:color w:val="auto"/>
        </w:rPr>
      </w:pPr>
    </w:p>
    <w:p>
      <w:pPr>
        <w:ind w:left="920" w:hanging="912"/>
        <w:spacing w:after="0"/>
        <w:tabs>
          <w:tab w:leader="none" w:pos="92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Transferor assigns to the Transferee absolutely all rights and interests (present, future or contingent) which the Transferor has as Lender</w:t>
      </w:r>
    </w:p>
    <w:p>
      <w:pPr>
        <w:sectPr>
          <w:pgSz w:w="11900" w:h="16838" w:orient="portrait"/>
          <w:cols w:equalWidth="0" w:num="1">
            <w:col w:w="11420"/>
          </w:cols>
          <w:pgMar w:left="240" w:top="270" w:right="239" w:bottom="1440" w:gutter="0" w:footer="0" w:header="0"/>
        </w:sectPr>
      </w:pPr>
    </w:p>
    <w:p>
      <w:pPr>
        <w:spacing w:after="0" w:line="46" w:lineRule="exact"/>
        <w:rPr>
          <w:sz w:val="20"/>
          <w:szCs w:val="20"/>
          <w:color w:val="auto"/>
        </w:rPr>
      </w:pPr>
    </w:p>
    <w:p>
      <w:pPr>
        <w:ind w:left="920"/>
        <w:spacing w:after="0"/>
        <w:tabs>
          <w:tab w:leader="none" w:pos="7740" w:val="left"/>
        </w:tabs>
        <w:rPr>
          <w:sz w:val="20"/>
          <w:szCs w:val="20"/>
          <w:color w:val="auto"/>
        </w:rPr>
      </w:pPr>
      <w:r>
        <w:rPr>
          <w:rFonts w:ascii="Arial" w:cs="Arial" w:eastAsia="Arial" w:hAnsi="Arial"/>
          <w:sz w:val="18"/>
          <w:szCs w:val="18"/>
          <w:color w:val="auto"/>
        </w:rPr>
        <w:t>under or by virtue of the Loan Agreement and every other Finance Document in relation to [</w:t>
      </w:r>
      <w:r>
        <w:rPr>
          <w:sz w:val="20"/>
          <w:szCs w:val="20"/>
          <w:color w:val="auto"/>
        </w:rPr>
        <w:tab/>
      </w:r>
      <w:r>
        <w:rPr>
          <w:rFonts w:ascii="Arial" w:cs="Arial" w:eastAsia="Arial" w:hAnsi="Arial"/>
          <w:sz w:val="16"/>
          <w:szCs w:val="16"/>
          <w:color w:val="auto"/>
        </w:rPr>
        <w:t>] per cent. of the Contribution outstanding to the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Transferor (or its predecessors in title) which is set out below:</w:t>
      </w:r>
    </w:p>
    <w:p>
      <w:pPr>
        <w:sectPr>
          <w:pgSz w:w="11900" w:h="16838" w:orient="portrait"/>
          <w:cols w:equalWidth="0" w:num="1">
            <w:col w:w="11420"/>
          </w:cols>
          <w:pgMar w:left="240" w:top="270" w:right="239" w:bottom="1440" w:gutter="0" w:footer="0" w:header="0"/>
          <w:type w:val="continuous"/>
        </w:sectPr>
      </w:pP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Contribution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transferred</w:t>
      </w:r>
    </w:p>
    <w:p>
      <w:pPr>
        <w:spacing w:after="0" w:line="200" w:lineRule="exact"/>
        <w:rPr>
          <w:sz w:val="20"/>
          <w:szCs w:val="20"/>
          <w:color w:val="auto"/>
        </w:rPr>
      </w:pPr>
    </w:p>
    <w:p>
      <w:pPr>
        <w:sectPr>
          <w:pgSz w:w="11900" w:h="16838" w:orient="portrait"/>
          <w:cols w:equalWidth="0" w:num="2">
            <w:col w:w="7620" w:space="720"/>
            <w:col w:w="308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20" w:hanging="912"/>
        <w:spacing w:after="0"/>
        <w:tabs>
          <w:tab w:leader="none" w:pos="920" w:val="left"/>
        </w:tabs>
        <w:numPr>
          <w:ilvl w:val="0"/>
          <w:numId w:val="471"/>
        </w:numPr>
        <w:rPr>
          <w:rFonts w:ascii="Arial" w:cs="Arial" w:eastAsia="Arial" w:hAnsi="Arial"/>
          <w:sz w:val="16"/>
          <w:szCs w:val="16"/>
          <w:color w:val="auto"/>
        </w:rPr>
      </w:pPr>
      <w:r>
        <w:rPr>
          <w:rFonts w:ascii="Arial" w:cs="Arial" w:eastAsia="Arial" w:hAnsi="Arial"/>
          <w:sz w:val="16"/>
          <w:szCs w:val="16"/>
          <w:color w:val="auto"/>
        </w:rPr>
        <w:t>By virtue of this Transfer Certificate and Clause 26 of the Loan Agreement, the Transferor is discharged [entirely from its Commitment which</w:t>
      </w:r>
    </w:p>
    <w:p>
      <w:pPr>
        <w:sectPr>
          <w:pgSz w:w="11900" w:h="16838" w:orient="portrait"/>
          <w:cols w:equalWidth="0" w:num="1">
            <w:col w:w="11420"/>
          </w:cols>
          <w:pgMar w:left="240" w:top="270" w:right="239" w:bottom="1440" w:gutter="0" w:footer="0" w:header="0"/>
          <w:type w:val="continuous"/>
        </w:sectPr>
      </w:pPr>
    </w:p>
    <w:p>
      <w:pPr>
        <w:spacing w:after="0" w:line="46" w:lineRule="exact"/>
        <w:rPr>
          <w:sz w:val="20"/>
          <w:szCs w:val="20"/>
          <w:color w:val="auto"/>
        </w:rPr>
      </w:pPr>
    </w:p>
    <w:p>
      <w:pPr>
        <w:ind w:left="920" w:right="20"/>
        <w:spacing w:after="0" w:line="261" w:lineRule="auto"/>
        <w:rPr>
          <w:sz w:val="20"/>
          <w:szCs w:val="20"/>
          <w:color w:val="auto"/>
        </w:rPr>
      </w:pPr>
      <w:r>
        <w:rPr>
          <w:rFonts w:ascii="Arial" w:cs="Arial" w:eastAsia="Arial" w:hAnsi="Arial"/>
          <w:sz w:val="18"/>
          <w:szCs w:val="18"/>
          <w:color w:val="auto"/>
        </w:rPr>
        <w:t>amounts to $[ ]] [from [ ] per cent. of its Commitment, which percentage represents $[ ]] and the Transferee acquires a Commitment of $[ ].</w:t>
      </w:r>
    </w:p>
    <w:p>
      <w:pPr>
        <w:sectPr>
          <w:pgSz w:w="11900" w:h="16838" w:orient="portrait"/>
          <w:cols w:equalWidth="0" w:num="1">
            <w:col w:w="11420"/>
          </w:cols>
          <w:pgMar w:left="240" w:top="270" w:right="239" w:bottom="1440" w:gutter="0" w:footer="0" w:header="0"/>
          <w:type w:val="continuous"/>
        </w:sectPr>
      </w:pPr>
    </w:p>
    <w:p>
      <w:pPr>
        <w:spacing w:after="0" w:line="89" w:lineRule="exact"/>
        <w:rPr>
          <w:sz w:val="20"/>
          <w:szCs w:val="20"/>
          <w:color w:val="auto"/>
        </w:rPr>
      </w:pPr>
    </w:p>
    <w:p>
      <w:pPr>
        <w:ind w:left="920" w:right="220" w:hanging="912"/>
        <w:spacing w:after="0" w:line="342" w:lineRule="auto"/>
        <w:tabs>
          <w:tab w:leader="none" w:pos="92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Transferee undertakes with the Transferor and each of the Relevant Parties that the Transferee will observe and perform all the obligations under the Finance Documents which Clause 26 of the Loan Agreement provides will become binding on it upon this Certificate taking effect.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0" w:right="239" w:bottom="1440" w:gutter="0" w:footer="0" w:header="0"/>
          <w:type w:val="continuous"/>
        </w:sectPr>
      </w:pPr>
    </w:p>
    <w:bookmarkStart w:id="282" w:name="page283"/>
    <w:bookmarkEnd w:id="282"/>
    <w:p>
      <w:pPr>
        <w:ind w:left="912" w:right="80" w:hanging="912"/>
        <w:spacing w:after="0" w:line="342" w:lineRule="auto"/>
        <w:tabs>
          <w:tab w:leader="none" w:pos="912" w:val="left"/>
        </w:tabs>
        <w:numPr>
          <w:ilvl w:val="0"/>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Facility Agent, at the request of the Transferee (which request is hereby made) accepts, for the Facility Agent itself and for and on behalf of every other Relevant Party, this Certificate as a Transfer Certificate taking effect in accordance with Clause 26 of the Loan Agreement.</w:t>
      </w:r>
    </w:p>
    <w:p>
      <w:pPr>
        <w:spacing w:after="0" w:line="29" w:lineRule="exact"/>
        <w:rPr>
          <w:sz w:val="20"/>
          <w:szCs w:val="20"/>
          <w:color w:val="auto"/>
        </w:rPr>
      </w:pPr>
    </w:p>
    <w:p>
      <w:pPr>
        <w:ind w:left="912" w:hanging="912"/>
        <w:spacing w:after="0"/>
        <w:tabs>
          <w:tab w:leader="none" w:pos="91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Transferor:</w:t>
      </w:r>
    </w:p>
    <w:p>
      <w:pPr>
        <w:spacing w:after="0" w:line="131" w:lineRule="exact"/>
        <w:rPr>
          <w:sz w:val="20"/>
          <w:szCs w:val="20"/>
          <w:color w:val="auto"/>
        </w:rPr>
      </w:pPr>
    </w:p>
    <w:p>
      <w:pPr>
        <w:ind w:left="912" w:hanging="912"/>
        <w:spacing w:after="0"/>
        <w:tabs>
          <w:tab w:leader="none" w:pos="91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warrants to the Transferee and each Relevant Party:</w:t>
      </w:r>
    </w:p>
    <w:p>
      <w:pPr>
        <w:spacing w:after="0" w:line="130" w:lineRule="exact"/>
        <w:rPr>
          <w:rFonts w:ascii="Arial" w:cs="Arial" w:eastAsia="Arial" w:hAnsi="Arial"/>
          <w:sz w:val="18"/>
          <w:szCs w:val="18"/>
          <w:color w:val="auto"/>
        </w:rPr>
      </w:pPr>
    </w:p>
    <w:p>
      <w:pPr>
        <w:ind w:left="1692" w:hanging="787"/>
        <w:spacing w:after="0" w:line="277" w:lineRule="auto"/>
        <w:tabs>
          <w:tab w:leader="none" w:pos="1692"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that the Transferor has full capacity to enter into this transaction and has taken all corporate action and obtained all consents which are in connection with this transaction; and</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that this Certificate is valid and binding as regards the Transferor;</w:t>
      </w:r>
    </w:p>
    <w:p>
      <w:pPr>
        <w:spacing w:after="0" w:line="130" w:lineRule="exact"/>
        <w:rPr>
          <w:rFonts w:ascii="Arial" w:cs="Arial" w:eastAsia="Arial" w:hAnsi="Arial"/>
          <w:sz w:val="18"/>
          <w:szCs w:val="18"/>
          <w:color w:val="auto"/>
        </w:rPr>
      </w:pPr>
    </w:p>
    <w:p>
      <w:pPr>
        <w:ind w:left="912" w:right="800" w:hanging="912"/>
        <w:spacing w:after="0" w:line="277" w:lineRule="auto"/>
        <w:tabs>
          <w:tab w:leader="none" w:pos="91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warrants to the Transferee that the Transferor is absolutely entitled, free of encumbrances, to all the rights and interests covered by the assignment in paragraph 4 above;</w:t>
      </w:r>
    </w:p>
    <w:p>
      <w:pPr>
        <w:spacing w:after="0" w:line="75" w:lineRule="exact"/>
        <w:rPr>
          <w:rFonts w:ascii="Arial" w:cs="Arial" w:eastAsia="Arial" w:hAnsi="Arial"/>
          <w:sz w:val="18"/>
          <w:szCs w:val="18"/>
          <w:color w:val="auto"/>
        </w:rPr>
      </w:pPr>
    </w:p>
    <w:p>
      <w:pPr>
        <w:ind w:left="912" w:right="100" w:hanging="912"/>
        <w:spacing w:after="0" w:line="277" w:lineRule="auto"/>
        <w:tabs>
          <w:tab w:leader="none" w:pos="91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undertakes with the Transferee that the Transferor will, at its own expense, execute any documents which the Transferee reasonably requests for perfecting in any relevant jurisdiction the Transferee’s title under this Certificate or for a similar purpose.</w:t>
      </w:r>
    </w:p>
    <w:p>
      <w:pPr>
        <w:spacing w:after="0" w:line="76" w:lineRule="exact"/>
        <w:rPr>
          <w:sz w:val="20"/>
          <w:szCs w:val="20"/>
          <w:color w:val="auto"/>
        </w:rPr>
      </w:pPr>
    </w:p>
    <w:p>
      <w:pPr>
        <w:ind w:left="912" w:hanging="912"/>
        <w:spacing w:after="0"/>
        <w:tabs>
          <w:tab w:leader="none" w:pos="91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Transferee:</w:t>
      </w:r>
    </w:p>
    <w:p>
      <w:pPr>
        <w:spacing w:after="0" w:line="131" w:lineRule="exact"/>
        <w:rPr>
          <w:sz w:val="20"/>
          <w:szCs w:val="20"/>
          <w:color w:val="auto"/>
        </w:rPr>
      </w:pPr>
    </w:p>
    <w:p>
      <w:pPr>
        <w:ind w:left="912" w:hanging="912"/>
        <w:spacing w:after="0"/>
        <w:tabs>
          <w:tab w:leader="none" w:pos="91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other Finance Document;</w:t>
      </w:r>
    </w:p>
    <w:p>
      <w:pPr>
        <w:spacing w:after="0" w:line="130" w:lineRule="exact"/>
        <w:rPr>
          <w:rFonts w:ascii="Arial" w:cs="Arial" w:eastAsia="Arial" w:hAnsi="Arial"/>
          <w:sz w:val="18"/>
          <w:szCs w:val="18"/>
          <w:color w:val="auto"/>
        </w:rPr>
      </w:pPr>
    </w:p>
    <w:p>
      <w:pPr>
        <w:ind w:left="912" w:right="140" w:hanging="912"/>
        <w:spacing w:after="0" w:line="277" w:lineRule="auto"/>
        <w:tabs>
          <w:tab w:leader="none" w:pos="91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either the Transferor, the Facility Agent, the Security Trustee, any Lender in the event that:</w:t>
      </w:r>
    </w:p>
    <w:p>
      <w:pPr>
        <w:spacing w:after="0" w:line="75" w:lineRule="exact"/>
        <w:rPr>
          <w:rFonts w:ascii="Arial" w:cs="Arial" w:eastAsia="Arial" w:hAnsi="Arial"/>
          <w:sz w:val="18"/>
          <w:szCs w:val="18"/>
          <w:color w:val="auto"/>
        </w:rPr>
      </w:pPr>
    </w:p>
    <w:p>
      <w:pPr>
        <w:ind w:left="1692" w:hanging="787"/>
        <w:spacing w:after="0"/>
        <w:tabs>
          <w:tab w:leader="none" w:pos="169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Finance Documents prove to be invalid or ineffective,</w:t>
      </w:r>
    </w:p>
    <w:p>
      <w:pPr>
        <w:spacing w:after="0" w:line="130" w:lineRule="exact"/>
        <w:rPr>
          <w:rFonts w:ascii="Arial" w:cs="Arial" w:eastAsia="Arial" w:hAnsi="Arial"/>
          <w:sz w:val="18"/>
          <w:szCs w:val="18"/>
          <w:color w:val="auto"/>
        </w:rPr>
      </w:pPr>
    </w:p>
    <w:p>
      <w:pPr>
        <w:ind w:left="1692" w:right="620" w:hanging="787"/>
        <w:spacing w:after="0" w:line="277" w:lineRule="auto"/>
        <w:tabs>
          <w:tab w:leader="none" w:pos="169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Borrower or any Security Party fails to observe or perform its obligations, or to discharge its liabilities, under the Finance Documents;</w:t>
      </w:r>
    </w:p>
    <w:p>
      <w:pPr>
        <w:spacing w:after="0" w:line="75" w:lineRule="exact"/>
        <w:rPr>
          <w:rFonts w:ascii="Arial" w:cs="Arial" w:eastAsia="Arial" w:hAnsi="Arial"/>
          <w:sz w:val="18"/>
          <w:szCs w:val="18"/>
          <w:color w:val="auto"/>
        </w:rPr>
      </w:pPr>
    </w:p>
    <w:p>
      <w:pPr>
        <w:ind w:left="1692" w:right="80" w:hanging="787"/>
        <w:spacing w:after="0" w:line="308" w:lineRule="auto"/>
        <w:tabs>
          <w:tab w:leader="none" w:pos="1692" w:val="left"/>
        </w:tabs>
        <w:numPr>
          <w:ilvl w:val="1"/>
          <w:numId w:val="477"/>
        </w:numPr>
        <w:rPr>
          <w:rFonts w:ascii="Arial" w:cs="Arial" w:eastAsia="Arial" w:hAnsi="Arial"/>
          <w:sz w:val="17"/>
          <w:szCs w:val="17"/>
          <w:color w:val="auto"/>
        </w:rPr>
      </w:pPr>
      <w:r>
        <w:rPr>
          <w:rFonts w:ascii="Arial" w:cs="Arial" w:eastAsia="Arial" w:hAnsi="Arial"/>
          <w:sz w:val="17"/>
          <w:szCs w:val="17"/>
          <w:color w:val="auto"/>
        </w:rPr>
        <w:t>it proves impossible to realise any asset covered by a Security Interest created by a Finance Document, or the proceeds of such assets are insufficient to discharge the liabilities of any Borrower or Security Party under the Finance Documents;</w:t>
      </w:r>
    </w:p>
    <w:p>
      <w:pPr>
        <w:spacing w:after="0" w:line="51" w:lineRule="exact"/>
        <w:rPr>
          <w:rFonts w:ascii="Arial" w:cs="Arial" w:eastAsia="Arial" w:hAnsi="Arial"/>
          <w:sz w:val="17"/>
          <w:szCs w:val="17"/>
          <w:color w:val="auto"/>
        </w:rPr>
      </w:pPr>
    </w:p>
    <w:p>
      <w:pPr>
        <w:ind w:left="912" w:right="240" w:hanging="912"/>
        <w:spacing w:after="0" w:line="277" w:lineRule="auto"/>
        <w:tabs>
          <w:tab w:leader="none" w:pos="91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Facility Agent, the Security Trustee or any Lender in the event that this Certificate proves to be invalid or ineffective;</w:t>
      </w:r>
    </w:p>
    <w:p>
      <w:pPr>
        <w:spacing w:after="0" w:line="75" w:lineRule="exact"/>
        <w:rPr>
          <w:rFonts w:ascii="Arial" w:cs="Arial" w:eastAsia="Arial" w:hAnsi="Arial"/>
          <w:sz w:val="18"/>
          <w:szCs w:val="18"/>
          <w:color w:val="auto"/>
        </w:rPr>
      </w:pPr>
    </w:p>
    <w:p>
      <w:pPr>
        <w:jc w:val="both"/>
        <w:ind w:left="912" w:right="60" w:hanging="912"/>
        <w:spacing w:after="0" w:line="264" w:lineRule="auto"/>
        <w:tabs>
          <w:tab w:leader="none" w:pos="91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warrants to the Transferor and each Relevant Party (i) that it has full capacity to enter into this transaction and has taken all corporate action and obtained all official consents which it needs to take or obtain in connection with this transaction; and (ii) that this Certificate is valid and binding as regards the Transferee; and</w:t>
      </w:r>
    </w:p>
    <w:p>
      <w:pPr>
        <w:spacing w:after="0" w:line="86" w:lineRule="exact"/>
        <w:rPr>
          <w:rFonts w:ascii="Arial" w:cs="Arial" w:eastAsia="Arial" w:hAnsi="Arial"/>
          <w:sz w:val="18"/>
          <w:szCs w:val="18"/>
          <w:color w:val="auto"/>
        </w:rPr>
      </w:pPr>
    </w:p>
    <w:p>
      <w:pPr>
        <w:ind w:left="912" w:hanging="912"/>
        <w:spacing w:after="0"/>
        <w:tabs>
          <w:tab w:leader="none" w:pos="91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confirms the accuracy of the administrative details set out below regarding the Transferee.</w:t>
      </w:r>
    </w:p>
    <w:p>
      <w:pPr>
        <w:spacing w:after="0" w:line="131" w:lineRule="exact"/>
        <w:rPr>
          <w:sz w:val="20"/>
          <w:szCs w:val="20"/>
          <w:color w:val="auto"/>
        </w:rPr>
      </w:pPr>
    </w:p>
    <w:p>
      <w:pPr>
        <w:ind w:left="912" w:right="140" w:hanging="912"/>
        <w:spacing w:after="0" w:line="302" w:lineRule="auto"/>
        <w:tabs>
          <w:tab w:leader="none" w:pos="91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Transferor and the Transferee each undertake with the Facility Agent and the Security Trustee severally, on demand, fully to indemnify the Facility Agent and/or the Security Trustee in respect of any claim, proceeding, liability or expense (including all legal expenses) which they or either of them may incur in connection with this Certificate or any matter arising out of it, except such as are shown to have been mainly and directly caused by the gross and culpable negligence or dishonesty of the Facility Agent’s or the Security Trustee’s own officers or employees.</w:t>
      </w:r>
    </w:p>
    <w:p>
      <w:pPr>
        <w:spacing w:after="0" w:line="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72"/>
          </w:cols>
          <w:pgMar w:left="248" w:top="274" w:right="279" w:bottom="1440" w:gutter="0" w:footer="0" w:header="0"/>
        </w:sectPr>
      </w:pPr>
    </w:p>
    <w:bookmarkStart w:id="283" w:name="page284"/>
    <w:bookmarkEnd w:id="283"/>
    <w:p>
      <w:pPr>
        <w:ind w:left="920" w:hanging="912"/>
        <w:spacing w:after="0" w:line="279" w:lineRule="auto"/>
        <w:tabs>
          <w:tab w:leader="none" w:pos="920" w:val="left"/>
        </w:tabs>
        <w:numPr>
          <w:ilvl w:val="0"/>
          <w:numId w:val="4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Transferee shall repay to the Transferor on demand so much of any sum paid by the Transferor under paragraph 10 above as exceeds one-half of the amount demanded by the Facility Agent or the Security Trustee in respect of a claim, proceeding, liability or expense which was not reasonably foreseeable at the date of this Certificate; but nothing in this paragraph shall affect the liability of each of the Transferor and the Transferee to the Facility Agent or the Security Trustee for the full amount demanded by it.</w:t>
      </w:r>
    </w:p>
    <w:p>
      <w:pPr>
        <w:sectPr>
          <w:pgSz w:w="11900" w:h="16838" w:orient="portrait"/>
          <w:cols w:equalWidth="0" w:num="1">
            <w:col w:w="11260"/>
          </w:cols>
          <w:pgMar w:left="240" w:top="274" w:right="39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Transferee]</w:t>
      </w:r>
    </w:p>
    <w:p>
      <w:pPr>
        <w:spacing w:after="0" w:line="200"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11" w:lineRule="exact"/>
        <w:rPr>
          <w:sz w:val="20"/>
          <w:szCs w:val="20"/>
          <w:color w:val="auto"/>
        </w:rPr>
      </w:pPr>
    </w:p>
    <w:p>
      <w:pPr>
        <w:sectPr>
          <w:pgSz w:w="11900" w:h="16838" w:orient="portrait"/>
          <w:cols w:equalWidth="0" w:num="2">
            <w:col w:w="5460" w:space="720"/>
            <w:col w:w="5080"/>
          </w:cols>
          <w:pgMar w:left="240" w:top="274" w:right="39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Signed for itself and for and on behalf of itself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 and for every other Relevant Party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ING Bank N.V., London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60"/>
          </w:cols>
          <w:pgMar w:left="240" w:top="274" w:right="399" w:bottom="1440" w:gutter="0" w:footer="0" w:header="0"/>
          <w:type w:val="continuous"/>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of Transferee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48" w:lineRule="exact"/>
        <w:rPr>
          <w:sz w:val="20"/>
          <w:szCs w:val="20"/>
          <w:color w:val="auto"/>
        </w:rPr>
      </w:pPr>
    </w:p>
    <w:p>
      <w:pPr>
        <w:ind w:left="800" w:hanging="796"/>
        <w:spacing w:after="0" w:line="264" w:lineRule="auto"/>
        <w:tabs>
          <w:tab w:leader="none" w:pos="780" w:val="left"/>
        </w:tabs>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This Transfer Certificate alone may not be sufficient to transfer a proportionate share of the Transferor’s interest in the security constituted by the Finance Documents in the Transferor’s or Transferee’s jurisdiction. It is the responsibility of each Lender to ascertain whether any other documents are required for this purpose.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0" w:right="2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NOTICE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FILONIKIS PRODUCT CARRIER S.A.</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HELIOS PRODUCT CARRIER S.A.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HERCULES PRODUCT CARRIER S.A.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IASON PRODUCT CARRIER S.A.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ARCHON PRODUCT CARRIER S.A.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and –</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ING BANK N.V., LONDON BRANCH</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Loan Agreement dated [</w:t>
      </w:r>
      <w:r>
        <w:rPr>
          <w:rFonts w:ascii="Arial" w:cs="Arial" w:eastAsia="Arial" w:hAnsi="Arial"/>
          <w:sz w:val="18"/>
          <w:szCs w:val="18"/>
          <w:color w:val="auto"/>
        </w:rPr>
        <w:t>●</w:t>
      </w:r>
      <w:r>
        <w:rPr>
          <w:rFonts w:ascii="Arial" w:cs="Arial" w:eastAsia="Arial" w:hAnsi="Arial"/>
          <w:sz w:val="18"/>
          <w:szCs w:val="18"/>
          <w:b w:val="1"/>
          <w:bCs w:val="1"/>
          <w:color w:val="auto"/>
        </w:rPr>
        <w:t>] 2015 made between (inter alia) (i) yourselves as Borrowers, (ii) the Lenders, (iii) ourselves as Swap Bank and (iv) ING Bank N.V., London Branch as Facility Agent and Security Trustee in respect of a term loan facility of up to US$97,830,000 in aggregate (the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31" w:lineRule="exact"/>
        <w:rPr>
          <w:sz w:val="20"/>
          <w:szCs w:val="20"/>
          <w:color w:val="auto"/>
        </w:rPr>
      </w:pPr>
    </w:p>
    <w:p>
      <w:pPr>
        <w:ind w:left="920" w:hanging="912"/>
        <w:spacing w:after="0"/>
        <w:tabs>
          <w:tab w:leader="none" w:pos="9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Loan Agreement;</w:t>
      </w:r>
    </w:p>
    <w:p>
      <w:pPr>
        <w:spacing w:after="0" w:line="131" w:lineRule="exact"/>
        <w:rPr>
          <w:sz w:val="20"/>
          <w:szCs w:val="20"/>
          <w:color w:val="auto"/>
        </w:rPr>
      </w:pPr>
    </w:p>
    <w:p>
      <w:pPr>
        <w:ind w:left="920" w:hanging="912"/>
        <w:spacing w:after="0"/>
        <w:tabs>
          <w:tab w:leader="none" w:pos="9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Master Agreement dated [●] made between ourselves and [●]; and</w:t>
      </w:r>
    </w:p>
    <w:p>
      <w:pPr>
        <w:spacing w:after="0" w:line="131" w:lineRule="exact"/>
        <w:rPr>
          <w:sz w:val="20"/>
          <w:szCs w:val="20"/>
          <w:color w:val="auto"/>
        </w:rPr>
      </w:pPr>
    </w:p>
    <w:p>
      <w:pPr>
        <w:ind w:left="920" w:hanging="912"/>
        <w:spacing w:after="0"/>
        <w:tabs>
          <w:tab w:leader="none" w:pos="9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 Confirmation delivered pursuant to the said Master Agreement dated [●] and addressed by [●] to us.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accordance with the terms of the Loan Agreement, we hereby give you notice of the said Confirmation and hereby confirm that the Transaction evidenced by it will be designated as a “Designated Transaction” for the purposes of the Loan Agreement and the 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BANK N.V.]</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0" w:right="239" w:bottom="1440" w:gutter="0" w:footer="0" w:header="0"/>
        </w:sectPr>
      </w:pPr>
    </w:p>
    <w:bookmarkStart w:id="286" w:name="page287"/>
    <w:bookmarkEnd w:id="2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Know all men by these presents that [</w:t>
      </w:r>
      <w:r>
        <w:rPr>
          <w:rFonts w:ascii="Arial" w:cs="Arial" w:eastAsia="Arial" w:hAnsi="Arial"/>
          <w:sz w:val="18"/>
          <w:szCs w:val="18"/>
          <w:b w:val="1"/>
          <w:bCs w:val="1"/>
          <w:i w:val="1"/>
          <w:iCs w:val="1"/>
          <w:color w:val="auto"/>
        </w:rPr>
        <w:t>name of Borrower</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a company incorporated in Liberia and having its registered address at 80 Broad Street, Monrovia, Liberia irrevocably and by way of security appoints ING Bank N.V., London Branch (the “</w:t>
      </w:r>
      <w:r>
        <w:rPr>
          <w:rFonts w:ascii="Arial" w:cs="Arial" w:eastAsia="Arial" w:hAnsi="Arial"/>
          <w:sz w:val="18"/>
          <w:szCs w:val="18"/>
          <w:b w:val="1"/>
          <w:bCs w:val="1"/>
          <w:color w:val="auto"/>
        </w:rPr>
        <w:t>Attorney</w:t>
      </w:r>
      <w:r>
        <w:rPr>
          <w:rFonts w:ascii="Arial" w:cs="Arial" w:eastAsia="Arial" w:hAnsi="Arial"/>
          <w:sz w:val="18"/>
          <w:szCs w:val="18"/>
          <w:color w:val="auto"/>
        </w:rPr>
        <w:t>”) of 60 London Wall, London EC2M 5TQ, England its attorney, to act in the name of the Company and to exercise any right, entitlement or power of the Company in relation to [name of classification society] (the “</w:t>
      </w:r>
      <w:r>
        <w:rPr>
          <w:rFonts w:ascii="Arial" w:cs="Arial" w:eastAsia="Arial" w:hAnsi="Arial"/>
          <w:sz w:val="18"/>
          <w:szCs w:val="18"/>
          <w:b w:val="1"/>
          <w:bCs w:val="1"/>
          <w:color w:val="auto"/>
        </w:rPr>
        <w:t>Classification Society</w:t>
      </w:r>
      <w:r>
        <w:rPr>
          <w:rFonts w:ascii="Arial" w:cs="Arial" w:eastAsia="Arial" w:hAnsi="Arial"/>
          <w:sz w:val="18"/>
          <w:szCs w:val="18"/>
          <w:color w:val="auto"/>
        </w:rPr>
        <w:t>”) and/or to the classification records of any vessel owned, controlled or operated by the Company including, without limitation, such powers or entitlement as the Company may have to inspect the class records and any files held by the Classification Society in relation to any such vessel and to require the Classification Society to provide to the Attorney or to any of its nominees any information, document or file which the Attorney may request.</w:t>
      </w:r>
    </w:p>
    <w:p>
      <w:pPr>
        <w:spacing w:after="0" w:line="189"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Ratification of actions of attorney. </w:t>
      </w:r>
      <w:r>
        <w:rPr>
          <w:rFonts w:ascii="Arial" w:cs="Arial" w:eastAsia="Arial" w:hAnsi="Arial"/>
          <w:sz w:val="18"/>
          <w:szCs w:val="18"/>
          <w:color w:val="auto"/>
        </w:rPr>
        <w:t>For the avoidance of doubt and without limiting the generality of the above, it is confirmed that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ratifies any action which the Attorney takes or purports to take under this Power of Attorney and the Classification Society shall be entitled to rely hereon without further enquiry.</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The Attorney may exercise its powers hereunder through any officer or through any nominee and/or may sub-delegate to any person or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Receiver and persons designated by him) all or any of the powers (including the discretions) conferred on the Attorney hereunder, and may do so on terms authorising successive sub-delegations.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Power of Attorney </w:t>
      </w:r>
      <w:r>
        <w:rPr>
          <w:rFonts w:ascii="Arial" w:cs="Arial" w:eastAsia="Arial" w:hAnsi="Arial"/>
          <w:sz w:val="18"/>
          <w:szCs w:val="18"/>
          <w:color w:val="auto"/>
        </w:rPr>
        <w:t>was executed by the Company as a Deed on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acting by two directors or one director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and the company secretary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700" w:type="dxa"/>
            <w:vAlign w:val="bottom"/>
          </w:tcPr>
          <w:p>
            <w:pPr>
              <w:spacing w:after="0"/>
              <w:rPr>
                <w:sz w:val="20"/>
                <w:szCs w:val="20"/>
                <w:color w:val="auto"/>
              </w:rPr>
            </w:pPr>
            <w:r>
              <w:rPr>
                <w:rFonts w:ascii="Arial" w:cs="Arial" w:eastAsia="Arial" w:hAnsi="Arial"/>
                <w:sz w:val="18"/>
                <w:szCs w:val="18"/>
                <w:color w:val="auto"/>
                <w:w w:val="99"/>
              </w:rPr>
              <w:t>Director:</w:t>
            </w:r>
          </w:p>
        </w:tc>
        <w:tc>
          <w:tcPr>
            <w:tcW w:w="29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1440" w:type="dxa"/>
            <w:vAlign w:val="bottom"/>
            <w:gridSpan w:val="2"/>
          </w:tcPr>
          <w:p>
            <w:pPr>
              <w:spacing w:after="0"/>
              <w:rPr>
                <w:sz w:val="20"/>
                <w:szCs w:val="20"/>
                <w:color w:val="auto"/>
              </w:rPr>
            </w:pPr>
            <w:r>
              <w:rPr>
                <w:rFonts w:ascii="Arial" w:cs="Arial" w:eastAsia="Arial" w:hAnsi="Arial"/>
                <w:sz w:val="18"/>
                <w:szCs w:val="18"/>
                <w:color w:val="auto"/>
                <w:w w:val="94"/>
              </w:rPr>
              <w:t>Director/Secretary:</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270" w:right="29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EXECUTION PAGES</w:t>
            </w:r>
          </w:p>
        </w:tc>
      </w:tr>
      <w:tr>
        <w:trPr>
          <w:trHeight w:val="459"/>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BORROWERS</w:t>
            </w:r>
          </w:p>
        </w:tc>
        <w:tc>
          <w:tcPr>
            <w:tcW w:w="2140" w:type="dxa"/>
            <w:vAlign w:val="bottom"/>
          </w:tcPr>
          <w:p>
            <w:pPr>
              <w:spacing w:after="0"/>
              <w:rPr>
                <w:sz w:val="24"/>
                <w:szCs w:val="24"/>
                <w:color w:val="auto"/>
              </w:rPr>
            </w:pPr>
          </w:p>
        </w:tc>
      </w:tr>
      <w:tr>
        <w:trPr>
          <w:trHeight w:val="39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Valasia Gkigkilini</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FILONIKIS PRODUCT CARRIER S.A.</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Valasia Gkigkilini</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HELIOS PRODUCT CARRIER S.A.</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Valasia Gkigkilini</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HERCULES PRODUCT CARRIER S.A.</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Valasia Gkigkilini</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IASON PRODUCT CARRIER S.A.</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20"/>
        </w:trPr>
        <w:tc>
          <w:tcPr>
            <w:tcW w:w="1340" w:type="dxa"/>
            <w:vAlign w:val="bottom"/>
            <w:tcBorders>
              <w:right w:val="single" w:sz="8" w:color="auto"/>
            </w:tcBorders>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Valasia Gkigkilini</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ARCHON PRODUCT CARRIER S.A.</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453"/>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LENDERS</w:t>
            </w:r>
          </w:p>
        </w:tc>
        <w:tc>
          <w:tcPr>
            <w:tcW w:w="2660" w:type="dxa"/>
            <w:vAlign w:val="bottom"/>
            <w:tcBorders>
              <w:top w:val="single" w:sz="8" w:color="auto"/>
            </w:tcBorders>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r>
      <w:tr>
        <w:trPr>
          <w:trHeight w:val="39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Aikaterina Dimitriou</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320" w:type="dxa"/>
            <w:vAlign w:val="bottom"/>
            <w:tcBorders>
              <w:lef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ING BANK N.V., LONDON BRANCH</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453"/>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SWAP BANK</w:t>
            </w:r>
          </w:p>
        </w:tc>
        <w:tc>
          <w:tcPr>
            <w:tcW w:w="2660" w:type="dxa"/>
            <w:vAlign w:val="bottom"/>
            <w:tcBorders>
              <w:top w:val="single" w:sz="8" w:color="auto"/>
            </w:tcBorders>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r>
      <w:tr>
        <w:trPr>
          <w:trHeight w:val="392"/>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Aikaterina Dimitriou</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440" w:type="dxa"/>
            <w:vAlign w:val="bottom"/>
            <w:gridSpan w:val="7"/>
          </w:tcPr>
          <w:p>
            <w:pPr>
              <w:spacing w:after="0"/>
              <w:rPr>
                <w:sz w:val="20"/>
                <w:szCs w:val="20"/>
                <w:color w:val="auto"/>
              </w:rPr>
            </w:pPr>
            <w:r>
              <w:rPr>
                <w:rFonts w:ascii="Arial" w:cs="Arial" w:eastAsia="Arial" w:hAnsi="Arial"/>
                <w:sz w:val="18"/>
                <w:szCs w:val="18"/>
                <w:color w:val="auto"/>
              </w:rPr>
              <w:t>for and on behalf of</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gridSpan w:val="7"/>
          </w:tcPr>
          <w:p>
            <w:pPr>
              <w:spacing w:after="0"/>
              <w:rPr>
                <w:sz w:val="20"/>
                <w:szCs w:val="20"/>
                <w:color w:val="auto"/>
              </w:rPr>
            </w:pPr>
            <w:r>
              <w:rPr>
                <w:rFonts w:ascii="Arial" w:cs="Arial" w:eastAsia="Arial" w:hAnsi="Arial"/>
                <w:sz w:val="18"/>
                <w:szCs w:val="18"/>
                <w:b w:val="1"/>
                <w:bCs w:val="1"/>
                <w:color w:val="auto"/>
              </w:rPr>
              <w:t>ING BANK N.V.</w:t>
            </w:r>
          </w:p>
        </w:tc>
        <w:tc>
          <w:tcPr>
            <w:tcW w:w="214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190"/>
        </w:trPr>
        <w:tc>
          <w:tcPr>
            <w:tcW w:w="4440" w:type="dxa"/>
            <w:vAlign w:val="bottom"/>
            <w:gridSpan w:val="7"/>
          </w:tcPr>
          <w:p>
            <w:pPr>
              <w:spacing w:after="0" w:line="190" w:lineRule="exact"/>
              <w:rPr>
                <w:sz w:val="20"/>
                <w:szCs w:val="20"/>
                <w:color w:val="auto"/>
              </w:rPr>
            </w:pPr>
            <w:r>
              <w:rPr>
                <w:rFonts w:ascii="Arial" w:cs="Arial" w:eastAsia="Arial" w:hAnsi="Arial"/>
                <w:sz w:val="18"/>
                <w:szCs w:val="18"/>
                <w:color w:val="auto"/>
                <w:w w:val="99"/>
              </w:rPr>
              <w:t>In the presence of /s/ Daphne Elektra A. Stamatopoulos</w:t>
            </w:r>
          </w:p>
        </w:tc>
        <w:tc>
          <w:tcPr>
            <w:tcW w:w="2140" w:type="dxa"/>
            <w:vAlign w:val="bottom"/>
          </w:tcPr>
          <w:p>
            <w:pPr>
              <w:jc w:val="right"/>
              <w:ind w:right="1050"/>
              <w:spacing w:after="0" w:line="190" w:lineRule="exact"/>
              <w:rPr>
                <w:sz w:val="20"/>
                <w:szCs w:val="20"/>
                <w:color w:val="auto"/>
              </w:rPr>
            </w:pPr>
            <w:r>
              <w:rPr>
                <w:rFonts w:ascii="Arial" w:cs="Arial" w:eastAsia="Arial" w:hAnsi="Arial"/>
                <w:sz w:val="18"/>
                <w:szCs w:val="18"/>
                <w:color w:val="auto"/>
              </w:rPr>
              <w:t>)</w:t>
            </w:r>
          </w:p>
        </w:tc>
      </w:tr>
      <w:tr>
        <w:trPr>
          <w:trHeight w:val="385"/>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jc w:val="right"/>
              <w:ind w:right="650"/>
              <w:spacing w:after="0"/>
              <w:rPr>
                <w:sz w:val="20"/>
                <w:szCs w:val="20"/>
                <w:color w:val="auto"/>
              </w:rPr>
            </w:pPr>
            <w:r>
              <w:rPr>
                <w:rFonts w:ascii="Arial" w:cs="Arial" w:eastAsia="Arial" w:hAnsi="Arial"/>
                <w:sz w:val="18"/>
                <w:szCs w:val="18"/>
                <w:color w:val="auto"/>
              </w:rPr>
              <w:t>114</w:t>
            </w:r>
          </w:p>
        </w:tc>
      </w:tr>
    </w:tbl>
    <w:p>
      <w:pPr>
        <w:jc w:val="right"/>
        <w:ind w:right="65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8" w:name="page289"/>
    <w:bookmarkEnd w:id="288"/>
    <w:tbl>
      <w:tblPr>
        <w:tblLayout w:type="fixed"/>
        <w:tblInd w:w="0" w:type="dxa"/>
        <w:tblCellMar>
          <w:top w:w="0" w:type="dxa"/>
          <w:left w:w="0" w:type="dxa"/>
          <w:bottom w:w="0" w:type="dxa"/>
          <w:right w:w="0" w:type="dxa"/>
        </w:tblCellMar>
      </w:tblPr>
      <w:tr>
        <w:trPr>
          <w:trHeight w:val="234"/>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FACILITY AGENT</w:t>
            </w:r>
          </w:p>
        </w:tc>
        <w:tc>
          <w:tcPr>
            <w:tcW w:w="1440" w:type="dxa"/>
            <w:vAlign w:val="bottom"/>
          </w:tcPr>
          <w:p>
            <w:pPr>
              <w:spacing w:after="0"/>
              <w:rPr>
                <w:sz w:val="20"/>
                <w:szCs w:val="20"/>
                <w:color w:val="auto"/>
              </w:rPr>
            </w:pPr>
          </w:p>
        </w:tc>
      </w:tr>
      <w:tr>
        <w:trPr>
          <w:trHeight w:val="392"/>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Aikaterina Dimitriou</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000" w:type="dxa"/>
            <w:vAlign w:val="bottom"/>
            <w:gridSpan w:val="4"/>
          </w:tcPr>
          <w:p>
            <w:pPr>
              <w:spacing w:after="0"/>
              <w:rPr>
                <w:sz w:val="20"/>
                <w:szCs w:val="20"/>
                <w:color w:val="auto"/>
              </w:rPr>
            </w:pPr>
            <w:r>
              <w:rPr>
                <w:rFonts w:ascii="Arial" w:cs="Arial" w:eastAsia="Arial" w:hAnsi="Arial"/>
                <w:sz w:val="18"/>
                <w:szCs w:val="18"/>
                <w:color w:val="auto"/>
              </w:rPr>
              <w:t>for and on behalf of</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ING BANK N.V., LONDON BRANCH</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4000" w:type="dxa"/>
            <w:vAlign w:val="bottom"/>
            <w:gridSpan w:val="4"/>
          </w:tcPr>
          <w:p>
            <w:pPr>
              <w:spacing w:after="0" w:line="190" w:lineRule="exact"/>
              <w:rPr>
                <w:sz w:val="20"/>
                <w:szCs w:val="20"/>
                <w:color w:val="auto"/>
              </w:rPr>
            </w:pPr>
            <w:r>
              <w:rPr>
                <w:rFonts w:ascii="Arial" w:cs="Arial" w:eastAsia="Arial" w:hAnsi="Arial"/>
                <w:sz w:val="18"/>
                <w:szCs w:val="18"/>
                <w:color w:val="auto"/>
                <w:w w:val="89"/>
              </w:rPr>
              <w:t>in the presence of /s/ Daphne Elektra A. Stamatopoulos</w:t>
            </w:r>
          </w:p>
        </w:tc>
        <w:tc>
          <w:tcPr>
            <w:tcW w:w="14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0"/>
        </w:trPr>
        <w:tc>
          <w:tcPr>
            <w:tcW w:w="1320" w:type="dxa"/>
            <w:vAlign w:val="bottom"/>
            <w:gridSpan w:val="2"/>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3"/>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SECURITY TRUSTEE</w:t>
            </w:r>
          </w:p>
        </w:tc>
        <w:tc>
          <w:tcPr>
            <w:tcW w:w="1440" w:type="dxa"/>
            <w:vAlign w:val="bottom"/>
          </w:tcPr>
          <w:p>
            <w:pPr>
              <w:spacing w:after="0"/>
              <w:rPr>
                <w:sz w:val="24"/>
                <w:szCs w:val="24"/>
                <w:color w:val="auto"/>
              </w:rPr>
            </w:pPr>
          </w:p>
        </w:tc>
      </w:tr>
      <w:tr>
        <w:trPr>
          <w:trHeight w:val="392"/>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 Aikaterina Dimitriou</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000" w:type="dxa"/>
            <w:vAlign w:val="bottom"/>
            <w:gridSpan w:val="4"/>
          </w:tcPr>
          <w:p>
            <w:pPr>
              <w:spacing w:after="0"/>
              <w:rPr>
                <w:sz w:val="20"/>
                <w:szCs w:val="20"/>
                <w:color w:val="auto"/>
              </w:rPr>
            </w:pPr>
            <w:r>
              <w:rPr>
                <w:rFonts w:ascii="Arial" w:cs="Arial" w:eastAsia="Arial" w:hAnsi="Arial"/>
                <w:sz w:val="18"/>
                <w:szCs w:val="18"/>
                <w:color w:val="auto"/>
              </w:rPr>
              <w:t>for and on behalf of</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ING BANK N.V., LONDON BRANCH</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4000" w:type="dxa"/>
            <w:vAlign w:val="bottom"/>
            <w:gridSpan w:val="4"/>
          </w:tcPr>
          <w:p>
            <w:pPr>
              <w:spacing w:after="0" w:line="190" w:lineRule="exact"/>
              <w:rPr>
                <w:sz w:val="20"/>
                <w:szCs w:val="20"/>
                <w:color w:val="auto"/>
              </w:rPr>
            </w:pPr>
            <w:r>
              <w:rPr>
                <w:rFonts w:ascii="Arial" w:cs="Arial" w:eastAsia="Arial" w:hAnsi="Arial"/>
                <w:sz w:val="18"/>
                <w:szCs w:val="18"/>
                <w:color w:val="auto"/>
                <w:w w:val="89"/>
              </w:rPr>
              <w:t>in the presence of /s/ Daphne Elektra A. Stamatopoulos</w:t>
            </w:r>
          </w:p>
        </w:tc>
        <w:tc>
          <w:tcPr>
            <w:tcW w:w="14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3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219"/>
          </w:cols>
          <w:pgMar w:left="240" w:top="270"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4.23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19 November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CAPITAL PRODUCT PARTNERS L.P.</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Guarantor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ING BANK N.V., LONDON BRANCH</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Security Trustee</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relating to a Loan Agreement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19 November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160020</wp:posOffset>
            </wp:positionV>
            <wp:extent cx="969010" cy="3257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69010" cy="3257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600" w:type="dxa"/>
            <w:vAlign w:val="bottom"/>
          </w:tcPr>
          <w:p>
            <w:pPr>
              <w:jc w:val="right"/>
              <w:ind w:right="5291"/>
              <w:spacing w:after="0"/>
              <w:rPr>
                <w:sz w:val="20"/>
                <w:szCs w:val="20"/>
                <w:color w:val="auto"/>
              </w:rPr>
            </w:pPr>
            <w:r>
              <w:rPr>
                <w:rFonts w:ascii="Arial" w:cs="Arial" w:eastAsia="Arial" w:hAnsi="Arial"/>
                <w:sz w:val="18"/>
                <w:szCs w:val="18"/>
                <w:b w:val="1"/>
                <w:bCs w:val="1"/>
                <w:color w:val="auto"/>
              </w:rPr>
              <w:t>Index</w:t>
            </w:r>
          </w:p>
        </w:tc>
      </w:tr>
      <w:tr>
        <w:trPr>
          <w:trHeight w:val="407"/>
        </w:trPr>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Clause</w:t>
            </w:r>
          </w:p>
        </w:tc>
        <w:tc>
          <w:tcPr>
            <w:tcW w:w="418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418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418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6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4180" w:type="dxa"/>
            <w:vAlign w:val="bottom"/>
          </w:tcPr>
          <w:p>
            <w:pPr>
              <w:ind w:left="120"/>
              <w:spacing w:after="0"/>
              <w:rPr>
                <w:sz w:val="20"/>
                <w:szCs w:val="20"/>
                <w:color w:val="auto"/>
              </w:rPr>
            </w:pPr>
            <w:r>
              <w:rPr>
                <w:rFonts w:ascii="Arial" w:cs="Arial" w:eastAsia="Arial" w:hAnsi="Arial"/>
                <w:sz w:val="18"/>
                <w:szCs w:val="18"/>
                <w:color w:val="auto"/>
              </w:rPr>
              <w:t>Liability as Principal and Independent Debtor</w:t>
            </w:r>
          </w:p>
        </w:tc>
        <w:tc>
          <w:tcPr>
            <w:tcW w:w="6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41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6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4180" w:type="dxa"/>
            <w:vAlign w:val="bottom"/>
          </w:tcPr>
          <w:p>
            <w:pPr>
              <w:ind w:left="120"/>
              <w:spacing w:after="0"/>
              <w:rPr>
                <w:sz w:val="20"/>
                <w:szCs w:val="20"/>
                <w:color w:val="auto"/>
              </w:rPr>
            </w:pPr>
            <w:r>
              <w:rPr>
                <w:rFonts w:ascii="Arial" w:cs="Arial" w:eastAsia="Arial" w:hAnsi="Arial"/>
                <w:sz w:val="18"/>
                <w:szCs w:val="18"/>
                <w:color w:val="auto"/>
              </w:rPr>
              <w:t>Adjustment of Transactions</w:t>
            </w:r>
          </w:p>
        </w:tc>
        <w:tc>
          <w:tcPr>
            <w:tcW w:w="6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4180" w:type="dxa"/>
            <w:vAlign w:val="bottom"/>
          </w:tcPr>
          <w:p>
            <w:pPr>
              <w:ind w:left="120"/>
              <w:spacing w:after="0"/>
              <w:rPr>
                <w:sz w:val="20"/>
                <w:szCs w:val="20"/>
                <w:color w:val="auto"/>
              </w:rPr>
            </w:pPr>
            <w:r>
              <w:rPr>
                <w:rFonts w:ascii="Arial" w:cs="Arial" w:eastAsia="Arial" w:hAnsi="Arial"/>
                <w:sz w:val="18"/>
                <w:szCs w:val="18"/>
                <w:color w:val="auto"/>
              </w:rPr>
              <w:t>Payments</w:t>
            </w:r>
          </w:p>
        </w:tc>
        <w:tc>
          <w:tcPr>
            <w:tcW w:w="6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41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6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418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6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4180" w:type="dxa"/>
            <w:vAlign w:val="bottom"/>
          </w:tcPr>
          <w:p>
            <w:pPr>
              <w:ind w:left="120"/>
              <w:spacing w:after="0"/>
              <w:rPr>
                <w:sz w:val="20"/>
                <w:szCs w:val="20"/>
                <w:color w:val="auto"/>
              </w:rPr>
            </w:pPr>
            <w:r>
              <w:rPr>
                <w:rFonts w:ascii="Arial" w:cs="Arial" w:eastAsia="Arial" w:hAnsi="Arial"/>
                <w:sz w:val="18"/>
                <w:szCs w:val="18"/>
                <w:color w:val="auto"/>
              </w:rPr>
              <w:t>Enforcement</w:t>
            </w:r>
          </w:p>
        </w:tc>
        <w:tc>
          <w:tcPr>
            <w:tcW w:w="6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418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6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4180" w:type="dxa"/>
            <w:vAlign w:val="bottom"/>
          </w:tcPr>
          <w:p>
            <w:pPr>
              <w:ind w:left="120"/>
              <w:spacing w:after="0"/>
              <w:rPr>
                <w:sz w:val="20"/>
                <w:szCs w:val="20"/>
                <w:color w:val="auto"/>
              </w:rPr>
            </w:pPr>
            <w:r>
              <w:rPr>
                <w:rFonts w:ascii="Arial" w:cs="Arial" w:eastAsia="Arial" w:hAnsi="Arial"/>
                <w:sz w:val="18"/>
                <w:szCs w:val="18"/>
                <w:color w:val="auto"/>
              </w:rPr>
              <w:t>Undertakings</w:t>
            </w:r>
          </w:p>
        </w:tc>
        <w:tc>
          <w:tcPr>
            <w:tcW w:w="6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4180" w:type="dxa"/>
            <w:vAlign w:val="bottom"/>
          </w:tcPr>
          <w:p>
            <w:pPr>
              <w:ind w:left="120"/>
              <w:spacing w:after="0"/>
              <w:rPr>
                <w:sz w:val="20"/>
                <w:szCs w:val="20"/>
                <w:color w:val="auto"/>
              </w:rPr>
            </w:pPr>
            <w:r>
              <w:rPr>
                <w:rFonts w:ascii="Arial" w:cs="Arial" w:eastAsia="Arial" w:hAnsi="Arial"/>
                <w:sz w:val="18"/>
                <w:szCs w:val="18"/>
                <w:color w:val="auto"/>
              </w:rPr>
              <w:t>Corporate Undertakings</w:t>
            </w:r>
          </w:p>
        </w:tc>
        <w:tc>
          <w:tcPr>
            <w:tcW w:w="6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13</w:t>
            </w:r>
          </w:p>
        </w:tc>
        <w:tc>
          <w:tcPr>
            <w:tcW w:w="4180" w:type="dxa"/>
            <w:vAlign w:val="bottom"/>
          </w:tcPr>
          <w:p>
            <w:pPr>
              <w:ind w:left="120"/>
              <w:spacing w:after="0"/>
              <w:rPr>
                <w:sz w:val="20"/>
                <w:szCs w:val="20"/>
                <w:color w:val="auto"/>
              </w:rPr>
            </w:pPr>
            <w:r>
              <w:rPr>
                <w:rFonts w:ascii="Arial" w:cs="Arial" w:eastAsia="Arial" w:hAnsi="Arial"/>
                <w:sz w:val="18"/>
                <w:szCs w:val="18"/>
                <w:color w:val="auto"/>
              </w:rPr>
              <w:t>Judgments and Currency Indemnity</w:t>
            </w:r>
          </w:p>
        </w:tc>
        <w:tc>
          <w:tcPr>
            <w:tcW w:w="6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14</w:t>
            </w:r>
          </w:p>
        </w:tc>
        <w:tc>
          <w:tcPr>
            <w:tcW w:w="4180" w:type="dxa"/>
            <w:vAlign w:val="bottom"/>
          </w:tcPr>
          <w:p>
            <w:pPr>
              <w:ind w:left="120"/>
              <w:spacing w:after="0"/>
              <w:rPr>
                <w:sz w:val="20"/>
                <w:szCs w:val="20"/>
                <w:color w:val="auto"/>
              </w:rPr>
            </w:pPr>
            <w:r>
              <w:rPr>
                <w:rFonts w:ascii="Arial" w:cs="Arial" w:eastAsia="Arial" w:hAnsi="Arial"/>
                <w:sz w:val="18"/>
                <w:szCs w:val="18"/>
                <w:color w:val="auto"/>
              </w:rPr>
              <w:t>Set off</w:t>
            </w:r>
          </w:p>
        </w:tc>
        <w:tc>
          <w:tcPr>
            <w:tcW w:w="6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15</w:t>
            </w:r>
          </w:p>
        </w:tc>
        <w:tc>
          <w:tcPr>
            <w:tcW w:w="4180" w:type="dxa"/>
            <w:vAlign w:val="bottom"/>
          </w:tcPr>
          <w:p>
            <w:pPr>
              <w:ind w:left="120"/>
              <w:spacing w:after="0"/>
              <w:rPr>
                <w:sz w:val="20"/>
                <w:szCs w:val="20"/>
                <w:color w:val="auto"/>
              </w:rPr>
            </w:pPr>
            <w:r>
              <w:rPr>
                <w:rFonts w:ascii="Arial" w:cs="Arial" w:eastAsia="Arial" w:hAnsi="Arial"/>
                <w:sz w:val="18"/>
                <w:szCs w:val="18"/>
                <w:color w:val="auto"/>
              </w:rPr>
              <w:t>Supplemental</w:t>
            </w:r>
          </w:p>
        </w:tc>
        <w:tc>
          <w:tcPr>
            <w:tcW w:w="6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16</w:t>
            </w:r>
          </w:p>
        </w:tc>
        <w:tc>
          <w:tcPr>
            <w:tcW w:w="41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6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17</w:t>
            </w:r>
          </w:p>
        </w:tc>
        <w:tc>
          <w:tcPr>
            <w:tcW w:w="4180" w:type="dxa"/>
            <w:vAlign w:val="bottom"/>
          </w:tcPr>
          <w:p>
            <w:pPr>
              <w:ind w:left="120"/>
              <w:spacing w:after="0"/>
              <w:rPr>
                <w:sz w:val="20"/>
                <w:szCs w:val="20"/>
                <w:color w:val="auto"/>
              </w:rPr>
            </w:pPr>
            <w:r>
              <w:rPr>
                <w:rFonts w:ascii="Arial" w:cs="Arial" w:eastAsia="Arial" w:hAnsi="Arial"/>
                <w:sz w:val="18"/>
                <w:szCs w:val="18"/>
                <w:color w:val="auto"/>
              </w:rPr>
              <w:t>Notices</w:t>
            </w:r>
          </w:p>
        </w:tc>
        <w:tc>
          <w:tcPr>
            <w:tcW w:w="6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18</w:t>
            </w:r>
          </w:p>
        </w:tc>
        <w:tc>
          <w:tcPr>
            <w:tcW w:w="4180" w:type="dxa"/>
            <w:vAlign w:val="bottom"/>
          </w:tcPr>
          <w:p>
            <w:pPr>
              <w:ind w:left="120"/>
              <w:spacing w:after="0"/>
              <w:rPr>
                <w:sz w:val="20"/>
                <w:szCs w:val="20"/>
                <w:color w:val="auto"/>
              </w:rPr>
            </w:pPr>
            <w:r>
              <w:rPr>
                <w:rFonts w:ascii="Arial" w:cs="Arial" w:eastAsia="Arial" w:hAnsi="Arial"/>
                <w:sz w:val="18"/>
                <w:szCs w:val="18"/>
                <w:color w:val="auto"/>
              </w:rPr>
              <w:t>Invalidity of Loan Agreement</w:t>
            </w:r>
          </w:p>
        </w:tc>
        <w:tc>
          <w:tcPr>
            <w:tcW w:w="6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19</w:t>
            </w:r>
          </w:p>
        </w:tc>
        <w:tc>
          <w:tcPr>
            <w:tcW w:w="41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6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Schedule 1 Form of Compliance Certificate</w:t>
            </w:r>
          </w:p>
        </w:tc>
        <w:tc>
          <w:tcPr>
            <w:tcW w:w="6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Execution Page</w:t>
            </w:r>
          </w:p>
        </w:tc>
        <w:tc>
          <w:tcPr>
            <w:tcW w:w="6600" w:type="dxa"/>
            <w:vAlign w:val="bottom"/>
          </w:tcPr>
          <w:p>
            <w:pPr>
              <w:jc w:val="right"/>
              <w:spacing w:after="0"/>
              <w:rPr>
                <w:sz w:val="20"/>
                <w:szCs w:val="20"/>
                <w:color w:val="auto"/>
              </w:rPr>
            </w:pPr>
            <w:r>
              <w:rPr>
                <w:rFonts w:ascii="Arial" w:cs="Arial" w:eastAsia="Arial" w:hAnsi="Arial"/>
                <w:sz w:val="18"/>
                <w:szCs w:val="18"/>
                <w:color w:val="auto"/>
              </w:rPr>
              <w:t>23</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1" w:name="page292"/>
    <w:bookmarkEnd w:id="2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GUARANTEE </w:t>
      </w:r>
      <w:r>
        <w:rPr>
          <w:rFonts w:ascii="Arial" w:cs="Arial" w:eastAsia="Arial" w:hAnsi="Arial"/>
          <w:sz w:val="18"/>
          <w:szCs w:val="18"/>
          <w:color w:val="auto"/>
        </w:rPr>
        <w:t>is made on 19 November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800" w:right="100" w:hanging="792"/>
        <w:spacing w:after="0" w:line="282" w:lineRule="auto"/>
        <w:tabs>
          <w:tab w:leader="none" w:pos="800" w:val="left"/>
        </w:tabs>
        <w:numPr>
          <w:ilvl w:val="0"/>
          <w:numId w:val="483"/>
        </w:numPr>
        <w:rPr>
          <w:rFonts w:ascii="Arial" w:cs="Arial" w:eastAsia="Arial" w:hAnsi="Arial"/>
          <w:sz w:val="18"/>
          <w:szCs w:val="18"/>
          <w:color w:val="auto"/>
        </w:rPr>
      </w:pPr>
      <w:r>
        <w:rPr>
          <w:rFonts w:ascii="Arial" w:cs="Arial" w:eastAsia="Arial" w:hAnsi="Arial"/>
          <w:sz w:val="18"/>
          <w:szCs w:val="18"/>
          <w:b w:val="1"/>
          <w:bCs w:val="1"/>
          <w:color w:val="auto"/>
        </w:rPr>
        <w:t>CAPITAL PRODUCT PARTNERS L.P.</w:t>
      </w:r>
      <w:r>
        <w:rPr>
          <w:rFonts w:ascii="Arial" w:cs="Arial" w:eastAsia="Arial" w:hAnsi="Arial"/>
          <w:sz w:val="18"/>
          <w:szCs w:val="18"/>
          <w:color w:val="auto"/>
        </w:rPr>
        <w:t>, being a limited partnership formed under the laws of the Marshall Islands whose registered address is</w:t>
      </w:r>
      <w:r>
        <w:rPr>
          <w:rFonts w:ascii="Arial" w:cs="Arial" w:eastAsia="Arial" w:hAnsi="Arial"/>
          <w:sz w:val="18"/>
          <w:szCs w:val="18"/>
          <w:b w:val="1"/>
          <w:bCs w:val="1"/>
          <w:color w:val="auto"/>
        </w:rPr>
        <w:t xml:space="preserve"> </w:t>
      </w:r>
      <w:r>
        <w:rPr>
          <w:rFonts w:ascii="Arial" w:cs="Arial" w:eastAsia="Arial" w:hAnsi="Arial"/>
          <w:sz w:val="18"/>
          <w:szCs w:val="18"/>
          <w:color w:val="auto"/>
        </w:rPr>
        <w:t>at Trust Company Complex, Ajeltake Road, Ajeltake Island, Majuro, Marshall Islands MH96960 (the “</w:t>
      </w:r>
      <w:r>
        <w:rPr>
          <w:rFonts w:ascii="Arial" w:cs="Arial" w:eastAsia="Arial" w:hAnsi="Arial"/>
          <w:sz w:val="18"/>
          <w:szCs w:val="18"/>
          <w:b w:val="1"/>
          <w:bCs w:val="1"/>
          <w:color w:val="auto"/>
        </w:rPr>
        <w:t>Guarantor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800" w:right="320" w:hanging="792"/>
        <w:spacing w:after="0" w:line="282" w:lineRule="auto"/>
        <w:tabs>
          <w:tab w:leader="none" w:pos="800" w:val="left"/>
        </w:tabs>
        <w:numPr>
          <w:ilvl w:val="0"/>
          <w:numId w:val="483"/>
        </w:numPr>
        <w:rPr>
          <w:rFonts w:ascii="Arial" w:cs="Arial" w:eastAsia="Arial" w:hAnsi="Arial"/>
          <w:sz w:val="18"/>
          <w:szCs w:val="18"/>
          <w:color w:val="auto"/>
        </w:rPr>
      </w:pPr>
      <w:r>
        <w:rPr>
          <w:rFonts w:ascii="Arial" w:cs="Arial" w:eastAsia="Arial" w:hAnsi="Arial"/>
          <w:sz w:val="18"/>
          <w:szCs w:val="18"/>
          <w:b w:val="1"/>
          <w:bCs w:val="1"/>
          <w:color w:val="auto"/>
        </w:rPr>
        <w:t>ING BANK N.V., LONDON BRANCH</w:t>
      </w:r>
      <w:r>
        <w:rPr>
          <w:rFonts w:ascii="Arial" w:cs="Arial" w:eastAsia="Arial" w:hAnsi="Arial"/>
          <w:sz w:val="18"/>
          <w:szCs w:val="18"/>
          <w:color w:val="auto"/>
        </w:rPr>
        <w:t>, acting through its office at 60 London Wall, London EC2M 5TQ, England (the “</w:t>
      </w:r>
      <w:r>
        <w:rPr>
          <w:rFonts w:ascii="Arial" w:cs="Arial" w:eastAsia="Arial" w:hAnsi="Arial"/>
          <w:sz w:val="18"/>
          <w:szCs w:val="18"/>
          <w:b w:val="1"/>
          <w:bCs w:val="1"/>
          <w:color w:val="auto"/>
        </w:rPr>
        <w:t>Security Trustee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expression includes its successors and assigns).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800" w:hanging="792"/>
        <w:spacing w:after="0" w:line="297" w:lineRule="auto"/>
        <w:tabs>
          <w:tab w:leader="none" w:pos="8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By a loan agreement dated 19 November 2015 and made between (i) Filonikis Product Carrier S.A., Helios Product Carrier S.A., Hercules Product S.A., Iason Product Carrier S.A. and Archon Product Carrier S.A. as joint and several borrowers (together, the “</w:t>
      </w:r>
      <w:r>
        <w:rPr>
          <w:rFonts w:ascii="Arial" w:cs="Arial" w:eastAsia="Arial" w:hAnsi="Arial"/>
          <w:sz w:val="16"/>
          <w:szCs w:val="16"/>
          <w:b w:val="1"/>
          <w:bCs w:val="1"/>
          <w:color w:val="auto"/>
        </w:rPr>
        <w:t>Borrowers</w:t>
      </w:r>
      <w:r>
        <w:rPr>
          <w:rFonts w:ascii="Arial" w:cs="Arial" w:eastAsia="Arial" w:hAnsi="Arial"/>
          <w:sz w:val="16"/>
          <w:szCs w:val="16"/>
          <w:color w:val="auto"/>
        </w:rPr>
        <w:t>” and each a “</w:t>
      </w:r>
      <w:r>
        <w:rPr>
          <w:rFonts w:ascii="Arial" w:cs="Arial" w:eastAsia="Arial" w:hAnsi="Arial"/>
          <w:sz w:val="16"/>
          <w:szCs w:val="16"/>
          <w:b w:val="1"/>
          <w:bCs w:val="1"/>
          <w:color w:val="auto"/>
        </w:rPr>
        <w:t>Borrower</w:t>
      </w:r>
      <w:r>
        <w:rPr>
          <w:rFonts w:ascii="Arial" w:cs="Arial" w:eastAsia="Arial" w:hAnsi="Arial"/>
          <w:sz w:val="16"/>
          <w:szCs w:val="16"/>
          <w:color w:val="auto"/>
        </w:rPr>
        <w:t>”), (ii) the banks and financial institutions listed therein as lenders (together, the “</w:t>
      </w:r>
      <w:r>
        <w:rPr>
          <w:rFonts w:ascii="Arial" w:cs="Arial" w:eastAsia="Arial" w:hAnsi="Arial"/>
          <w:sz w:val="16"/>
          <w:szCs w:val="16"/>
          <w:b w:val="1"/>
          <w:bCs w:val="1"/>
          <w:color w:val="auto"/>
        </w:rPr>
        <w:t>Lenders</w:t>
      </w:r>
      <w:r>
        <w:rPr>
          <w:rFonts w:ascii="Arial" w:cs="Arial" w:eastAsia="Arial" w:hAnsi="Arial"/>
          <w:sz w:val="16"/>
          <w:szCs w:val="16"/>
          <w:color w:val="auto"/>
        </w:rPr>
        <w:t>”), (iii) ING Bank N.V., London Branch as agent (the “</w:t>
      </w:r>
      <w:r>
        <w:rPr>
          <w:rFonts w:ascii="Arial" w:cs="Arial" w:eastAsia="Arial" w:hAnsi="Arial"/>
          <w:sz w:val="16"/>
          <w:szCs w:val="16"/>
          <w:b w:val="1"/>
          <w:bCs w:val="1"/>
          <w:color w:val="auto"/>
        </w:rPr>
        <w:t>Agent</w:t>
      </w:r>
      <w:r>
        <w:rPr>
          <w:rFonts w:ascii="Arial" w:cs="Arial" w:eastAsia="Arial" w:hAnsi="Arial"/>
          <w:sz w:val="16"/>
          <w:szCs w:val="16"/>
          <w:color w:val="auto"/>
        </w:rPr>
        <w:t>”), (iv) ING Bank N.V. as swap bank (in such capacity, the “</w:t>
      </w:r>
      <w:r>
        <w:rPr>
          <w:rFonts w:ascii="Arial" w:cs="Arial" w:eastAsia="Arial" w:hAnsi="Arial"/>
          <w:sz w:val="16"/>
          <w:szCs w:val="16"/>
          <w:b w:val="1"/>
          <w:bCs w:val="1"/>
          <w:color w:val="auto"/>
        </w:rPr>
        <w:t>Swap Bank</w:t>
      </w:r>
      <w:r>
        <w:rPr>
          <w:rFonts w:ascii="Arial" w:cs="Arial" w:eastAsia="Arial" w:hAnsi="Arial"/>
          <w:sz w:val="16"/>
          <w:szCs w:val="16"/>
          <w:color w:val="auto"/>
        </w:rPr>
        <w:t>”) and (v) the Security Trustee, it was agreed that the Lenders would make available to the Borrowers a secured pre and post-delivery term loan facility of up to US$97,830,000 (the “</w:t>
      </w:r>
      <w:r>
        <w:rPr>
          <w:rFonts w:ascii="Arial" w:cs="Arial" w:eastAsia="Arial" w:hAnsi="Arial"/>
          <w:sz w:val="16"/>
          <w:szCs w:val="16"/>
          <w:b w:val="1"/>
          <w:bCs w:val="1"/>
          <w:color w:val="auto"/>
        </w:rPr>
        <w:t>Loan</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800" w:hanging="792"/>
        <w:spacing w:after="0" w:line="261" w:lineRule="auto"/>
        <w:tabs>
          <w:tab w:leader="none" w:pos="8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By certain master agreements (each on the 2002 ISDA Master Agreement and including the schedule thereto as amended) (each a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together the “</w:t>
      </w:r>
      <w:r>
        <w:rPr>
          <w:rFonts w:ascii="Arial" w:cs="Arial" w:eastAsia="Arial" w:hAnsi="Arial"/>
          <w:sz w:val="18"/>
          <w:szCs w:val="18"/>
          <w:b w:val="1"/>
          <w:bCs w:val="1"/>
          <w:color w:val="auto"/>
        </w:rPr>
        <w:t>Master Agreements</w:t>
      </w:r>
      <w:r>
        <w:rPr>
          <w:rFonts w:ascii="Arial" w:cs="Arial" w:eastAsia="Arial" w:hAnsi="Arial"/>
          <w:sz w:val="18"/>
          <w:szCs w:val="18"/>
          <w:color w:val="auto"/>
        </w:rPr>
        <w:t>”), each dated as of 19 November 2015 and made between (i) each Borrower and (ii) the Swap</w:t>
      </w:r>
      <w:r>
        <w:rPr>
          <w:rFonts w:ascii="Arial" w:cs="Arial" w:eastAsia="Arial" w:hAnsi="Arial"/>
          <w:sz w:val="18"/>
          <w:szCs w:val="18"/>
          <w:b w:val="1"/>
          <w:bCs w:val="1"/>
          <w:color w:val="auto"/>
        </w:rPr>
        <w:t xml:space="preserve"> </w:t>
      </w:r>
      <w:r>
        <w:rPr>
          <w:rFonts w:ascii="Arial" w:cs="Arial" w:eastAsia="Arial" w:hAnsi="Arial"/>
          <w:sz w:val="18"/>
          <w:szCs w:val="18"/>
          <w:color w:val="auto"/>
        </w:rPr>
        <w:t>Bank, it was agreed that the Swap Bank may enter into Designated Transactions with that Borrower from time to time to hedge such Borrower’s exposure under the Loan Agreement to interest rate fluctuations.</w:t>
      </w:r>
    </w:p>
    <w:p>
      <w:pPr>
        <w:spacing w:after="0" w:line="89" w:lineRule="exact"/>
        <w:rPr>
          <w:rFonts w:ascii="Arial" w:cs="Arial" w:eastAsia="Arial" w:hAnsi="Arial"/>
          <w:sz w:val="18"/>
          <w:szCs w:val="18"/>
          <w:color w:val="auto"/>
        </w:rPr>
      </w:pPr>
    </w:p>
    <w:p>
      <w:pPr>
        <w:ind w:left="800" w:right="260" w:hanging="792"/>
        <w:spacing w:after="0" w:line="277" w:lineRule="auto"/>
        <w:tabs>
          <w:tab w:leader="none" w:pos="8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By the Agency and Trust Agreement entered into pursuant to the Loan Agreement, it was agreed that the Security Trustee would hold the Trust Property on trust for the Creditor Parties.</w:t>
      </w:r>
    </w:p>
    <w:p>
      <w:pPr>
        <w:spacing w:after="0" w:line="75"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It is a condition precedent to the Lenders advancing the Loan (or any part thereof) to the Borrowers that the Guarantor shall execute and deliver or, as the case may be, register in favour of the Security Trustee:</w:t>
      </w:r>
    </w:p>
    <w:p>
      <w:pPr>
        <w:spacing w:after="0" w:line="75" w:lineRule="exact"/>
        <w:rPr>
          <w:rFonts w:ascii="Arial" w:cs="Arial" w:eastAsia="Arial" w:hAnsi="Arial"/>
          <w:sz w:val="18"/>
          <w:szCs w:val="18"/>
          <w:color w:val="auto"/>
        </w:rPr>
      </w:pPr>
    </w:p>
    <w:p>
      <w:pPr>
        <w:ind w:left="1700" w:hanging="895"/>
        <w:spacing w:after="0"/>
        <w:tabs>
          <w:tab w:leader="none" w:pos="170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this Guarantee; and</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any pledge in respect of all shares in each Borrower of which it is the sole shareholder.</w:t>
      </w:r>
    </w:p>
    <w:p>
      <w:pPr>
        <w:sectPr>
          <w:pgSz w:w="11900" w:h="16838" w:orient="portrait"/>
          <w:cols w:equalWidth="0" w:num="1">
            <w:col w:w="11380"/>
          </w:cols>
          <w:pgMar w:left="240" w:top="270" w:right="2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Defined expressions</w:t>
      </w:r>
    </w:p>
    <w:p>
      <w:pPr>
        <w:spacing w:after="0" w:line="121"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color w:val="auto"/>
        </w:rPr>
        <w:t>Words and expressions defined in the Loan Agreement shall have the same meanings when used in this Guarantee unless the context otherwise requires.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this Guarantee:</w:t>
      </w:r>
    </w:p>
    <w:p>
      <w:pPr>
        <w:spacing w:after="0" w:line="113" w:lineRule="exact"/>
        <w:rPr>
          <w:sz w:val="20"/>
          <w:szCs w:val="20"/>
          <w:color w:val="auto"/>
        </w:rPr>
      </w:pPr>
    </w:p>
    <w:p>
      <w:pPr>
        <w:jc w:val="both"/>
        <w:ind w:left="80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Information</w:t>
      </w:r>
      <w:r>
        <w:rPr>
          <w:rFonts w:ascii="Arial" w:cs="Arial" w:eastAsia="Arial" w:hAnsi="Arial"/>
          <w:sz w:val="18"/>
          <w:szCs w:val="18"/>
          <w:color w:val="auto"/>
        </w:rPr>
        <w:t>” means the annual audited consolidated accounts and the unaudited semi-annual management accounts in respect of each Relevant Borrower and the Guarantor referred to, respectively, in Clauses 11.4(a) and 11.4(b);</w:t>
      </w:r>
    </w:p>
    <w:p>
      <w:pPr>
        <w:spacing w:after="0" w:line="54" w:lineRule="exact"/>
        <w:rPr>
          <w:sz w:val="20"/>
          <w:szCs w:val="20"/>
          <w:color w:val="auto"/>
        </w:rPr>
      </w:pPr>
    </w:p>
    <w:p>
      <w:pPr>
        <w:ind w:left="80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w:t>
      </w:r>
      <w:r>
        <w:rPr>
          <w:rFonts w:ascii="Arial" w:cs="Arial" w:eastAsia="Arial" w:hAnsi="Arial"/>
          <w:sz w:val="18"/>
          <w:szCs w:val="18"/>
          <w:color w:val="auto"/>
        </w:rPr>
        <w:t>” includes a liquidation, receivership or administration and any form of suspension of payments, arrangement with creditors or reorganisation under any corporate or insolvency law of any country;</w:t>
      </w:r>
    </w:p>
    <w:p>
      <w:pPr>
        <w:spacing w:after="0" w:line="54" w:lineRule="exact"/>
        <w:rPr>
          <w:sz w:val="20"/>
          <w:szCs w:val="20"/>
          <w:color w:val="auto"/>
        </w:rPr>
      </w:pPr>
    </w:p>
    <w:p>
      <w:pPr>
        <w:ind w:left="80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1 (or in any other form which the Agent approves or requires in its sole discretion);</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Date</w:t>
      </w:r>
      <w:r>
        <w:rPr>
          <w:rFonts w:ascii="Arial" w:cs="Arial" w:eastAsia="Arial" w:hAnsi="Arial"/>
          <w:sz w:val="18"/>
          <w:szCs w:val="18"/>
          <w:color w:val="auto"/>
        </w:rPr>
        <w:t>” means each of 30 June and 31 December in each Financial Year of the Guarantor;</w:t>
      </w:r>
    </w:p>
    <w:p>
      <w:pPr>
        <w:spacing w:after="0" w:line="117" w:lineRule="exact"/>
        <w:rPr>
          <w:sz w:val="20"/>
          <w:szCs w:val="20"/>
          <w:color w:val="auto"/>
        </w:rPr>
      </w:pPr>
    </w:p>
    <w:p>
      <w:pPr>
        <w:jc w:val="both"/>
        <w:ind w:left="80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the relevant period, the aggregate amount of consolidated earnings of the Group (excluding any extraordinary items (namely any items which are not relevant to the Guarantor’s normal course of daily business)) before net interest, tax, depreciation or any amortisation charges;</w:t>
      </w:r>
    </w:p>
    <w:p>
      <w:pPr>
        <w:spacing w:after="0" w:line="68"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Vessels</w:t>
      </w:r>
      <w:r>
        <w:rPr>
          <w:rFonts w:ascii="Arial" w:cs="Arial" w:eastAsia="Arial" w:hAnsi="Arial"/>
          <w:sz w:val="18"/>
          <w:szCs w:val="18"/>
          <w:color w:val="auto"/>
        </w:rPr>
        <w:t>” means all of the vessels (including, but not limited to, each Ship owned by a Relevant Borrower) from time to time wholly owned by members of the Group (each a “</w:t>
      </w:r>
      <w:r>
        <w:rPr>
          <w:rFonts w:ascii="Arial" w:cs="Arial" w:eastAsia="Arial" w:hAnsi="Arial"/>
          <w:sz w:val="18"/>
          <w:szCs w:val="18"/>
          <w:b w:val="1"/>
          <w:bCs w:val="1"/>
          <w:color w:val="auto"/>
        </w:rPr>
        <w:t>Fleet Vessel</w:t>
      </w:r>
      <w:r>
        <w:rPr>
          <w:rFonts w:ascii="Arial" w:cs="Arial" w:eastAsia="Arial" w:hAnsi="Arial"/>
          <w:sz w:val="18"/>
          <w:szCs w:val="18"/>
          <w:color w:val="auto"/>
        </w:rPr>
        <w:t>”);</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Fleet Vessel Market Value</w:t>
      </w:r>
      <w:r>
        <w:rPr>
          <w:rFonts w:ascii="Arial" w:cs="Arial" w:eastAsia="Arial" w:hAnsi="Arial"/>
          <w:sz w:val="16"/>
          <w:szCs w:val="16"/>
          <w:color w:val="auto"/>
        </w:rPr>
        <w:t>” means, in relation to a Fleet Vessel, the market value of that Fleet Vessel determined pursuant to Clause 12.7;</w:t>
      </w:r>
    </w:p>
    <w:p>
      <w:pPr>
        <w:spacing w:after="0" w:line="140" w:lineRule="exact"/>
        <w:rPr>
          <w:sz w:val="20"/>
          <w:szCs w:val="20"/>
          <w:color w:val="auto"/>
        </w:rPr>
      </w:pPr>
    </w:p>
    <w:p>
      <w:pPr>
        <w:ind w:left="800" w:right="3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Guarantor and its wholly-owned subsidiaries (whether direct or indirect, and including, but not limited to, each Relevant Borrower) from time to time during the Security Period and “</w:t>
      </w:r>
      <w:r>
        <w:rPr>
          <w:rFonts w:ascii="Arial" w:cs="Arial" w:eastAsia="Arial" w:hAnsi="Arial"/>
          <w:sz w:val="17"/>
          <w:szCs w:val="17"/>
          <w:b w:val="1"/>
          <w:bCs w:val="1"/>
          <w:color w:val="auto"/>
        </w:rPr>
        <w:t>member of the Group</w:t>
      </w:r>
      <w:r>
        <w:rPr>
          <w:rFonts w:ascii="Arial" w:cs="Arial" w:eastAsia="Arial" w:hAnsi="Arial"/>
          <w:sz w:val="17"/>
          <w:szCs w:val="17"/>
          <w:color w:val="auto"/>
        </w:rPr>
        <w:t>” shall be construed accordingly;</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Tranche</w:t>
      </w:r>
      <w:r>
        <w:rPr>
          <w:rFonts w:ascii="Arial" w:cs="Arial" w:eastAsia="Arial" w:hAnsi="Arial"/>
          <w:sz w:val="18"/>
          <w:szCs w:val="18"/>
          <w:color w:val="auto"/>
        </w:rPr>
        <w:t>” means any Tranche financing a Ship owned or to be owned by a Relevant Borrower;</w:t>
      </w:r>
    </w:p>
    <w:p>
      <w:pPr>
        <w:spacing w:after="0" w:line="117" w:lineRule="exact"/>
        <w:rPr>
          <w:sz w:val="20"/>
          <w:szCs w:val="20"/>
          <w:color w:val="auto"/>
        </w:rPr>
      </w:pPr>
    </w:p>
    <w:p>
      <w:pPr>
        <w:ind w:left="80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 Documents</w:t>
      </w:r>
      <w:r>
        <w:rPr>
          <w:rFonts w:ascii="Arial" w:cs="Arial" w:eastAsia="Arial" w:hAnsi="Arial"/>
          <w:sz w:val="18"/>
          <w:szCs w:val="18"/>
          <w:color w:val="auto"/>
        </w:rPr>
        <w:t>” means, together, this Guarantee, any Pledges and any other Finance Document to which the Guarantor is or, as the context may require, will be a party and, in the singular, means any of them;</w:t>
      </w:r>
    </w:p>
    <w:p>
      <w:pPr>
        <w:spacing w:after="0" w:line="54" w:lineRule="exact"/>
        <w:rPr>
          <w:sz w:val="20"/>
          <w:szCs w:val="20"/>
          <w:color w:val="auto"/>
        </w:rPr>
      </w:pPr>
    </w:p>
    <w:p>
      <w:pPr>
        <w:ind w:left="800" w:right="1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Shareholder</w:t>
      </w:r>
      <w:r>
        <w:rPr>
          <w:rFonts w:ascii="Arial" w:cs="Arial" w:eastAsia="Arial" w:hAnsi="Arial"/>
          <w:sz w:val="17"/>
          <w:szCs w:val="17"/>
          <w:color w:val="auto"/>
        </w:rPr>
        <w:t>” means Capital Product Operating LLC, a limited liability company formed in the Republic of the Marshall Islands whose registered office is at Trust Company Complex Ajeltake Road, Ajeltake Island, Majuro MH 96960, the Marshall Islands;</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any relevant time, the ratio (expressed as a percentage) of:</w:t>
      </w:r>
    </w:p>
    <w:p>
      <w:pPr>
        <w:spacing w:after="0" w:line="135" w:lineRule="exact"/>
        <w:rPr>
          <w:sz w:val="20"/>
          <w:szCs w:val="20"/>
          <w:color w:val="auto"/>
        </w:rPr>
      </w:pPr>
    </w:p>
    <w:p>
      <w:pPr>
        <w:ind w:left="1700" w:hanging="895"/>
        <w:spacing w:after="0"/>
        <w:tabs>
          <w:tab w:leader="none" w:pos="1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Financial Indebtedness of the Group less the aggregate Liquid Assets of the Group; to</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aggregate Fleet Vessel Market Value;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93" w:name="page294"/>
    <w:bookmarkEnd w:id="293"/>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Liquid Assets</w:t>
      </w:r>
      <w:r>
        <w:rPr>
          <w:rFonts w:ascii="Arial" w:cs="Arial" w:eastAsia="Arial" w:hAnsi="Arial"/>
          <w:sz w:val="18"/>
          <w:szCs w:val="18"/>
          <w:color w:val="auto"/>
        </w:rPr>
        <w:t>” means, at any relevant time hereunder:</w:t>
      </w:r>
    </w:p>
    <w:p>
      <w:pPr>
        <w:spacing w:after="0" w:line="135" w:lineRule="exact"/>
        <w:rPr>
          <w:sz w:val="20"/>
          <w:szCs w:val="20"/>
          <w:color w:val="auto"/>
        </w:rPr>
      </w:pPr>
    </w:p>
    <w:p>
      <w:pPr>
        <w:jc w:val="both"/>
        <w:ind w:left="1700" w:right="240" w:hanging="895"/>
        <w:spacing w:after="0" w:line="286" w:lineRule="auto"/>
        <w:tabs>
          <w:tab w:leader="none" w:pos="170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cash in hand or held with banks or other financial institutions of the Guarantor and/or any other member of the Group in Dollars or another currency freely convertible into Dollars, which is free of any Security Interest (other than a Permitted Security Interest and other than ordinary bankers’ liens which have not been enforced or become capable of being enforced);</w:t>
      </w:r>
    </w:p>
    <w:p>
      <w:pPr>
        <w:spacing w:after="0" w:line="70" w:lineRule="exact"/>
        <w:rPr>
          <w:rFonts w:ascii="Arial" w:cs="Arial" w:eastAsia="Arial" w:hAnsi="Arial"/>
          <w:sz w:val="17"/>
          <w:szCs w:val="17"/>
          <w:color w:val="auto"/>
        </w:rPr>
      </w:pPr>
    </w:p>
    <w:p>
      <w:pPr>
        <w:ind w:left="1700" w:hanging="895"/>
        <w:spacing w:after="0"/>
        <w:tabs>
          <w:tab w:leader="none" w:pos="17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other short-term financial investment which is free of any Security Interest (other than a Permitted Security Interest);</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cash equivalent of the Guarantor and/or any other member of the Group; and</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marketable securities of the Guarantor and/or any other member of the Group,</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stated in the latest Accounting Information;</w:t>
      </w:r>
    </w:p>
    <w:p>
      <w:pPr>
        <w:spacing w:after="0" w:line="113" w:lineRule="exact"/>
        <w:rPr>
          <w:sz w:val="20"/>
          <w:szCs w:val="20"/>
          <w:color w:val="auto"/>
        </w:rPr>
      </w:pPr>
    </w:p>
    <w:p>
      <w:pPr>
        <w:ind w:left="80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means the loan agreement dated November 2015 referred to in Recital (A) and includes any existing or future amendments or supplements, whether made with the Guarantor’s consent or otherwise;</w:t>
      </w:r>
    </w:p>
    <w:p>
      <w:pPr>
        <w:spacing w:after="0" w:line="54" w:lineRule="exact"/>
        <w:rPr>
          <w:sz w:val="20"/>
          <w:szCs w:val="20"/>
          <w:color w:val="auto"/>
        </w:rPr>
      </w:pPr>
    </w:p>
    <w:p>
      <w:pPr>
        <w:ind w:left="8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Master Agreement</w:t>
      </w:r>
      <w:r>
        <w:rPr>
          <w:rFonts w:ascii="Arial" w:cs="Arial" w:eastAsia="Arial" w:hAnsi="Arial"/>
          <w:sz w:val="16"/>
          <w:szCs w:val="16"/>
          <w:color w:val="auto"/>
        </w:rPr>
        <w:t>” means each of the master agreements and the schedules thereto referred to in Recital (B) (including all Designated Transactions from time to time entered into and Confirmations from time to time exchanged thereunder) and includes, in each case, any existing or future amendments or supplements, whether made with the Guarantor’s consent or otherwise and, in the plural, means all of them;</w:t>
      </w:r>
    </w:p>
    <w:p>
      <w:pPr>
        <w:spacing w:after="0" w:line="34" w:lineRule="exact"/>
        <w:rPr>
          <w:sz w:val="20"/>
          <w:szCs w:val="20"/>
          <w:color w:val="auto"/>
        </w:rPr>
      </w:pPr>
    </w:p>
    <w:p>
      <w:pPr>
        <w:ind w:left="800"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Interest Expense</w:t>
      </w:r>
      <w:r>
        <w:rPr>
          <w:rFonts w:ascii="Arial" w:cs="Arial" w:eastAsia="Arial" w:hAnsi="Arial"/>
          <w:sz w:val="17"/>
          <w:szCs w:val="17"/>
          <w:color w:val="auto"/>
        </w:rPr>
        <w:t>” means, as at any date of calculation, the aggregate of all interest payable by any member of the Group on any Financial Indebtedness and any net amounts payable under interest rate hedge agreements for the 12-month period commencing on the date of calculation less interest income received, determined on a consolidated basis in accordance with generally accepted accounting principles and as shown in the consolidated statements of income of the Group in the Accounting Information;</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Pledges</w:t>
      </w:r>
      <w:r>
        <w:rPr>
          <w:rFonts w:ascii="Arial" w:cs="Arial" w:eastAsia="Arial" w:hAnsi="Arial"/>
          <w:sz w:val="18"/>
          <w:szCs w:val="18"/>
          <w:color w:val="auto"/>
        </w:rPr>
        <w:t>” means any pledge of the share capital of any Relevant Borrower and, in the plural, means all of them;</w:t>
      </w:r>
    </w:p>
    <w:p>
      <w:pPr>
        <w:spacing w:after="0" w:line="117" w:lineRule="exact"/>
        <w:rPr>
          <w:sz w:val="20"/>
          <w:szCs w:val="20"/>
          <w:color w:val="auto"/>
        </w:rPr>
      </w:pPr>
    </w:p>
    <w:p>
      <w:pPr>
        <w:ind w:left="80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Borrower</w:t>
      </w:r>
      <w:r>
        <w:rPr>
          <w:rFonts w:ascii="Arial" w:cs="Arial" w:eastAsia="Arial" w:hAnsi="Arial"/>
          <w:sz w:val="18"/>
          <w:szCs w:val="18"/>
          <w:color w:val="auto"/>
        </w:rPr>
        <w:t>” means at any relevant time, each Borrower which is a member of the Group at such time, and in the plural means all of them; and</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Assets</w:t>
      </w:r>
      <w:r>
        <w:rPr>
          <w:rFonts w:ascii="Arial" w:cs="Arial" w:eastAsia="Arial" w:hAnsi="Arial"/>
          <w:sz w:val="18"/>
          <w:szCs w:val="18"/>
          <w:color w:val="auto"/>
        </w:rPr>
        <w:t>” means the total assets of the Group as stated in the most recent Accounting Information.</w:t>
      </w:r>
    </w:p>
    <w:p>
      <w:pPr>
        <w:spacing w:after="0" w:line="3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Application of construction and interpretation provisions of Loan Agreement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Clauses 1.2 and 1.5 inclusive of the Loan Agreement apply, with any necessary modifications, to this Guarantee.</w:t>
      </w:r>
    </w:p>
    <w:p>
      <w:pPr>
        <w:spacing w:after="0" w:line="329" w:lineRule="exact"/>
        <w:rPr>
          <w:sz w:val="20"/>
          <w:szCs w:val="20"/>
          <w:color w:val="auto"/>
        </w:rPr>
      </w:pPr>
    </w:p>
    <w:p>
      <w:pPr>
        <w:jc w:val="center"/>
        <w:ind w:right="8620"/>
        <w:spacing w:after="0"/>
        <w:rPr>
          <w:sz w:val="20"/>
          <w:szCs w:val="20"/>
          <w:color w:val="auto"/>
        </w:rPr>
      </w:pPr>
      <w:r>
        <w:rPr>
          <w:rFonts w:ascii="Arial" w:cs="Arial" w:eastAsia="Arial" w:hAnsi="Arial"/>
          <w:sz w:val="18"/>
          <w:szCs w:val="18"/>
          <w:b w:val="1"/>
          <w:bCs w:val="1"/>
          <w:color w:val="auto"/>
        </w:rPr>
        <w:t>GUARANTEE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unconditionally and irrevocably:</w:t>
      </w:r>
    </w:p>
    <w:p>
      <w:pPr>
        <w:spacing w:after="0" w:line="131" w:lineRule="exact"/>
        <w:rPr>
          <w:sz w:val="20"/>
          <w:szCs w:val="20"/>
          <w:color w:val="auto"/>
        </w:rPr>
      </w:pPr>
    </w:p>
    <w:p>
      <w:pPr>
        <w:jc w:val="both"/>
        <w:ind w:left="800" w:right="520" w:hanging="792"/>
        <w:spacing w:after="0" w:line="286" w:lineRule="auto"/>
        <w:tabs>
          <w:tab w:leader="none" w:pos="80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guarantees the due payment of the Guaranteed Tranches (or any of them) and of all amounts payable by any Relevant Borrower under or in connection with the Loan Agreement, the Master Agreements and every other Finance Document in connection with, or attributable to, any Guaranteed Tranche in respect of the period during which that Relevant Borrower is a member of the Group;</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294" w:name="page295"/>
    <w:bookmarkEnd w:id="294"/>
    <w:p>
      <w:pPr>
        <w:ind w:left="800" w:right="360" w:hanging="792"/>
        <w:spacing w:after="0" w:line="277" w:lineRule="auto"/>
        <w:tabs>
          <w:tab w:leader="none" w:pos="8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undertakes to pay to the Security Trustee, on the Security Trustee’s demand, any such amount which is not paid by a Relevant Borrower when payable in respect of the period during which that Relevant Borrower is a member of the Group; and</w:t>
      </w:r>
    </w:p>
    <w:p>
      <w:pPr>
        <w:spacing w:after="0" w:line="75" w:lineRule="exact"/>
        <w:rPr>
          <w:rFonts w:ascii="Arial" w:cs="Arial" w:eastAsia="Arial" w:hAnsi="Arial"/>
          <w:sz w:val="18"/>
          <w:szCs w:val="18"/>
          <w:color w:val="auto"/>
        </w:rPr>
      </w:pPr>
    </w:p>
    <w:p>
      <w:pPr>
        <w:ind w:left="800" w:right="140" w:hanging="792"/>
        <w:spacing w:after="0" w:line="257" w:lineRule="auto"/>
        <w:tabs>
          <w:tab w:leader="none" w:pos="8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agrees to fully indemnify the Security Trustee and each other Creditor Party on the Security Trustee’s demand in respect of all claims, reasonable expenses, liabilities and losses which are made or brought against or incurred by the Security Trustee or any other Creditor Party concerned as a result of or in connection with any obligation or liability guaranteed by the Guarantor being or becoming unenforceable, invalid, void or illegal; and the amount recoverable under this indemnity shall be equal to the amount which the Security Trustee or the other Creditor Party concerned would otherwise have been entitled to recover</w:t>
      </w:r>
    </w:p>
    <w:p>
      <w:pPr>
        <w:spacing w:after="0" w:line="76" w:lineRule="exact"/>
        <w:rPr>
          <w:rFonts w:ascii="Arial" w:cs="Arial" w:eastAsia="Arial" w:hAnsi="Arial"/>
          <w:sz w:val="18"/>
          <w:szCs w:val="18"/>
          <w:color w:val="auto"/>
        </w:rPr>
      </w:pPr>
    </w:p>
    <w:p>
      <w:pPr>
        <w:ind w:left="800" w:right="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Provided however that</w:t>
      </w:r>
      <w:r>
        <w:rPr>
          <w:rFonts w:ascii="Arial" w:cs="Arial" w:eastAsia="Arial" w:hAnsi="Arial"/>
          <w:sz w:val="18"/>
          <w:szCs w:val="18"/>
          <w:color w:val="auto"/>
        </w:rPr>
        <w:t>, for the avoidance of doubt, the Guarantor shall only be liable under this Guarantee from the date on which any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a member of the Group following a Dropdown.</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No limit on number of demands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Security Trustee may serve more than one demand under Clause 2.1.</w:t>
      </w:r>
    </w:p>
    <w:p>
      <w:pPr>
        <w:spacing w:after="0" w:line="3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LIABILITY AS PRINCIPAL AND INDEPENDENT DEBTOR</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Principal and independent debtor</w:t>
      </w:r>
    </w:p>
    <w:p>
      <w:pPr>
        <w:spacing w:after="0" w:line="121" w:lineRule="exact"/>
        <w:rPr>
          <w:sz w:val="20"/>
          <w:szCs w:val="20"/>
          <w:color w:val="auto"/>
        </w:rPr>
      </w:pPr>
    </w:p>
    <w:p>
      <w:pPr>
        <w:ind w:left="800" w:right="700"/>
        <w:spacing w:after="0" w:line="277" w:lineRule="auto"/>
        <w:rPr>
          <w:sz w:val="20"/>
          <w:szCs w:val="20"/>
          <w:color w:val="auto"/>
        </w:rPr>
      </w:pPr>
      <w:r>
        <w:rPr>
          <w:rFonts w:ascii="Arial" w:cs="Arial" w:eastAsia="Arial" w:hAnsi="Arial"/>
          <w:sz w:val="18"/>
          <w:szCs w:val="18"/>
          <w:color w:val="auto"/>
        </w:rPr>
        <w:t>The Guarantor shall be liable under this Guarantee as a principal and independent debtor and accordingly it shall not have, as regards this Guarantee, any of the rights or defences of a surety.</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Waiver of rights and defences</w:t>
      </w:r>
    </w:p>
    <w:p>
      <w:pPr>
        <w:spacing w:after="0" w:line="121" w:lineRule="exact"/>
        <w:rPr>
          <w:sz w:val="20"/>
          <w:szCs w:val="20"/>
          <w:color w:val="auto"/>
        </w:rPr>
      </w:pPr>
    </w:p>
    <w:p>
      <w:pPr>
        <w:ind w:left="800" w:right="520"/>
        <w:spacing w:after="0" w:line="277" w:lineRule="auto"/>
        <w:rPr>
          <w:sz w:val="20"/>
          <w:szCs w:val="20"/>
          <w:color w:val="auto"/>
        </w:rPr>
      </w:pPr>
      <w:r>
        <w:rPr>
          <w:rFonts w:ascii="Arial" w:cs="Arial" w:eastAsia="Arial" w:hAnsi="Arial"/>
          <w:sz w:val="18"/>
          <w:szCs w:val="18"/>
          <w:color w:val="auto"/>
        </w:rPr>
        <w:t>Without limiting the generality of Clause 3.1, the Guarantor shall neither be discharged by, nor have any claim against any Creditor Party in respect of:</w:t>
      </w:r>
    </w:p>
    <w:p>
      <w:pPr>
        <w:spacing w:after="0" w:line="76" w:lineRule="exact"/>
        <w:rPr>
          <w:sz w:val="20"/>
          <w:szCs w:val="20"/>
          <w:color w:val="auto"/>
        </w:rPr>
      </w:pPr>
    </w:p>
    <w:p>
      <w:pPr>
        <w:ind w:left="800" w:hanging="792"/>
        <w:spacing w:after="0"/>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amendment or supplement being made to the Finance Documents (or any of them);</w:t>
      </w:r>
    </w:p>
    <w:p>
      <w:pPr>
        <w:spacing w:after="0" w:line="130" w:lineRule="exact"/>
        <w:rPr>
          <w:rFonts w:ascii="Arial" w:cs="Arial" w:eastAsia="Arial" w:hAnsi="Arial"/>
          <w:sz w:val="18"/>
          <w:szCs w:val="18"/>
          <w:color w:val="auto"/>
        </w:rPr>
      </w:pPr>
    </w:p>
    <w:p>
      <w:pPr>
        <w:ind w:left="800" w:right="220" w:hanging="792"/>
        <w:spacing w:after="0" w:line="277" w:lineRule="auto"/>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arrangement or concession (including a rescheduling or acceptance of partial payments) relating to, or affecting, the Finance Documents (or any of them);</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release or loss (even though negligent) of any right or Security Interest created by the Finance Documents (or any of them);</w:t>
      </w:r>
    </w:p>
    <w:p>
      <w:pPr>
        <w:spacing w:after="0" w:line="130" w:lineRule="exact"/>
        <w:rPr>
          <w:rFonts w:ascii="Arial" w:cs="Arial" w:eastAsia="Arial" w:hAnsi="Arial"/>
          <w:sz w:val="18"/>
          <w:szCs w:val="18"/>
          <w:color w:val="auto"/>
        </w:rPr>
      </w:pPr>
    </w:p>
    <w:p>
      <w:pPr>
        <w:ind w:left="800" w:right="40" w:hanging="792"/>
        <w:spacing w:after="0" w:line="277" w:lineRule="auto"/>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failure (even though negligent) promptly or properly to exercise or enforce any such right or Security Interest, including a failure to realise for its full market value an asset covered by such a Security Interest; or</w:t>
      </w:r>
    </w:p>
    <w:p>
      <w:pPr>
        <w:spacing w:after="0" w:line="75"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any other Finance Document or any Security Interest now being or later becoming void, unenforceable, illegal or invalid or otherwise defective for any reason, including a neglect to register it.</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EXPENSES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Costs of preservation of rights, enforcement etc</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The Guarantor shall pay to the Security Trustee on its demand the amount of all reasonable expenses incurred by the Security Trustee or any other Creditor Party in connection with any matter arising out of this Guarantee or any Security Interest connected with it, including any advice, claim or proceedings relating to this Guarantee or such a Security Interest.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5" w:name="page296"/>
    <w:bookmarkEnd w:id="295"/>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TRANSACTIONS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Reinstatement of obligation to pay</w:t>
      </w:r>
    </w:p>
    <w:p>
      <w:pPr>
        <w:spacing w:after="0" w:line="121" w:lineRule="exact"/>
        <w:rPr>
          <w:sz w:val="20"/>
          <w:szCs w:val="20"/>
          <w:color w:val="auto"/>
        </w:rPr>
      </w:pPr>
    </w:p>
    <w:p>
      <w:pPr>
        <w:ind w:left="800" w:right="140"/>
        <w:spacing w:after="0" w:line="259" w:lineRule="auto"/>
        <w:rPr>
          <w:sz w:val="20"/>
          <w:szCs w:val="20"/>
          <w:color w:val="auto"/>
        </w:rPr>
      </w:pPr>
      <w:r>
        <w:rPr>
          <w:rFonts w:ascii="Arial" w:cs="Arial" w:eastAsia="Arial" w:hAnsi="Arial"/>
          <w:sz w:val="18"/>
          <w:szCs w:val="18"/>
          <w:color w:val="auto"/>
        </w:rPr>
        <w:t>The Guarantor shall pay to the Security Trustee on its demand any amount which any Creditor Party is required, or agrees, to pay pursuant to any claim by, or settlement with, a trustee in bankruptcy of any Borrower or of any Security Party (or similar person) on the ground that the Loan Agreement, the Master Agreements or any other Finance Document, or a payment by any Relevant Borrower or of another Security Party in respect of a Guaranteed Tranche, was invalid or on any similar ground.</w:t>
      </w:r>
    </w:p>
    <w:p>
      <w:pPr>
        <w:spacing w:after="0" w:line="2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PAYMENTS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Method of payments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amount due under this Guarantee shall be paid:</w:t>
      </w:r>
    </w:p>
    <w:p>
      <w:pPr>
        <w:spacing w:after="0" w:line="131" w:lineRule="exact"/>
        <w:rPr>
          <w:sz w:val="20"/>
          <w:szCs w:val="20"/>
          <w:color w:val="auto"/>
        </w:rPr>
      </w:pPr>
    </w:p>
    <w:p>
      <w:pPr>
        <w:ind w:left="800" w:hanging="792"/>
        <w:spacing w:after="0"/>
        <w:tabs>
          <w:tab w:leader="none" w:pos="8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immediately available funds;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to such account as the Security Trustee may from time to time notify to the Guarantor;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without any form of set off, cross claim or condition;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Guarantor is required by law to make.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800"/>
        <w:spacing w:after="0" w:line="312" w:lineRule="auto"/>
        <w:rPr>
          <w:sz w:val="20"/>
          <w:szCs w:val="20"/>
          <w:color w:val="auto"/>
        </w:rPr>
      </w:pPr>
      <w:r>
        <w:rPr>
          <w:rFonts w:ascii="Arial" w:cs="Arial" w:eastAsia="Arial" w:hAnsi="Arial"/>
          <w:sz w:val="16"/>
          <w:szCs w:val="16"/>
          <w:color w:val="auto"/>
        </w:rPr>
        <w:t>If the Guarantor is required by law to make a tax deduction, the amount due to the Security Trustee shall be increased by the amount necessary to ensure that the Security Trustee and (if the payment is not due to the Security Trustee for its own account) the Creditor Party beneficially interested in the payment receives and retains a net amount which, after the tax deduction, is equal to the full amount that it would otherwise have received.</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Accrual of interest</w:t>
      </w:r>
    </w:p>
    <w:p>
      <w:pPr>
        <w:spacing w:after="0" w:line="121" w:lineRule="exact"/>
        <w:rPr>
          <w:sz w:val="20"/>
          <w:szCs w:val="20"/>
          <w:color w:val="auto"/>
        </w:rPr>
      </w:pPr>
    </w:p>
    <w:p>
      <w:pPr>
        <w:ind w:left="800" w:right="320"/>
        <w:spacing w:after="0" w:line="308" w:lineRule="auto"/>
        <w:rPr>
          <w:sz w:val="20"/>
          <w:szCs w:val="20"/>
          <w:color w:val="auto"/>
        </w:rPr>
      </w:pPr>
      <w:r>
        <w:rPr>
          <w:rFonts w:ascii="Arial" w:cs="Arial" w:eastAsia="Arial" w:hAnsi="Arial"/>
          <w:sz w:val="17"/>
          <w:szCs w:val="17"/>
          <w:color w:val="auto"/>
        </w:rPr>
        <w:t>Any amount due under this Guarantee shall carry interest after the date on which the Security Trustee demands payment of it until it is actually paid, unless interest on that same amount also accrues under the Loan Agreement or, as the case may be, a Master Agreement.</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Interest under this Guarantee shall be calculated and accrue in the same way as interest under clause 7 of the Loan Agreement.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Guarantee extends to interest payable under Loan Agreement and the Master Agreements</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For the avoidance of doubt, it is confirmed that this Guarantee covers all interest payable under the Finance Documents, including that payable under clause 7 of the Loan Agreement and under the Master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96" w:name="page297"/>
    <w:bookmarkEnd w:id="296"/>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SUBORDINATION</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Subordination of rights of Guarantor</w:t>
      </w:r>
    </w:p>
    <w:p>
      <w:pPr>
        <w:spacing w:after="0" w:line="121" w:lineRule="exact"/>
        <w:rPr>
          <w:sz w:val="20"/>
          <w:szCs w:val="20"/>
          <w:color w:val="auto"/>
        </w:rPr>
      </w:pPr>
    </w:p>
    <w:p>
      <w:pPr>
        <w:ind w:left="800" w:right="160"/>
        <w:spacing w:after="0" w:line="264" w:lineRule="auto"/>
        <w:rPr>
          <w:sz w:val="20"/>
          <w:szCs w:val="20"/>
          <w:color w:val="auto"/>
        </w:rPr>
      </w:pPr>
      <w:r>
        <w:rPr>
          <w:rFonts w:ascii="Arial" w:cs="Arial" w:eastAsia="Arial" w:hAnsi="Arial"/>
          <w:sz w:val="18"/>
          <w:szCs w:val="18"/>
          <w:color w:val="auto"/>
        </w:rPr>
        <w:t>All rights which the Guarantor at any time has (whether in respect of this Guarantee, any other Guarantor’s Document or any other transaction) against any Borrower, any other Security Party or their respective assets, shall be fully subordinated to the rights of the Creditor Parties under the Finance Documents; and in particular, the Guarantor shall not:</w:t>
      </w:r>
    </w:p>
    <w:p>
      <w:pPr>
        <w:spacing w:after="0" w:line="87" w:lineRule="exact"/>
        <w:rPr>
          <w:sz w:val="20"/>
          <w:szCs w:val="20"/>
          <w:color w:val="auto"/>
        </w:rPr>
      </w:pPr>
    </w:p>
    <w:p>
      <w:pPr>
        <w:ind w:left="800" w:right="360" w:hanging="792"/>
        <w:spacing w:after="0" w:line="277" w:lineRule="auto"/>
        <w:tabs>
          <w:tab w:leader="none" w:pos="8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claim, or in a bankruptcy of any Borrower or any other Security Party prove for, any amount payable to the Guarantor by that Borrower or any other Security Party, whether in respect of this Guarantee or any other transaction;</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take or enforce any Security Interest for any such amount;</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claim to set-off any such amount against any amount payable by the Guarantor to any Borrower or any other Security Party; or</w:t>
      </w:r>
    </w:p>
    <w:p>
      <w:pPr>
        <w:spacing w:after="0" w:line="130" w:lineRule="exact"/>
        <w:rPr>
          <w:rFonts w:ascii="Arial" w:cs="Arial" w:eastAsia="Arial" w:hAnsi="Arial"/>
          <w:sz w:val="18"/>
          <w:szCs w:val="18"/>
          <w:color w:val="auto"/>
        </w:rPr>
      </w:pPr>
    </w:p>
    <w:p>
      <w:pPr>
        <w:ind w:left="800" w:right="120" w:hanging="792"/>
        <w:spacing w:after="0" w:line="277" w:lineRule="auto"/>
        <w:tabs>
          <w:tab w:leader="none" w:pos="8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claim any subrogation or other right in respect of any Finance Document or any sum received or recovered by any Creditor Party under a Finance Document.</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No requirement to commence proceedings</w:t>
      </w:r>
    </w:p>
    <w:p>
      <w:pPr>
        <w:spacing w:after="0" w:line="121" w:lineRule="exact"/>
        <w:rPr>
          <w:sz w:val="20"/>
          <w:szCs w:val="20"/>
          <w:color w:val="auto"/>
        </w:rPr>
      </w:pPr>
    </w:p>
    <w:p>
      <w:pPr>
        <w:ind w:left="800" w:right="200"/>
        <w:spacing w:after="0" w:line="264" w:lineRule="auto"/>
        <w:rPr>
          <w:sz w:val="20"/>
          <w:szCs w:val="20"/>
          <w:color w:val="auto"/>
        </w:rPr>
      </w:pPr>
      <w:r>
        <w:rPr>
          <w:rFonts w:ascii="Arial" w:cs="Arial" w:eastAsia="Arial" w:hAnsi="Arial"/>
          <w:sz w:val="18"/>
          <w:szCs w:val="18"/>
          <w:color w:val="auto"/>
        </w:rPr>
        <w:t>Neither the Security Trustee nor any other Creditor Party will need to commence any proceedings under, or enforce any Security Interest created by, the Loan Agreement, any Master Agreement or any other Finance Document before claiming or commencing proceedings under this Guarantee.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Conclusive evidence of certain matters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However, as against the Guarantor:</w:t>
      </w:r>
    </w:p>
    <w:p>
      <w:pPr>
        <w:spacing w:after="0" w:line="131" w:lineRule="exact"/>
        <w:rPr>
          <w:sz w:val="20"/>
          <w:szCs w:val="20"/>
          <w:color w:val="auto"/>
        </w:rPr>
      </w:pPr>
    </w:p>
    <w:p>
      <w:pPr>
        <w:ind w:left="800" w:right="120" w:hanging="792"/>
        <w:spacing w:after="0" w:line="277" w:lineRule="auto"/>
        <w:tabs>
          <w:tab w:leader="none" w:pos="8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judgment or order of a court in England, Greece, Liberia, the Marshall Islands or any other Pertinent Jurisdiction in connection with the Loan Agreement, the Master Agreements or any of the other Finance Documents to which each Borrower is a party; and</w:t>
      </w:r>
    </w:p>
    <w:p>
      <w:pPr>
        <w:spacing w:after="0" w:line="75" w:lineRule="exact"/>
        <w:rPr>
          <w:rFonts w:ascii="Arial" w:cs="Arial" w:eastAsia="Arial" w:hAnsi="Arial"/>
          <w:sz w:val="18"/>
          <w:szCs w:val="18"/>
          <w:color w:val="auto"/>
        </w:rPr>
      </w:pPr>
    </w:p>
    <w:p>
      <w:pPr>
        <w:ind w:left="800" w:right="360" w:hanging="792"/>
        <w:spacing w:after="0" w:line="277" w:lineRule="auto"/>
        <w:tabs>
          <w:tab w:leader="none" w:pos="8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statement or admission of a Borrower in connection with the Loan Agreement, any Master Agreement or any other Finance Documents to which it is a party,</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shall be binding and conclusive as to all matters of fact and law to which it relates.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Suspense account</w:t>
      </w:r>
    </w:p>
    <w:p>
      <w:pPr>
        <w:spacing w:after="0" w:line="121"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The Security Trustee and any Creditor Party may, for the purpose of claiming or proving in a bankruptcy of a Borrower or any other Security Party, place any sum received or recovered under or by virtue of this Guarantee or any Security Interest connected with it on a separate suspense or other nominal account without applying it in satisfaction of the Borrowers’ obligations under the Loan Agreement or the Master Agreements.</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represents and warrants to the Security Trustee as follows.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97" w:name="page298"/>
    <w:bookmarkEnd w:id="297"/>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color w:val="auto"/>
        </w:rPr>
        <w:t>The Guarantor is a limited partnership (comprised of a single general partner and multiple limited partners) formed and validly existing and in good standing under the laws of the Marshall Islands.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Share capital and ownership</w:t>
      </w:r>
    </w:p>
    <w:p>
      <w:pPr>
        <w:spacing w:after="0" w:line="121" w:lineRule="exact"/>
        <w:rPr>
          <w:sz w:val="20"/>
          <w:szCs w:val="20"/>
          <w:color w:val="auto"/>
        </w:rPr>
      </w:pPr>
    </w:p>
    <w:p>
      <w:pPr>
        <w:ind w:left="800" w:right="160"/>
        <w:spacing w:after="0" w:line="277" w:lineRule="auto"/>
        <w:rPr>
          <w:sz w:val="20"/>
          <w:szCs w:val="20"/>
          <w:color w:val="auto"/>
        </w:rPr>
      </w:pPr>
      <w:r>
        <w:rPr>
          <w:rFonts w:ascii="Arial" w:cs="Arial" w:eastAsia="Arial" w:hAnsi="Arial"/>
          <w:sz w:val="18"/>
          <w:szCs w:val="18"/>
          <w:color w:val="auto"/>
        </w:rPr>
        <w:t>The Guarantor’s capital consists of at least 100,571,224 common units held by public unitholders, including 18,988,262 common units held by Capital Maritime &amp; Trading Corp. and a general partner interest held by Capital GP L.L.C.</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has the partnership capacity, and has taken all partnership action and obtained all consents necessary for it:</w:t>
      </w:r>
    </w:p>
    <w:p>
      <w:pPr>
        <w:spacing w:after="0" w:line="131" w:lineRule="exact"/>
        <w:rPr>
          <w:sz w:val="20"/>
          <w:szCs w:val="20"/>
          <w:color w:val="auto"/>
        </w:rPr>
      </w:pPr>
    </w:p>
    <w:p>
      <w:pPr>
        <w:ind w:left="800" w:hanging="792"/>
        <w:spacing w:after="0"/>
        <w:tabs>
          <w:tab w:leader="none" w:pos="8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to execute this Guarantee and any other Guarantor’s Document;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to make all the payments contemplated by, and to comply with, this Guarantee and any other Guarantor’s Document.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Guarantor’s Documents do now, or, as the case may be, will upon execution and delivery (and, where applicable, registration as provided for in the Finance Documents):</w:t>
      </w:r>
    </w:p>
    <w:p>
      <w:pPr>
        <w:spacing w:after="0" w:line="76" w:lineRule="exact"/>
        <w:rPr>
          <w:sz w:val="20"/>
          <w:szCs w:val="20"/>
          <w:color w:val="auto"/>
        </w:rPr>
      </w:pPr>
    </w:p>
    <w:p>
      <w:pPr>
        <w:ind w:left="800" w:hanging="792"/>
        <w:spacing w:after="0"/>
        <w:tabs>
          <w:tab w:leader="none" w:pos="8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constitute the Guarantor’s legal, valid and binding obligations enforceable against the Guarantor in accordance with their respective terms; and</w:t>
      </w:r>
    </w:p>
    <w:p>
      <w:pPr>
        <w:spacing w:after="0" w:line="153" w:lineRule="exact"/>
        <w:rPr>
          <w:rFonts w:ascii="Arial" w:cs="Arial" w:eastAsia="Arial" w:hAnsi="Arial"/>
          <w:sz w:val="16"/>
          <w:szCs w:val="16"/>
          <w:color w:val="auto"/>
        </w:rPr>
      </w:pPr>
    </w:p>
    <w:p>
      <w:pPr>
        <w:ind w:left="800" w:right="120" w:hanging="792"/>
        <w:spacing w:after="0" w:line="277" w:lineRule="auto"/>
        <w:tabs>
          <w:tab w:leader="none" w:pos="8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Without limiting the generality of Clause 10.6, at the time of the execution and delivery of each Guarantor’s Document:</w:t>
      </w:r>
    </w:p>
    <w:p>
      <w:pPr>
        <w:spacing w:after="0" w:line="131" w:lineRule="exact"/>
        <w:rPr>
          <w:sz w:val="20"/>
          <w:szCs w:val="20"/>
          <w:color w:val="auto"/>
        </w:rPr>
      </w:pPr>
    </w:p>
    <w:p>
      <w:pPr>
        <w:ind w:left="800" w:hanging="792"/>
        <w:spacing w:after="0"/>
        <w:tabs>
          <w:tab w:leader="none" w:pos="8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Guarantor will have the right to create all the Security Interests which that Guarantor’s Document purports to create; and</w:t>
      </w:r>
    </w:p>
    <w:p>
      <w:pPr>
        <w:spacing w:after="0" w:line="130"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execution by the Guarantor of the Guarantor’s Documents and its compliance with the Guarantor’s Documents will not involve or lead to a contravention of:</w:t>
      </w:r>
    </w:p>
    <w:p>
      <w:pPr>
        <w:spacing w:after="0" w:line="76" w:lineRule="exact"/>
        <w:rPr>
          <w:sz w:val="20"/>
          <w:szCs w:val="20"/>
          <w:color w:val="auto"/>
        </w:rPr>
      </w:pPr>
    </w:p>
    <w:p>
      <w:pPr>
        <w:ind w:left="800" w:hanging="792"/>
        <w:spacing w:after="0"/>
        <w:tabs>
          <w:tab w:leader="none" w:pos="8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0" w:right="399" w:bottom="1440" w:gutter="0" w:footer="0" w:header="0"/>
        </w:sectPr>
      </w:pPr>
    </w:p>
    <w:bookmarkStart w:id="298" w:name="page299"/>
    <w:bookmarkEnd w:id="298"/>
    <w:p>
      <w:pPr>
        <w:ind w:left="800" w:hanging="792"/>
        <w:spacing w:after="0"/>
        <w:tabs>
          <w:tab w:leader="none" w:pos="8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constitutional documents of the Guarantor;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the Guarantor or any of its assets.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No withholding taxes</w:t>
      </w:r>
    </w:p>
    <w:p>
      <w:pPr>
        <w:spacing w:after="0" w:line="121" w:lineRule="exact"/>
        <w:rPr>
          <w:sz w:val="20"/>
          <w:szCs w:val="20"/>
          <w:color w:val="auto"/>
        </w:rPr>
      </w:pPr>
    </w:p>
    <w:p>
      <w:pPr>
        <w:ind w:left="800" w:right="440"/>
        <w:spacing w:after="0" w:line="277" w:lineRule="auto"/>
        <w:rPr>
          <w:sz w:val="20"/>
          <w:szCs w:val="20"/>
          <w:color w:val="auto"/>
        </w:rPr>
      </w:pPr>
      <w:r>
        <w:rPr>
          <w:rFonts w:ascii="Arial" w:cs="Arial" w:eastAsia="Arial" w:hAnsi="Arial"/>
          <w:sz w:val="18"/>
          <w:szCs w:val="18"/>
          <w:color w:val="auto"/>
        </w:rPr>
        <w:t>All payments which the Guarantor is liable to make under a Guarantor’s Document may be made without deduction or withholding for or on account of any tax payable under any law of any Pertinent Jurisdiction.</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No default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Event of Default or Potential Event of Default has occurred.</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All information which has been provided in writing by or on behalf of the Guarantor to the Security Trustee or any other Creditor Party in connection with any Finance Document satisfied the requirements of Clause 11.2; all audited and unaudited accounts which have been so provided satisfied the requirements of Clause 11.5; and there has been no change in the financial position or state of affairs of the Guarantor and the Group from that disclosed in the latest of those accounts.</w:t>
      </w:r>
    </w:p>
    <w:p>
      <w:pPr>
        <w:spacing w:after="0" w:line="3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No litigation</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legal or administrative action against the Guarantor or its subsidiaries has been commenced or taken or, to the Guarantor’s knowledge, is likely to be commenced or taken which would, in either case, be likely to have a material adverse effect.</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color w:val="auto"/>
        </w:rPr>
        <w:t>Taxes paid</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has paid all taxes applicable to, or imposed on or in relation to the Guarantor or its business.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Title and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has good title to and is the ultimate beneficial owner of each of the assets owned or purported to be owned by it.</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color w:val="auto"/>
        </w:rPr>
        <w:t>No adverse consequences in jurisdiction of incorporation</w:t>
      </w:r>
    </w:p>
    <w:p>
      <w:pPr>
        <w:spacing w:after="0" w:line="121" w:lineRule="exact"/>
        <w:rPr>
          <w:sz w:val="20"/>
          <w:szCs w:val="20"/>
          <w:color w:val="auto"/>
        </w:rPr>
      </w:pPr>
    </w:p>
    <w:p>
      <w:pPr>
        <w:ind w:left="800" w:right="240"/>
        <w:spacing w:after="0" w:line="264" w:lineRule="auto"/>
        <w:rPr>
          <w:sz w:val="20"/>
          <w:szCs w:val="20"/>
          <w:color w:val="auto"/>
        </w:rPr>
      </w:pPr>
      <w:r>
        <w:rPr>
          <w:rFonts w:ascii="Arial" w:cs="Arial" w:eastAsia="Arial" w:hAnsi="Arial"/>
          <w:sz w:val="18"/>
          <w:szCs w:val="18"/>
          <w:color w:val="auto"/>
        </w:rPr>
        <w:t>No Lender will be deemed to be resident, domiciled, carrying on business or subject to taxation, in the Marshall Islands by reason only of the negotiation, preparation, execution, performance, enforcement of, and/or receipt of any payment due from the Guarantor under any Guarantor’s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5"/>
          <w:szCs w:val="15"/>
          <w:b w:val="1"/>
          <w:bCs w:val="1"/>
          <w:color w:val="auto"/>
        </w:rPr>
        <w:t>Submission to jurisdiction and choice of laws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submission to jurisdiction, and choice of law, by the Borrowers contained in any Finance Document is effective.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color w:val="auto"/>
        </w:rPr>
        <w:t>Accounting reference date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accounting reference date for each Relevant Borrower and the Guarantor is 31 December.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99" w:name="page300"/>
    <w:bookmarkEnd w:id="299"/>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10.18</w:t>
      </w:r>
      <w:r>
        <w:rPr>
          <w:sz w:val="20"/>
          <w:szCs w:val="20"/>
          <w:color w:val="auto"/>
        </w:rPr>
        <w:tab/>
      </w:r>
      <w:r>
        <w:rPr>
          <w:rFonts w:ascii="Arial" w:cs="Arial" w:eastAsia="Arial" w:hAnsi="Arial"/>
          <w:sz w:val="16"/>
          <w:szCs w:val="16"/>
          <w:b w:val="1"/>
          <w:bCs w:val="1"/>
          <w:color w:val="auto"/>
        </w:rPr>
        <w:t>Repetition of representations and warranties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representations and warranties set out in this Clause 10 would be true and not misleading if repeated on the first day of each Interest Period.</w:t>
      </w:r>
    </w:p>
    <w:p>
      <w:pPr>
        <w:spacing w:after="0" w:line="3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color w:val="auto"/>
        </w:rPr>
        <w:t>Ranking of Borrowers’ obligations</w:t>
      </w:r>
    </w:p>
    <w:p>
      <w:pPr>
        <w:spacing w:after="0" w:line="121"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color w:val="auto"/>
        </w:rPr>
        <w:t>The obligation of the Borrowers to make payments under the Finance Documents ranks ahead of any obligation owed by the Borrowers to any other person, except as the same may be required by applicable laws.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color w:val="auto"/>
        </w:rPr>
        <w:t>No Money Laundering</w:t>
      </w:r>
    </w:p>
    <w:p>
      <w:pPr>
        <w:spacing w:after="0" w:line="121"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The Guarantor will and will procure that no Security Party, to the extent applicable, will, in connection with this Guarantee or any of the other Finance Documents, contravene or permit any subsidiary to contravene, any law, official requirement or other regulatory measure or procedure implemented to combat “money laundering” (as defined in Article 1 of the Directive 2005/60/EC of the European Parliament and of the Council of the European Union of 26 October 2005) and comparable United States Federal and state laws. The Guarantor shall further submit any documents and declarations on request, if such documents or declarations are required by any Creditor Party to comply with its domestic money laundering and/or legal identification requirements; and</w:t>
      </w:r>
    </w:p>
    <w:p>
      <w:pPr>
        <w:spacing w:after="0" w:line="85"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The Guarantor will promptly inform the Agent by written notice, if it is not or ceases to be the beneficiary and will provide in writing the name and address of the beneficiary.</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Agent shall promptly notify the Lenders of any written notice it receives under this Clause 10.20.</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No Immunity</w:t>
      </w:r>
    </w:p>
    <w:p>
      <w:pPr>
        <w:spacing w:after="0" w:line="121"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The Guarantor is subject to suit and to commercial law and neither it nor any of its properties have any right of immunity from suit, execution, attachment or other legal process in the Republic of the Marshall Islands.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5"/>
          <w:szCs w:val="15"/>
          <w:b w:val="1"/>
          <w:bCs w:val="1"/>
          <w:color w:val="auto"/>
        </w:rPr>
        <w:t>Sanctions</w:t>
      </w:r>
    </w:p>
    <w:p>
      <w:pPr>
        <w:spacing w:after="0" w:line="135" w:lineRule="exact"/>
        <w:rPr>
          <w:sz w:val="20"/>
          <w:szCs w:val="20"/>
          <w:color w:val="auto"/>
        </w:rPr>
      </w:pPr>
    </w:p>
    <w:p>
      <w:pPr>
        <w:ind w:left="800" w:hanging="792"/>
        <w:spacing w:after="0" w:line="264" w:lineRule="auto"/>
        <w:tabs>
          <w:tab w:leader="none" w:pos="8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Guarantor and each other member of the Group, each other Security Party and their respective directors, officers, employees and, to the best of the Guarantor’s knowledge and belief having made due and careful enquiry, agents or representatives has been and is in compliance with applicable Sanctions.</w:t>
      </w:r>
    </w:p>
    <w:p>
      <w:pPr>
        <w:spacing w:after="0" w:line="86" w:lineRule="exact"/>
        <w:rPr>
          <w:rFonts w:ascii="Arial" w:cs="Arial" w:eastAsia="Arial" w:hAnsi="Arial"/>
          <w:sz w:val="18"/>
          <w:szCs w:val="18"/>
          <w:color w:val="auto"/>
        </w:rPr>
      </w:pPr>
    </w:p>
    <w:p>
      <w:pPr>
        <w:ind w:left="800" w:hanging="792"/>
        <w:spacing w:after="0"/>
        <w:tabs>
          <w:tab w:leader="none" w:pos="8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Neither the Guarantor nor any Borrower, no Security Party and no member of the Group:</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is a Designated Person;</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has violated or is violating any applicable Sanctions;</w:t>
      </w:r>
    </w:p>
    <w:p>
      <w:pPr>
        <w:spacing w:after="0" w:line="130" w:lineRule="exact"/>
        <w:rPr>
          <w:rFonts w:ascii="Arial" w:cs="Arial" w:eastAsia="Arial" w:hAnsi="Arial"/>
          <w:sz w:val="18"/>
          <w:szCs w:val="18"/>
          <w:color w:val="auto"/>
        </w:rPr>
      </w:pPr>
    </w:p>
    <w:p>
      <w:pPr>
        <w:ind w:left="1700" w:right="100" w:hanging="895"/>
        <w:spacing w:after="0" w:line="302" w:lineRule="auto"/>
        <w:tabs>
          <w:tab w:leader="none" w:pos="1700" w:val="left"/>
        </w:tabs>
        <w:numPr>
          <w:ilvl w:val="1"/>
          <w:numId w:val="498"/>
        </w:numPr>
        <w:rPr>
          <w:rFonts w:ascii="Arial" w:cs="Arial" w:eastAsia="Arial" w:hAnsi="Arial"/>
          <w:sz w:val="16"/>
          <w:szCs w:val="16"/>
          <w:color w:val="auto"/>
        </w:rPr>
      </w:pPr>
      <w:r>
        <w:rPr>
          <w:rFonts w:ascii="Arial" w:cs="Arial" w:eastAsia="Arial" w:hAnsi="Arial"/>
          <w:sz w:val="16"/>
          <w:szCs w:val="16"/>
          <w:color w:val="auto"/>
        </w:rPr>
        <w:t>is using or will use, directly or indirectly, the proceeds of the Loan, or lend, contribute or otherwise make available such proceeds to any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 whether as underwriter, advisor, investor, or otherwise); or</w:t>
      </w:r>
    </w:p>
    <w:p>
      <w:pPr>
        <w:spacing w:after="0" w:line="59" w:lineRule="exact"/>
        <w:rPr>
          <w:rFonts w:ascii="Arial" w:cs="Arial" w:eastAsia="Arial" w:hAnsi="Arial"/>
          <w:sz w:val="16"/>
          <w:szCs w:val="16"/>
          <w:color w:val="auto"/>
        </w:rPr>
      </w:pPr>
    </w:p>
    <w:p>
      <w:pPr>
        <w:ind w:left="1700" w:right="180" w:hanging="895"/>
        <w:spacing w:after="0" w:line="277" w:lineRule="auto"/>
        <w:tabs>
          <w:tab w:leader="none" w:pos="17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is subject to or involved in any inquiry, claim, action, suit, proceeding or investigation against it with respect to applicable Sanctions by any Sanctions Authority;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 Designated Person directly or indirectly holds any of the Guarantor’s, a Borrower’s or other Security Party’s share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300" w:name="page301"/>
    <w:bookmarkEnd w:id="300"/>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10.23</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Neither the Guarantor nor any Borrower nor any Security Party is a FATCA FFI or a US Tax Obligor.</w:t>
      </w:r>
    </w:p>
    <w:p>
      <w:pPr>
        <w:spacing w:after="0" w:line="370" w:lineRule="exact"/>
        <w:rPr>
          <w:sz w:val="20"/>
          <w:szCs w:val="20"/>
          <w:color w:val="auto"/>
        </w:rPr>
      </w:pPr>
    </w:p>
    <w:p>
      <w:pPr>
        <w:ind w:left="800" w:hanging="792"/>
        <w:spacing w:after="0"/>
        <w:tabs>
          <w:tab w:leader="none" w:pos="80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800" w:right="240"/>
        <w:spacing w:after="0" w:line="342" w:lineRule="auto"/>
        <w:rPr>
          <w:sz w:val="20"/>
          <w:szCs w:val="20"/>
          <w:color w:val="auto"/>
        </w:rPr>
      </w:pPr>
      <w:r>
        <w:rPr>
          <w:rFonts w:ascii="Arial" w:cs="Arial" w:eastAsia="Arial" w:hAnsi="Arial"/>
          <w:sz w:val="16"/>
          <w:szCs w:val="16"/>
          <w:color w:val="auto"/>
        </w:rPr>
        <w:t>The Guarantor undertakes with the Security Trustee to comply with the following provisions of this Clause 11 at all times during the Security Period, except as the Agent may, with the authority of the Majority Lenders, or, where specified all the Lenders, otherwise permit.</w:t>
      </w:r>
    </w:p>
    <w:p>
      <w:pPr>
        <w:spacing w:after="0" w:line="2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All financial and other information which is provided in writing by or on behalf of the Guarantor under or in connection with this Guarantee will be true and not misleading and will not omit any material fact or consideration.</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Title; negative pledge and pari passu ranking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w:t>
      </w:r>
    </w:p>
    <w:p>
      <w:pPr>
        <w:spacing w:after="0" w:line="131" w:lineRule="exact"/>
        <w:rPr>
          <w:sz w:val="20"/>
          <w:szCs w:val="20"/>
          <w:color w:val="auto"/>
        </w:rPr>
      </w:pPr>
    </w:p>
    <w:p>
      <w:pPr>
        <w:ind w:left="800" w:right="80" w:hanging="792"/>
        <w:spacing w:after="0" w:line="259" w:lineRule="auto"/>
        <w:tabs>
          <w:tab w:leader="none" w:pos="8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hold the legal title to, and own the entire beneficial interest, and the whole of the issued share capital in the Intermediate Shareholder and shall procure that the Intermediate Shareholder shall hold the legal title to, and own the entire beneficial interest in, and the whole of the issued share capital in respect of each Relevant Borrower, in each case free from all Security Interests and other interests and rights of every kind, except for those created by the Finance Documents;</w:t>
      </w:r>
    </w:p>
    <w:p>
      <w:pPr>
        <w:spacing w:after="0" w:line="92" w:lineRule="exact"/>
        <w:rPr>
          <w:rFonts w:ascii="Arial" w:cs="Arial" w:eastAsia="Arial" w:hAnsi="Arial"/>
          <w:sz w:val="18"/>
          <w:szCs w:val="18"/>
          <w:color w:val="auto"/>
        </w:rPr>
      </w:pPr>
    </w:p>
    <w:p>
      <w:pPr>
        <w:ind w:left="800" w:right="80" w:hanging="792"/>
        <w:spacing w:after="0" w:line="264" w:lineRule="auto"/>
        <w:tabs>
          <w:tab w:leader="none" w:pos="8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not, and shall procure that each Relevant Borrower will not, create or permit to arise any Security Interest over any asset present or future in the normal course of its business of acquiring, financing, chartering in and out and operating vessels (both in the case of the Guarantor and the Relevant Borrowers) and owning ship-owning companies (in the case of the Guarantor); and</w:t>
      </w:r>
    </w:p>
    <w:p>
      <w:pPr>
        <w:spacing w:after="0" w:line="86" w:lineRule="exact"/>
        <w:rPr>
          <w:rFonts w:ascii="Arial" w:cs="Arial" w:eastAsia="Arial" w:hAnsi="Arial"/>
          <w:sz w:val="18"/>
          <w:szCs w:val="18"/>
          <w:color w:val="auto"/>
        </w:rPr>
      </w:pPr>
    </w:p>
    <w:p>
      <w:pPr>
        <w:ind w:left="800" w:right="300" w:hanging="792"/>
        <w:spacing w:after="0" w:line="277" w:lineRule="auto"/>
        <w:tabs>
          <w:tab w:leader="none" w:pos="8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Provision of financial statements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send or procure there are sent to the Agent:</w:t>
      </w:r>
    </w:p>
    <w:p>
      <w:pPr>
        <w:spacing w:after="0" w:line="131" w:lineRule="exact"/>
        <w:rPr>
          <w:sz w:val="20"/>
          <w:szCs w:val="20"/>
          <w:color w:val="auto"/>
        </w:rPr>
      </w:pPr>
    </w:p>
    <w:p>
      <w:pPr>
        <w:ind w:left="800" w:right="40" w:hanging="792"/>
        <w:spacing w:after="0" w:line="277" w:lineRule="auto"/>
        <w:tabs>
          <w:tab w:leader="none" w:pos="8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as soon as possible, but in no event later than 180 days after the end of each financial year of each Relevant Borrower or, as the case may be, the Guarantor (commencing with the financial statements for the year which ended on 31 December 2014):</w:t>
      </w:r>
    </w:p>
    <w:p>
      <w:pPr>
        <w:spacing w:after="0" w:line="75" w:lineRule="exact"/>
        <w:rPr>
          <w:rFonts w:ascii="Arial" w:cs="Arial" w:eastAsia="Arial" w:hAnsi="Arial"/>
          <w:sz w:val="18"/>
          <w:szCs w:val="18"/>
          <w:color w:val="auto"/>
        </w:rPr>
      </w:pPr>
    </w:p>
    <w:p>
      <w:pPr>
        <w:ind w:left="1700" w:hanging="895"/>
        <w:spacing w:after="0"/>
        <w:tabs>
          <w:tab w:leader="none" w:pos="17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unaudited annual accounts of that Relevant Borrower; and</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audited consolidated annual accounts of the Group;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70" w:right="419" w:bottom="1440" w:gutter="0" w:footer="0" w:header="0"/>
        </w:sectPr>
      </w:pPr>
    </w:p>
    <w:bookmarkStart w:id="301" w:name="page302"/>
    <w:bookmarkEnd w:id="301"/>
    <w:p>
      <w:pPr>
        <w:ind w:left="800" w:right="120" w:hanging="792"/>
        <w:spacing w:after="0" w:line="277" w:lineRule="auto"/>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possible, but in no event later than 90 days after the end of each 6 month period in each financial year of that Relevant Borrower or, as the case may be, the Guarantor ending on 30 June and 31 December:</w:t>
      </w:r>
    </w:p>
    <w:p>
      <w:pPr>
        <w:spacing w:after="0" w:line="75" w:lineRule="exact"/>
        <w:rPr>
          <w:rFonts w:ascii="Arial" w:cs="Arial" w:eastAsia="Arial" w:hAnsi="Arial"/>
          <w:sz w:val="18"/>
          <w:szCs w:val="18"/>
          <w:color w:val="auto"/>
        </w:rPr>
      </w:pPr>
    </w:p>
    <w:p>
      <w:pPr>
        <w:ind w:left="1700" w:right="420" w:hanging="895"/>
        <w:spacing w:after="0" w:line="277" w:lineRule="auto"/>
        <w:tabs>
          <w:tab w:leader="none" w:pos="17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management accounts of that Relevant Borrower for that 6-month period certified as to their correctness by an officer of that Relevant Borrower or by the chief financial officer of the Guarantor; and</w:t>
      </w:r>
    </w:p>
    <w:p>
      <w:pPr>
        <w:spacing w:after="0" w:line="75" w:lineRule="exact"/>
        <w:rPr>
          <w:rFonts w:ascii="Arial" w:cs="Arial" w:eastAsia="Arial" w:hAnsi="Arial"/>
          <w:sz w:val="18"/>
          <w:szCs w:val="18"/>
          <w:color w:val="auto"/>
        </w:rPr>
      </w:pPr>
    </w:p>
    <w:p>
      <w:pPr>
        <w:ind w:left="1700" w:right="260" w:hanging="895"/>
        <w:spacing w:after="0" w:line="277" w:lineRule="auto"/>
        <w:tabs>
          <w:tab w:leader="none" w:pos="17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unaudited consolidated management accounts of the Group for that 6-month period certified as to their correctness by the chief financial officer of the Guarantor;</w:t>
      </w:r>
    </w:p>
    <w:p>
      <w:pPr>
        <w:spacing w:after="0" w:line="75" w:lineRule="exact"/>
        <w:rPr>
          <w:rFonts w:ascii="Arial" w:cs="Arial" w:eastAsia="Arial" w:hAnsi="Arial"/>
          <w:sz w:val="18"/>
          <w:szCs w:val="18"/>
          <w:color w:val="auto"/>
        </w:rPr>
      </w:pPr>
    </w:p>
    <w:p>
      <w:pPr>
        <w:jc w:val="both"/>
        <w:ind w:left="800" w:right="120" w:hanging="792"/>
        <w:spacing w:after="0" w:line="264" w:lineRule="auto"/>
        <w:tabs>
          <w:tab w:leader="none" w:pos="8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promptly after each request by the Agent, such further information (financial or otherwise) about any Relevant Borrower, any Security Party, any Ship owned by a Relevant Borrower (including but not limited to, charter arrangements, Financial Indebtedness and operating expenses) and the Group as the Agent may require.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Form of financial statements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accounts (audited and unaudited) and information delivered under Clause 11.4 will:</w:t>
      </w:r>
    </w:p>
    <w:p>
      <w:pPr>
        <w:spacing w:after="0" w:line="131" w:lineRule="exact"/>
        <w:rPr>
          <w:sz w:val="20"/>
          <w:szCs w:val="20"/>
          <w:color w:val="auto"/>
        </w:rPr>
      </w:pPr>
    </w:p>
    <w:p>
      <w:pPr>
        <w:ind w:left="800" w:right="220" w:hanging="792"/>
        <w:spacing w:after="0" w:line="277" w:lineRule="auto"/>
        <w:tabs>
          <w:tab w:leader="none" w:pos="8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generally accepted accounting principles consistently applied (including, without limitation, IFRS) and US GAAP consistently applied;</w:t>
      </w:r>
    </w:p>
    <w:p>
      <w:pPr>
        <w:spacing w:after="0" w:line="75" w:lineRule="exact"/>
        <w:rPr>
          <w:rFonts w:ascii="Arial" w:cs="Arial" w:eastAsia="Arial" w:hAnsi="Arial"/>
          <w:sz w:val="18"/>
          <w:szCs w:val="18"/>
          <w:color w:val="auto"/>
        </w:rPr>
      </w:pPr>
    </w:p>
    <w:p>
      <w:pPr>
        <w:ind w:left="800" w:right="360" w:hanging="792"/>
        <w:spacing w:after="0" w:line="277" w:lineRule="auto"/>
        <w:tabs>
          <w:tab w:leader="none" w:pos="8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give a true and fair view of the state of affairs of each Relevant Borrower, the Guarantor and the Group at the date of those accounts and of its profit for the period to which those accounts relate; and</w:t>
      </w:r>
    </w:p>
    <w:p>
      <w:pPr>
        <w:spacing w:after="0" w:line="75" w:lineRule="exact"/>
        <w:rPr>
          <w:rFonts w:ascii="Arial" w:cs="Arial" w:eastAsia="Arial" w:hAnsi="Arial"/>
          <w:sz w:val="18"/>
          <w:szCs w:val="18"/>
          <w:color w:val="auto"/>
        </w:rPr>
      </w:pPr>
    </w:p>
    <w:p>
      <w:pPr>
        <w:ind w:left="800" w:right="420" w:hanging="792"/>
        <w:spacing w:after="0" w:line="308" w:lineRule="auto"/>
        <w:tabs>
          <w:tab w:leader="none" w:pos="8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fully disclose or provide for all significant liabilities of the Relevant Borrowers, the Guarantor and the Group and, additionally, in the case of information given pursuant to Clause 11.4 (c), each Ship owned by a Relevant Borrower, the Security Parties and the Group.</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Shareholder and creditor notices</w:t>
      </w:r>
    </w:p>
    <w:p>
      <w:pPr>
        <w:spacing w:after="0" w:line="121"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color w:val="auto"/>
        </w:rPr>
        <w:t>The Guarantor will send to the Security Trustee, upon request, copies of all communications which are despatched to the Guarantor’s shareholders or creditors or any class of them.</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The Guarantor will maintain in force and promptly obtain or renew, and will promptly send certified copies to the Security Trustee of, all consents required:</w:t>
      </w:r>
    </w:p>
    <w:p>
      <w:pPr>
        <w:spacing w:after="0" w:line="76" w:lineRule="exact"/>
        <w:rPr>
          <w:sz w:val="20"/>
          <w:szCs w:val="20"/>
          <w:color w:val="auto"/>
        </w:rPr>
      </w:pPr>
    </w:p>
    <w:p>
      <w:pPr>
        <w:ind w:left="800" w:hanging="792"/>
        <w:spacing w:after="0"/>
        <w:tabs>
          <w:tab w:leader="none" w:pos="8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for the Guarantor to perform its obligations under the Guarantor’s Documents; and</w:t>
      </w:r>
    </w:p>
    <w:p>
      <w:pPr>
        <w:spacing w:after="0" w:line="130" w:lineRule="exact"/>
        <w:rPr>
          <w:rFonts w:ascii="Arial" w:cs="Arial" w:eastAsia="Arial" w:hAnsi="Arial"/>
          <w:sz w:val="18"/>
          <w:szCs w:val="18"/>
          <w:color w:val="auto"/>
        </w:rPr>
      </w:pPr>
    </w:p>
    <w:p>
      <w:pPr>
        <w:ind w:left="800" w:right="5780" w:hanging="792"/>
        <w:spacing w:after="0" w:line="483" w:lineRule="auto"/>
        <w:tabs>
          <w:tab w:leader="none" w:pos="798" w:val="left"/>
        </w:tabs>
        <w:numPr>
          <w:ilvl w:val="0"/>
          <w:numId w:val="504"/>
        </w:numPr>
        <w:rPr>
          <w:rFonts w:ascii="Arial" w:cs="Arial" w:eastAsia="Arial" w:hAnsi="Arial"/>
          <w:sz w:val="16"/>
          <w:szCs w:val="16"/>
          <w:color w:val="auto"/>
        </w:rPr>
      </w:pPr>
      <w:r>
        <w:rPr>
          <w:rFonts w:ascii="Arial" w:cs="Arial" w:eastAsia="Arial" w:hAnsi="Arial"/>
          <w:sz w:val="16"/>
          <w:szCs w:val="16"/>
          <w:color w:val="auto"/>
        </w:rPr>
        <w:t>for the validity or enforceability of the Guarantor’s Documents, and the Guarantor will comply with the terms of all such consents.</w:t>
      </w:r>
    </w:p>
    <w:p>
      <w:pPr>
        <w:spacing w:after="0" w:line="16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The Guarantor will provide the Security Trustee with details of any legal or administrative action involving the Guarantor as soon as such action is instituted or it becomes apparent to the Guarantor that it is likely to be instituted, unless it is clear that the legal or administrative action cannot be considered material in the context of any Guarantor’s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w:t>
      </w:r>
    </w:p>
    <w:p>
      <w:pPr>
        <w:spacing w:after="0" w:line="131" w:lineRule="exact"/>
        <w:rPr>
          <w:sz w:val="20"/>
          <w:szCs w:val="20"/>
          <w:color w:val="auto"/>
        </w:rPr>
      </w:pPr>
    </w:p>
    <w:p>
      <w:pPr>
        <w:ind w:left="800" w:right="380" w:hanging="792"/>
        <w:spacing w:after="0" w:line="277" w:lineRule="auto"/>
        <w:tabs>
          <w:tab w:leader="none" w:pos="8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Guarantor’s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800" w:right="20" w:hanging="792"/>
        <w:spacing w:after="0" w:line="279" w:lineRule="auto"/>
        <w:tabs>
          <w:tab w:leader="none" w:pos="80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without limiting the generality of paragraph (a) above, at its own cost, promptly register, file, record or enrol any Guarantor’s Document with any court or authority in all Pertinent Jurisdictions, pay any stamp, registration or similar tax in all Pertinent Jurisdictions in respect of any Guarantor’s Document, give any notice or take any other step which may be or become necessary or desirable for any Guarantor’s Document to be valid, enforceable or admissible in evidence or to ensure or protect the priority of any Security Interest which it creates.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02" w:name="page303"/>
    <w:bookmarkEnd w:id="302"/>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color w:val="auto"/>
        </w:rPr>
        <w:t>The Guarantor will, within 2 Business Days after service by the Agent of a written request, serve on the Agent a notice which is signed by a director of the Guarantor and which:</w:t>
      </w:r>
    </w:p>
    <w:p>
      <w:pPr>
        <w:spacing w:after="0" w:line="76" w:lineRule="exact"/>
        <w:rPr>
          <w:sz w:val="20"/>
          <w:szCs w:val="20"/>
          <w:color w:val="auto"/>
        </w:rPr>
      </w:pPr>
    </w:p>
    <w:p>
      <w:pPr>
        <w:ind w:left="800" w:hanging="792"/>
        <w:spacing w:after="0"/>
        <w:tabs>
          <w:tab w:leader="none" w:pos="8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or</w:t>
      </w:r>
    </w:p>
    <w:p>
      <w:pPr>
        <w:spacing w:after="0" w:line="130"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except for a specified event or matter, of which all material details are given.</w:t>
      </w:r>
    </w:p>
    <w:p>
      <w:pPr>
        <w:spacing w:after="0" w:line="62" w:lineRule="exact"/>
        <w:rPr>
          <w:rFonts w:ascii="Arial" w:cs="Arial" w:eastAsia="Arial" w:hAnsi="Arial"/>
          <w:sz w:val="18"/>
          <w:szCs w:val="18"/>
          <w:color w:val="auto"/>
        </w:rPr>
      </w:pPr>
    </w:p>
    <w:p>
      <w:pPr>
        <w:ind w:left="800"/>
        <w:spacing w:after="0" w:line="264" w:lineRule="auto"/>
        <w:rPr>
          <w:rFonts w:ascii="Arial" w:cs="Arial" w:eastAsia="Arial" w:hAnsi="Arial"/>
          <w:sz w:val="18"/>
          <w:szCs w:val="18"/>
          <w:color w:val="auto"/>
        </w:rPr>
      </w:pPr>
      <w:r>
        <w:rPr>
          <w:rFonts w:ascii="Arial" w:cs="Arial" w:eastAsia="Arial" w:hAnsi="Arial"/>
          <w:sz w:val="18"/>
          <w:szCs w:val="18"/>
          <w:color w:val="auto"/>
        </w:rPr>
        <w:t>The Agent may serve requests under this Clause 11.10 from time to time but only if asked to do so by a Lender or Lenders having Contributions exceeding 10 per cent. of the Loan or (if the Loan has not been made) Commitments exceeding 10 per cent of the Total Commitments; and this Clause 11.10 does not affect the Guarantor’s obligations under Clause 11.11.</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notify the Security Trustee as soon as the Guarantor becomes aware of :</w:t>
      </w:r>
    </w:p>
    <w:p>
      <w:pPr>
        <w:spacing w:after="0" w:line="131" w:lineRule="exact"/>
        <w:rPr>
          <w:sz w:val="20"/>
          <w:szCs w:val="20"/>
          <w:color w:val="auto"/>
        </w:rPr>
      </w:pPr>
    </w:p>
    <w:p>
      <w:pPr>
        <w:ind w:left="800" w:right="40" w:hanging="792"/>
        <w:spacing w:after="0" w:line="277" w:lineRule="auto"/>
        <w:tabs>
          <w:tab w:leader="none" w:pos="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occurrence of an Event of Default or Potential Event of Default (and the steps, if any, being taken to remedy such Potential Event of Default and/or Event of Default); or</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11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and will thereafter keep the Security Trustee fully up-to-date with all developments.</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Maintenance of status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Guarantor will maintain its separate existence as a limited partnership and remain in good standing under the laws of the Marshall Islands.</w:t>
      </w:r>
    </w:p>
    <w:p>
      <w:pPr>
        <w:spacing w:after="0" w:line="3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No petition for insolvency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Guarantor will procure that none of its material creditors petition for the Guarantor’s insolvency nor take any related proceedings.</w:t>
      </w:r>
    </w:p>
    <w:p>
      <w:pPr>
        <w:spacing w:after="0" w:line="3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5"/>
          <w:szCs w:val="15"/>
          <w:b w:val="1"/>
          <w:bCs w:val="1"/>
          <w:color w:val="auto"/>
        </w:rPr>
        <w:t>Separateness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w:t>
      </w:r>
    </w:p>
    <w:p>
      <w:pPr>
        <w:spacing w:after="0" w:line="131" w:lineRule="exact"/>
        <w:rPr>
          <w:sz w:val="20"/>
          <w:szCs w:val="20"/>
          <w:color w:val="auto"/>
        </w:rPr>
      </w:pPr>
    </w:p>
    <w:p>
      <w:pPr>
        <w:ind w:left="800" w:hanging="792"/>
        <w:spacing w:after="0"/>
        <w:tabs>
          <w:tab w:leader="none" w:pos="8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keep its own separate books and records;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maintain its own separate accounts;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conduct business in its own name;</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observe all other formalities required by its constitutional documents;</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prepare its own separate financial statements;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270" w:right="459" w:bottom="1440" w:gutter="0" w:footer="0" w:header="0"/>
        </w:sectPr>
      </w:pPr>
    </w:p>
    <w:bookmarkStart w:id="303" w:name="page304"/>
    <w:bookmarkEnd w:id="303"/>
    <w:p>
      <w:pPr>
        <w:ind w:left="800" w:hanging="792"/>
        <w:spacing w:after="0"/>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its liabilities out of its own funds;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hold itself out as a separate legal entity.</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No VAT group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 not be a member of a VAT (value added tax) group.</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800" w:right="160"/>
        <w:spacing w:after="0" w:line="312" w:lineRule="auto"/>
        <w:rPr>
          <w:sz w:val="20"/>
          <w:szCs w:val="20"/>
          <w:color w:val="auto"/>
        </w:rPr>
      </w:pPr>
      <w:r>
        <w:rPr>
          <w:rFonts w:ascii="Arial" w:cs="Arial" w:eastAsia="Arial" w:hAnsi="Arial"/>
          <w:sz w:val="16"/>
          <w:szCs w:val="16"/>
          <w:color w:val="auto"/>
        </w:rPr>
        <w:t>The Guarantor shall ensure that no person, other than any financial institution, private equity firm or other investor maintaining a passive investment interest in the Guarantor, owns a number of common units in the Guarantor which is greater than the number of common units owned at any relevant time by the present major beneficial owners of the Guarantor, as disclosed to the Lenders on or before the date of this Guarantee.</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7"/>
          <w:szCs w:val="17"/>
          <w:b w:val="1"/>
          <w:bCs w:val="1"/>
          <w:color w:val="auto"/>
        </w:rPr>
        <w:t>FATCA</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 not and shall ensure that none of the Security Parties shall become a FATCA FFI or a US Tax Obligor.</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800" w:right="400" w:hanging="792"/>
        <w:spacing w:after="0" w:line="277" w:lineRule="auto"/>
        <w:tabs>
          <w:tab w:leader="none" w:pos="8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Guarantee;</w:t>
      </w:r>
    </w:p>
    <w:p>
      <w:pPr>
        <w:spacing w:after="0" w:line="75" w:lineRule="exact"/>
        <w:rPr>
          <w:rFonts w:ascii="Arial" w:cs="Arial" w:eastAsia="Arial" w:hAnsi="Arial"/>
          <w:sz w:val="18"/>
          <w:szCs w:val="18"/>
          <w:color w:val="auto"/>
        </w:rPr>
      </w:pPr>
    </w:p>
    <w:p>
      <w:pPr>
        <w:ind w:left="800" w:right="200" w:hanging="792"/>
        <w:spacing w:after="0" w:line="277" w:lineRule="auto"/>
        <w:tabs>
          <w:tab w:leader="none" w:pos="8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change in the status of the Guarantor or any Security Party after the date of the Loan Agreement (including a situation where a shareholder’s share in a Relevant Borrower or any Security Party rises above 25% of the total number of shares); or</w:t>
      </w:r>
    </w:p>
    <w:p>
      <w:pPr>
        <w:spacing w:after="0" w:line="75" w:lineRule="exact"/>
        <w:rPr>
          <w:rFonts w:ascii="Arial" w:cs="Arial" w:eastAsia="Arial" w:hAnsi="Arial"/>
          <w:sz w:val="18"/>
          <w:szCs w:val="18"/>
          <w:color w:val="auto"/>
        </w:rPr>
      </w:pPr>
    </w:p>
    <w:p>
      <w:pPr>
        <w:ind w:left="800" w:right="100" w:hanging="792"/>
        <w:spacing w:after="0" w:line="277" w:lineRule="auto"/>
        <w:tabs>
          <w:tab w:leader="none" w:pos="8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Guarantee to a party that is not a Lender prior to such assignment or transfer,</w:t>
      </w:r>
    </w:p>
    <w:p>
      <w:pPr>
        <w:spacing w:after="0" w:line="62" w:lineRule="exact"/>
        <w:rPr>
          <w:rFonts w:ascii="Arial" w:cs="Arial" w:eastAsia="Arial" w:hAnsi="Arial"/>
          <w:sz w:val="18"/>
          <w:szCs w:val="18"/>
          <w:color w:val="auto"/>
        </w:rPr>
      </w:pPr>
    </w:p>
    <w:p>
      <w:pPr>
        <w:ind w:left="800"/>
        <w:spacing w:after="0" w:line="291" w:lineRule="auto"/>
        <w:rPr>
          <w:rFonts w:ascii="Arial" w:cs="Arial" w:eastAsia="Arial" w:hAnsi="Arial"/>
          <w:sz w:val="18"/>
          <w:szCs w:val="18"/>
          <w:color w:val="auto"/>
        </w:rPr>
      </w:pPr>
      <w:r>
        <w:rPr>
          <w:rFonts w:ascii="Arial" w:cs="Arial" w:eastAsia="Arial" w:hAnsi="Arial"/>
          <w:sz w:val="16"/>
          <w:szCs w:val="16"/>
          <w:color w:val="auto"/>
        </w:rPr>
        <w:t>obliges the Facility Agent or any Lender (or, in the case of paragraph (c), any prospective new Lender) to comply with “know your customer” or similar identification procedures in circumstances where the necessary information is not already available to it, the Guarantor shall promptly upon the request of the Agent or the Lender concerned supply, or procure the supply of, such documentation and other evidence as is reasonably requested by the Agent (for itself or on behalf of any Lender) or the Lender concerned (for itself or, in the case of the event described in paragraph (c), on behalf of any prospective new Lender) in order for the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3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5"/>
          <w:szCs w:val="15"/>
          <w:b w:val="1"/>
          <w:bCs w:val="1"/>
          <w:color w:val="auto"/>
        </w:rPr>
        <w:t>Sanctions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and shall procure that each member of the Group:</w:t>
      </w:r>
    </w:p>
    <w:p>
      <w:pPr>
        <w:spacing w:after="0" w:line="131" w:lineRule="exact"/>
        <w:rPr>
          <w:sz w:val="20"/>
          <w:szCs w:val="20"/>
          <w:color w:val="auto"/>
        </w:rPr>
      </w:pPr>
    </w:p>
    <w:p>
      <w:pPr>
        <w:ind w:left="800" w:hanging="792"/>
        <w:spacing w:after="0"/>
        <w:tabs>
          <w:tab w:leader="none" w:pos="8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will comply in all respects with Sanctions;</w:t>
      </w:r>
    </w:p>
    <w:p>
      <w:pPr>
        <w:spacing w:after="0" w:line="130" w:lineRule="exact"/>
        <w:rPr>
          <w:rFonts w:ascii="Arial" w:cs="Arial" w:eastAsia="Arial" w:hAnsi="Arial"/>
          <w:sz w:val="18"/>
          <w:szCs w:val="18"/>
          <w:color w:val="auto"/>
        </w:rPr>
      </w:pPr>
    </w:p>
    <w:p>
      <w:pPr>
        <w:ind w:left="800" w:right="100" w:hanging="792"/>
        <w:spacing w:after="0" w:line="257" w:lineRule="auto"/>
        <w:tabs>
          <w:tab w:leader="none" w:pos="8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will, not directly or indirectly, use the proceeds of the Loan, or lend, contribute or otherwise make available such proceeds to any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transactions contemplated by the Loan Agreement, this Guarantee and any other Finance Document, whether as underwriter, advisor, investor, or otherwise);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4" w:name="page305"/>
    <w:bookmarkEnd w:id="304"/>
    <w:p>
      <w:pPr>
        <w:ind w:left="800" w:right="420" w:hanging="792"/>
        <w:spacing w:after="0" w:line="342" w:lineRule="auto"/>
        <w:tabs>
          <w:tab w:leader="none" w:pos="8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fund all or part of any payment under a Finance Document out of proceeds derived from business or transactions with a Designated Person or from any action which would be prohibited by Sanctions or would otherwise cause any person to be in breach of Sanctions; and</w:t>
      </w:r>
    </w:p>
    <w:p>
      <w:pPr>
        <w:spacing w:after="0" w:line="29" w:lineRule="exact"/>
        <w:rPr>
          <w:rFonts w:ascii="Arial" w:cs="Arial" w:eastAsia="Arial" w:hAnsi="Arial"/>
          <w:sz w:val="16"/>
          <w:szCs w:val="16"/>
          <w:color w:val="auto"/>
        </w:rPr>
      </w:pPr>
    </w:p>
    <w:p>
      <w:pPr>
        <w:ind w:left="800" w:hanging="792"/>
        <w:spacing w:after="0"/>
        <w:tabs>
          <w:tab w:leader="none" w:pos="8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shall not, and no Borrower, no Security Party, nor any member of the Group shall, be a Designated Person.</w:t>
      </w:r>
    </w:p>
    <w:p>
      <w:pPr>
        <w:spacing w:after="0" w:line="370" w:lineRule="exact"/>
        <w:rPr>
          <w:sz w:val="20"/>
          <w:szCs w:val="20"/>
          <w:color w:val="auto"/>
        </w:rPr>
      </w:pPr>
    </w:p>
    <w:p>
      <w:pPr>
        <w:ind w:left="800" w:hanging="792"/>
        <w:spacing w:after="0"/>
        <w:tabs>
          <w:tab w:leader="none" w:pos="80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The Guarantor also undertakes with the Security Trustee to comply with the following provisions of this Clause 12 at all times during the Security Period except as the Agent may, with the authority of all the Lenders, otherwise permit (in the case of Clause 12.2(f), such permission not to be unreasonably withheld, delayed or conditioned).</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Negative undertakings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will not:</w:t>
      </w:r>
    </w:p>
    <w:p>
      <w:pPr>
        <w:spacing w:after="0" w:line="131" w:lineRule="exact"/>
        <w:rPr>
          <w:sz w:val="20"/>
          <w:szCs w:val="20"/>
          <w:color w:val="auto"/>
        </w:rPr>
      </w:pPr>
    </w:p>
    <w:p>
      <w:pPr>
        <w:ind w:left="800" w:right="460" w:hanging="792"/>
        <w:spacing w:after="0" w:line="277" w:lineRule="auto"/>
        <w:tabs>
          <w:tab w:leader="none" w:pos="8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change the nature of its business (being that of owning, shipowning or holding companies, chartering (in and out) and operating, through its wholly-owned subsidiaries, Fleet Vessels); or</w:t>
      </w:r>
    </w:p>
    <w:p>
      <w:pPr>
        <w:spacing w:after="0" w:line="75" w:lineRule="exact"/>
        <w:rPr>
          <w:rFonts w:ascii="Arial" w:cs="Arial" w:eastAsia="Arial" w:hAnsi="Arial"/>
          <w:sz w:val="18"/>
          <w:szCs w:val="18"/>
          <w:color w:val="auto"/>
        </w:rPr>
      </w:pPr>
    </w:p>
    <w:p>
      <w:pPr>
        <w:ind w:left="800" w:right="40" w:hanging="792"/>
        <w:spacing w:after="0" w:line="286" w:lineRule="auto"/>
        <w:tabs>
          <w:tab w:leader="none" w:pos="80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pay any dividend or make any other form of distribution or effect any form of redemption, purchase or return of share capital if an Event of Default has occurred and is continuing at the relevant time or an Event of Default will result from the payment of a dividend or the making of any other form of distribution. In all other cases the Guarantor will be free to distribute dividends or make other distributions; or</w:t>
      </w:r>
    </w:p>
    <w:p>
      <w:pPr>
        <w:spacing w:after="0" w:line="70" w:lineRule="exact"/>
        <w:rPr>
          <w:rFonts w:ascii="Arial" w:cs="Arial" w:eastAsia="Arial" w:hAnsi="Arial"/>
          <w:sz w:val="17"/>
          <w:szCs w:val="17"/>
          <w:color w:val="auto"/>
        </w:rPr>
      </w:pPr>
    </w:p>
    <w:p>
      <w:pPr>
        <w:ind w:left="800" w:hanging="792"/>
        <w:spacing w:after="0"/>
        <w:tabs>
          <w:tab w:leader="none" w:pos="8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Guarantor’s or any other Security Party’s share or loan capital; or</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17"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or enter into any transaction with or involving such a person or company on terms which are, in any respect, less favourable to the Guarantor than those which it could obtain in a bargain made at arms’ length; or</w:t>
      </w:r>
    </w:p>
    <w:p>
      <w:pPr>
        <w:spacing w:after="0" w:line="76" w:lineRule="exact"/>
        <w:rPr>
          <w:sz w:val="20"/>
          <w:szCs w:val="20"/>
          <w:color w:val="auto"/>
        </w:rPr>
      </w:pPr>
    </w:p>
    <w:p>
      <w:pPr>
        <w:ind w:left="800" w:hanging="792"/>
        <w:spacing w:after="0"/>
        <w:tabs>
          <w:tab w:leader="none" w:pos="8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issue, allot or grant any person a right to any shares in its capital or repurchase or reduce its issued share capital;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enter into any form of amalgamation, merger or de-merger or any form of reconstruction or reorganisation; or</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change its constitutional documents in a material respect; or</w:t>
      </w:r>
    </w:p>
    <w:p>
      <w:pPr>
        <w:spacing w:after="0" w:line="130" w:lineRule="exact"/>
        <w:rPr>
          <w:rFonts w:ascii="Arial" w:cs="Arial" w:eastAsia="Arial" w:hAnsi="Arial"/>
          <w:sz w:val="18"/>
          <w:szCs w:val="18"/>
          <w:color w:val="auto"/>
        </w:rPr>
      </w:pPr>
    </w:p>
    <w:p>
      <w:pPr>
        <w:jc w:val="both"/>
        <w:ind w:left="800" w:right="60" w:hanging="792"/>
        <w:spacing w:after="0" w:line="264" w:lineRule="auto"/>
        <w:tabs>
          <w:tab w:leader="none" w:pos="8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pledge, assign, charge, dispose of, nor create or permit any Security Interest or other third party right (nor agree to assign, charge, pledge, dispose of or create or permit any Security Interest or other third party right) on or over the shares in the Relevant Borrower(s) other than in favour of the Security Trustee.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3" w:right="319" w:bottom="1440" w:gutter="0" w:footer="0" w:header="0"/>
        </w:sectPr>
      </w:pPr>
    </w:p>
    <w:bookmarkStart w:id="305" w:name="page306"/>
    <w:bookmarkEnd w:id="305"/>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12.3</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Guarantor shall ensure that at all times:</w:t>
      </w:r>
    </w:p>
    <w:p>
      <w:pPr>
        <w:spacing w:after="0" w:line="131" w:lineRule="exact"/>
        <w:rPr>
          <w:sz w:val="20"/>
          <w:szCs w:val="20"/>
          <w:color w:val="auto"/>
        </w:rPr>
      </w:pPr>
    </w:p>
    <w:p>
      <w:pPr>
        <w:ind w:left="800" w:hanging="792"/>
        <w:spacing w:after="0"/>
        <w:tabs>
          <w:tab w:leader="none" w:pos="8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Leverage Ratio shall not exceed 72.5 per cent.;</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ratio of EBITDA to Net Interest Expense, on a trailing 12-month basis, shall be no less than 2:1; and</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Liquid Assets of the Group shall be in an amount of not less than $500,000 per Fleet Vessel.</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Compliance Check</w:t>
      </w:r>
    </w:p>
    <w:p>
      <w:pPr>
        <w:spacing w:after="0" w:line="121" w:lineRule="exact"/>
        <w:rPr>
          <w:sz w:val="20"/>
          <w:szCs w:val="20"/>
          <w:color w:val="auto"/>
        </w:rPr>
      </w:pPr>
    </w:p>
    <w:p>
      <w:pPr>
        <w:ind w:left="800" w:right="100"/>
        <w:spacing w:after="0" w:line="297" w:lineRule="auto"/>
        <w:rPr>
          <w:sz w:val="20"/>
          <w:szCs w:val="20"/>
          <w:color w:val="auto"/>
        </w:rPr>
      </w:pPr>
      <w:r>
        <w:rPr>
          <w:rFonts w:ascii="Arial" w:cs="Arial" w:eastAsia="Arial" w:hAnsi="Arial"/>
          <w:sz w:val="16"/>
          <w:szCs w:val="16"/>
          <w:color w:val="auto"/>
        </w:rPr>
        <w:t>Compliance with the undertakings contained in Clause 12.3 shall be tested semi-annually and determined by reference to the unaudited consolidated accounts of the Group for the first 6-month period in each financial year of the Guarantor delivered to the Agent pursuant to Clause 11.4(b)(ii) and for the second 6-month period in each financial year of the Guarantor, by reference to the audited consolidated accounts of the Guarantor for that Financial Year delivered to the Agent pursuant to Clause 11.4(a)(ii). At the same time as it delivers its consolidated accounts, the Guarantor shall deliver to the Agent a Compliance Certificate, signed by the chief financial officer of the Guarantor.</w:t>
      </w:r>
    </w:p>
    <w:p>
      <w:pPr>
        <w:spacing w:after="0" w:line="3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5"/>
          <w:szCs w:val="15"/>
          <w:b w:val="1"/>
          <w:bCs w:val="1"/>
          <w:color w:val="auto"/>
        </w:rPr>
        <w:t>Change in accounting expressions and policies</w:t>
      </w:r>
    </w:p>
    <w:p>
      <w:pPr>
        <w:spacing w:after="0" w:line="121" w:lineRule="exact"/>
        <w:rPr>
          <w:sz w:val="20"/>
          <w:szCs w:val="20"/>
          <w:color w:val="auto"/>
        </w:rPr>
      </w:pPr>
    </w:p>
    <w:p>
      <w:pPr>
        <w:ind w:left="800"/>
        <w:spacing w:after="0" w:line="257" w:lineRule="auto"/>
        <w:rPr>
          <w:sz w:val="20"/>
          <w:szCs w:val="20"/>
          <w:color w:val="auto"/>
        </w:rPr>
      </w:pPr>
      <w:r>
        <w:rPr>
          <w:rFonts w:ascii="Arial" w:cs="Arial" w:eastAsia="Arial" w:hAnsi="Arial"/>
          <w:sz w:val="18"/>
          <w:szCs w:val="18"/>
          <w:color w:val="auto"/>
        </w:rPr>
        <w:t>If, by reason of change in format or US GAAP or other relevant accounting policies, the expressions appearing in any accounts and financial statements referred to in Clause 11.4 alter from those in the accounts and financial statements for the Group for the year ending on 31 December 2014, the relevant definitions contained in Clause 1.1 and the provisions of Clause 12.3 shall be deemed modified in such manner as the Agent, acting with the authorisation of all the Lenders, shall require to take account of such different expressions but otherwise to maintain in all respects the substance of those provisions.</w:t>
      </w:r>
    </w:p>
    <w:p>
      <w:pPr>
        <w:spacing w:after="0" w:line="3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Guarantor’s financial covenants</w:t>
      </w:r>
    </w:p>
    <w:p>
      <w:pPr>
        <w:spacing w:after="0" w:line="121"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color w:val="auto"/>
        </w:rPr>
        <w:t>If, in the reasonable opinion of the Agent (acting on the instructions of the Lenders), the Guarantor, in the context of a financing made or to be made available to a member of the Group or otherwise, agrees with any third party financial covenants which:</w:t>
      </w:r>
    </w:p>
    <w:p>
      <w:pPr>
        <w:spacing w:after="0" w:line="76" w:lineRule="exact"/>
        <w:rPr>
          <w:sz w:val="20"/>
          <w:szCs w:val="20"/>
          <w:color w:val="auto"/>
        </w:rPr>
      </w:pPr>
    </w:p>
    <w:p>
      <w:pPr>
        <w:jc w:val="both"/>
        <w:ind w:left="800" w:hanging="792"/>
        <w:spacing w:after="0" w:line="264" w:lineRule="auto"/>
        <w:tabs>
          <w:tab w:leader="none" w:pos="8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are more favourable than those applicable to the Finance Parties pursuant to the Finance Documents, the Guarantor shall, or shall procure that any Obligor or any other third party will, give to the Finance Parties the benefit of such covenants which, in the opinion of the Finance Parties, would place them in the same position as that applicable to the other lender or lenders at the relevant time</w:t>
      </w:r>
    </w:p>
    <w:p>
      <w:pPr>
        <w:spacing w:after="0" w:line="86"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place that third party in a more favourable position than that applicable to the Creditor Parties pursuant to this Guarantee or any other Guarantor’s Document;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are more onerous than those imposed on the Guarantor pursuant to this Guarantee or any other Guarantor’s Document,</w:t>
      </w:r>
    </w:p>
    <w:p>
      <w:pPr>
        <w:spacing w:after="0" w:line="117" w:lineRule="exact"/>
        <w:rPr>
          <w:rFonts w:ascii="Arial" w:cs="Arial" w:eastAsia="Arial" w:hAnsi="Arial"/>
          <w:sz w:val="18"/>
          <w:szCs w:val="18"/>
          <w:color w:val="auto"/>
        </w:rPr>
      </w:pPr>
    </w:p>
    <w:p>
      <w:pPr>
        <w:ind w:left="800"/>
        <w:spacing w:after="0" w:line="302" w:lineRule="auto"/>
        <w:rPr>
          <w:rFonts w:ascii="Arial" w:cs="Arial" w:eastAsia="Arial" w:hAnsi="Arial"/>
          <w:sz w:val="18"/>
          <w:szCs w:val="18"/>
          <w:color w:val="auto"/>
        </w:rPr>
      </w:pPr>
      <w:r>
        <w:rPr>
          <w:rFonts w:ascii="Arial" w:cs="Arial" w:eastAsia="Arial" w:hAnsi="Arial"/>
          <w:sz w:val="16"/>
          <w:szCs w:val="16"/>
          <w:color w:val="auto"/>
        </w:rPr>
        <w:t>the Guarantor shall give the Creditor Parties the benefit of such financial covenants by entering into a supplemental agreement to this Guarantee and any of the other Guarantor’s Documents by which the applicable covenants and undertakings are amended and supplemented to place them in the same position as that applicable to the other lender or lenders at the relevant time (with such supplemental agreement being entered into as soon as practicable after the imposition of such financial covenants on the Guarantor by the third party).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69" w:right="339" w:bottom="1440" w:gutter="0" w:footer="0" w:header="0"/>
        </w:sectPr>
      </w:pPr>
    </w:p>
    <w:bookmarkStart w:id="306" w:name="page307"/>
    <w:bookmarkEnd w:id="306"/>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12.7</w:t>
      </w:r>
      <w:r>
        <w:rPr>
          <w:sz w:val="20"/>
          <w:szCs w:val="20"/>
          <w:color w:val="auto"/>
        </w:rPr>
        <w:tab/>
      </w:r>
      <w:r>
        <w:rPr>
          <w:rFonts w:ascii="Arial" w:cs="Arial" w:eastAsia="Arial" w:hAnsi="Arial"/>
          <w:sz w:val="15"/>
          <w:szCs w:val="15"/>
          <w:b w:val="1"/>
          <w:bCs w:val="1"/>
          <w:color w:val="auto"/>
        </w:rPr>
        <w:t>Valuation of Fleet Vessels</w:t>
      </w:r>
    </w:p>
    <w:p>
      <w:pPr>
        <w:spacing w:after="0" w:line="121"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The market value of a Fleet Vessel at any date is that shown by taking the arithmetic means of two valuations requested by the Guarantor to be issued by two Approved Brokers appointed by the Guarantor, each valuation to be prepared:</w:t>
      </w:r>
    </w:p>
    <w:p>
      <w:pPr>
        <w:spacing w:after="0" w:line="76" w:lineRule="exact"/>
        <w:rPr>
          <w:sz w:val="20"/>
          <w:szCs w:val="20"/>
          <w:color w:val="auto"/>
        </w:rPr>
      </w:pPr>
    </w:p>
    <w:p>
      <w:pPr>
        <w:ind w:left="800" w:hanging="792"/>
        <w:spacing w:after="0"/>
        <w:tabs>
          <w:tab w:leader="none" w:pos="8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as at a date not more than 14 days prior to the relevant Compliance Date;</w:t>
      </w:r>
    </w:p>
    <w:p>
      <w:pPr>
        <w:spacing w:after="0" w:line="130" w:lineRule="exact"/>
        <w:rPr>
          <w:rFonts w:ascii="Arial" w:cs="Arial" w:eastAsia="Arial" w:hAnsi="Arial"/>
          <w:sz w:val="18"/>
          <w:szCs w:val="18"/>
          <w:color w:val="auto"/>
        </w:rPr>
      </w:pPr>
    </w:p>
    <w:p>
      <w:pPr>
        <w:ind w:left="800" w:hanging="792"/>
        <w:spacing w:after="0"/>
        <w:tabs>
          <w:tab w:leader="none" w:pos="8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with or without physical inspection of that Fleet Vessel (as the Agent may require);</w:t>
      </w:r>
    </w:p>
    <w:p>
      <w:pPr>
        <w:spacing w:after="0" w:line="130"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12.8</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Maintenance of ownership of Relevant Borrowers</w:t>
            </w:r>
          </w:p>
        </w:tc>
      </w:tr>
      <w:tr>
        <w:trPr>
          <w:trHeight w:val="310"/>
        </w:trPr>
        <w:tc>
          <w:tcPr>
            <w:tcW w:w="560" w:type="dxa"/>
            <w:vAlign w:val="bottom"/>
          </w:tcPr>
          <w:p>
            <w:pPr>
              <w:spacing w:after="0"/>
              <w:rPr>
                <w:sz w:val="24"/>
                <w:szCs w:val="24"/>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w w:val="93"/>
              </w:rPr>
              <w:t>The Guarantor shall remain the ultimate legal owner of the entire issued and allotted share capital of each Relevant Borrower (other than an</w:t>
            </w:r>
          </w:p>
        </w:tc>
      </w:tr>
      <w:tr>
        <w:trPr>
          <w:trHeight w:val="230"/>
        </w:trPr>
        <w:tc>
          <w:tcPr>
            <w:tcW w:w="560" w:type="dxa"/>
            <w:vAlign w:val="bottom"/>
          </w:tcPr>
          <w:p>
            <w:pPr>
              <w:spacing w:after="0"/>
              <w:rPr>
                <w:sz w:val="20"/>
                <w:szCs w:val="20"/>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rPr>
              <w:t>Affected Borrower) free from any Security Interest.</w:t>
            </w: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JUDGMENTS AND CURRENCY INDEMNITY</w:t>
            </w:r>
          </w:p>
        </w:tc>
      </w:tr>
      <w:tr>
        <w:trPr>
          <w:trHeight w:val="338"/>
        </w:trPr>
        <w:tc>
          <w:tcPr>
            <w:tcW w:w="56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Judgments relating to Loan Agreement and Master Agreements</w:t>
            </w:r>
          </w:p>
        </w:tc>
      </w:tr>
      <w:tr>
        <w:trPr>
          <w:trHeight w:val="310"/>
        </w:trPr>
        <w:tc>
          <w:tcPr>
            <w:tcW w:w="560" w:type="dxa"/>
            <w:vAlign w:val="bottom"/>
          </w:tcPr>
          <w:p>
            <w:pPr>
              <w:spacing w:after="0"/>
              <w:rPr>
                <w:sz w:val="24"/>
                <w:szCs w:val="24"/>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w w:val="91"/>
              </w:rPr>
              <w:t>This Guarantee shall cover any amount payable by the Relevant Borrowers under or in connection with any judgment relating to the Guaranteed</w:t>
            </w:r>
          </w:p>
        </w:tc>
      </w:tr>
      <w:tr>
        <w:trPr>
          <w:trHeight w:val="216"/>
        </w:trPr>
        <w:tc>
          <w:tcPr>
            <w:tcW w:w="560" w:type="dxa"/>
            <w:vAlign w:val="bottom"/>
          </w:tcPr>
          <w:p>
            <w:pPr>
              <w:spacing w:after="0"/>
              <w:rPr>
                <w:sz w:val="18"/>
                <w:szCs w:val="18"/>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w w:val="90"/>
              </w:rPr>
              <w:t>Tranches and any amounts payable under the Loan Agreement, the Master Agreements and any other Finance Document in connection with, or</w:t>
            </w:r>
          </w:p>
        </w:tc>
      </w:tr>
      <w:tr>
        <w:trPr>
          <w:trHeight w:val="230"/>
        </w:trPr>
        <w:tc>
          <w:tcPr>
            <w:tcW w:w="560" w:type="dxa"/>
            <w:vAlign w:val="bottom"/>
          </w:tcPr>
          <w:p>
            <w:pPr>
              <w:spacing w:after="0"/>
              <w:rPr>
                <w:sz w:val="20"/>
                <w:szCs w:val="20"/>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w w:val="89"/>
              </w:rPr>
              <w:t>attributable to, the Guaranteed Tranches and to the period during which any Relevant Borrower is a member of the same Group as the Guarantor.</w:t>
            </w: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rPr>
              <w:t>13.2</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Currency indemnity</w:t>
            </w:r>
          </w:p>
        </w:tc>
      </w:tr>
      <w:tr>
        <w:trPr>
          <w:trHeight w:val="324"/>
        </w:trPr>
        <w:tc>
          <w:tcPr>
            <w:tcW w:w="560" w:type="dxa"/>
            <w:vAlign w:val="bottom"/>
          </w:tcPr>
          <w:p>
            <w:pPr>
              <w:spacing w:after="0"/>
              <w:rPr>
                <w:sz w:val="24"/>
                <w:szCs w:val="24"/>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w w:val="92"/>
              </w:rPr>
              <w:t>In addition, clause 21.5 (currency indemnity) of the Loan Agreement shall apply, with any necessary adaptations, in relation to this Guarantee.</w:t>
            </w: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SET OFF</w:t>
            </w:r>
          </w:p>
        </w:tc>
      </w:tr>
      <w:tr>
        <w:trPr>
          <w:trHeight w:val="338"/>
        </w:trPr>
        <w:tc>
          <w:tcPr>
            <w:tcW w:w="560" w:type="dxa"/>
            <w:vAlign w:val="bottom"/>
          </w:tcPr>
          <w:p>
            <w:pPr>
              <w:spacing w:after="0"/>
              <w:rPr>
                <w:sz w:val="20"/>
                <w:szCs w:val="20"/>
                <w:color w:val="auto"/>
              </w:rPr>
            </w:pPr>
            <w:r>
              <w:rPr>
                <w:rFonts w:ascii="Arial" w:cs="Arial" w:eastAsia="Arial" w:hAnsi="Arial"/>
                <w:sz w:val="18"/>
                <w:szCs w:val="18"/>
                <w:b w:val="1"/>
                <w:bCs w:val="1"/>
                <w:color w:val="auto"/>
              </w:rPr>
              <w:t>14.1</w:t>
            </w:r>
          </w:p>
        </w:tc>
        <w:tc>
          <w:tcPr>
            <w:tcW w:w="10700" w:type="dxa"/>
            <w:vAlign w:val="bottom"/>
          </w:tcPr>
          <w:p>
            <w:pPr>
              <w:ind w:left="240"/>
              <w:spacing w:after="0"/>
              <w:rPr>
                <w:sz w:val="20"/>
                <w:szCs w:val="20"/>
                <w:color w:val="auto"/>
              </w:rPr>
            </w:pPr>
            <w:r>
              <w:rPr>
                <w:rFonts w:ascii="Arial" w:cs="Arial" w:eastAsia="Arial" w:hAnsi="Arial"/>
                <w:sz w:val="18"/>
                <w:szCs w:val="18"/>
                <w:b w:val="1"/>
                <w:bCs w:val="1"/>
                <w:color w:val="auto"/>
              </w:rPr>
              <w:t>Application of credit balances</w:t>
            </w:r>
          </w:p>
        </w:tc>
      </w:tr>
      <w:tr>
        <w:trPr>
          <w:trHeight w:val="324"/>
        </w:trPr>
        <w:tc>
          <w:tcPr>
            <w:tcW w:w="560" w:type="dxa"/>
            <w:vAlign w:val="bottom"/>
          </w:tcPr>
          <w:p>
            <w:pPr>
              <w:spacing w:after="0"/>
              <w:rPr>
                <w:sz w:val="24"/>
                <w:szCs w:val="24"/>
                <w:color w:val="auto"/>
              </w:rPr>
            </w:pPr>
          </w:p>
        </w:tc>
        <w:tc>
          <w:tcPr>
            <w:tcW w:w="10700" w:type="dxa"/>
            <w:vAlign w:val="bottom"/>
          </w:tcPr>
          <w:p>
            <w:pPr>
              <w:ind w:left="240"/>
              <w:spacing w:after="0"/>
              <w:rPr>
                <w:sz w:val="20"/>
                <w:szCs w:val="20"/>
                <w:color w:val="auto"/>
              </w:rPr>
            </w:pPr>
            <w:r>
              <w:rPr>
                <w:rFonts w:ascii="Arial" w:cs="Arial" w:eastAsia="Arial" w:hAnsi="Arial"/>
                <w:sz w:val="18"/>
                <w:szCs w:val="18"/>
                <w:color w:val="auto"/>
              </w:rPr>
              <w:t>Each Creditor Party may with prior notice to the Guarantor:</w:t>
            </w:r>
          </w:p>
        </w:tc>
      </w:tr>
    </w:tbl>
    <w:p>
      <w:pPr>
        <w:spacing w:after="0" w:line="107" w:lineRule="exact"/>
        <w:rPr>
          <w:sz w:val="20"/>
          <w:szCs w:val="20"/>
          <w:color w:val="auto"/>
        </w:rPr>
      </w:pPr>
    </w:p>
    <w:p>
      <w:pPr>
        <w:ind w:left="800" w:right="20" w:hanging="792"/>
        <w:spacing w:after="0" w:line="264" w:lineRule="auto"/>
        <w:tabs>
          <w:tab w:leader="none" w:pos="8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Guarantor at any office in any country of that Creditor Party in or towards satisfaction of any sum then due from the Guarantor to that Creditor Party under this or any of the other Finance Documents; and</w:t>
      </w:r>
    </w:p>
    <w:p>
      <w:pPr>
        <w:spacing w:after="0" w:line="86" w:lineRule="exact"/>
        <w:rPr>
          <w:rFonts w:ascii="Arial" w:cs="Arial" w:eastAsia="Arial" w:hAnsi="Arial"/>
          <w:sz w:val="18"/>
          <w:szCs w:val="18"/>
          <w:color w:val="auto"/>
        </w:rPr>
      </w:pPr>
    </w:p>
    <w:p>
      <w:pPr>
        <w:ind w:left="800" w:hanging="792"/>
        <w:spacing w:after="0"/>
        <w:tabs>
          <w:tab w:leader="none" w:pos="8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Guarantor;</w:t>
      </w:r>
    </w:p>
    <w:p>
      <w:pPr>
        <w:spacing w:after="0" w:line="130" w:lineRule="exact"/>
        <w:rPr>
          <w:rFonts w:ascii="Arial" w:cs="Arial" w:eastAsia="Arial" w:hAnsi="Arial"/>
          <w:sz w:val="18"/>
          <w:szCs w:val="18"/>
          <w:color w:val="auto"/>
        </w:rPr>
      </w:pPr>
    </w:p>
    <w:p>
      <w:pPr>
        <w:ind w:left="1700" w:hanging="895"/>
        <w:spacing w:after="0"/>
        <w:tabs>
          <w:tab w:leader="none" w:pos="170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700" w:right="380" w:hanging="895"/>
        <w:spacing w:after="0" w:line="277" w:lineRule="auto"/>
        <w:tabs>
          <w:tab w:leader="none" w:pos="170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307" w:name="page308"/>
    <w:bookmarkEnd w:id="307"/>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jc w:val="both"/>
        <w:ind w:left="800" w:right="2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14.1; and those rights shall be without prejudice and in addition to any right of set off, combination of accounts, charge, lien or other right or remedy to which a Creditor Party is entitled (whether under the general law or any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800" w:right="180"/>
        <w:spacing w:after="0" w:line="264" w:lineRule="auto"/>
        <w:rPr>
          <w:sz w:val="20"/>
          <w:szCs w:val="20"/>
          <w:color w:val="auto"/>
        </w:rPr>
      </w:pPr>
      <w:r>
        <w:rPr>
          <w:rFonts w:ascii="Arial" w:cs="Arial" w:eastAsia="Arial" w:hAnsi="Arial"/>
          <w:sz w:val="18"/>
          <w:szCs w:val="18"/>
          <w:color w:val="auto"/>
        </w:rPr>
        <w:t>For the purposes of this Clause 14, a sum payable by the Guarantor to the Facility Agent or the Security Trustee for distribution to, or for the account of, a Lender shall be treated as a sum due to that Lender; and each Lender’s proportion of a sum so payable for distribution to, or for the account of, the Lenders shall be treated as a sum due to that Lender.</w:t>
      </w:r>
    </w:p>
    <w:p>
      <w:pPr>
        <w:spacing w:after="0" w:line="326" w:lineRule="exact"/>
        <w:rPr>
          <w:sz w:val="20"/>
          <w:szCs w:val="20"/>
          <w:color w:val="auto"/>
        </w:rPr>
      </w:pPr>
    </w:p>
    <w:p>
      <w:pPr>
        <w:ind w:left="800" w:hanging="792"/>
        <w:spacing w:after="0"/>
        <w:tabs>
          <w:tab w:leader="none" w:pos="80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w:t>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800" w:right="600"/>
        <w:spacing w:after="0" w:line="277" w:lineRule="auto"/>
        <w:rPr>
          <w:sz w:val="20"/>
          <w:szCs w:val="20"/>
          <w:color w:val="auto"/>
        </w:rPr>
      </w:pPr>
      <w:r>
        <w:rPr>
          <w:rFonts w:ascii="Arial" w:cs="Arial" w:eastAsia="Arial" w:hAnsi="Arial"/>
          <w:sz w:val="18"/>
          <w:szCs w:val="18"/>
          <w:color w:val="auto"/>
        </w:rPr>
        <w:t>This Guarantee shall remain in force as a continuing security at all times during the Security Period in respect of the period during which a Relevant Borrower is a member of the Group.</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Security Trustee’s rights under and in connection with this Guarantee are cumulative, may be exercised as often as appears expedient and shall not be taken to exclude or limit any right or remedy conferred by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No impairment of rights under Guarantee</w:t>
      </w:r>
    </w:p>
    <w:p>
      <w:pPr>
        <w:spacing w:after="0" w:line="121"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If the Security Trustee omits to exercise, delays in exercising or invalidly exercises any of its rights under this Guarantee, that shall not impair that or any other right of the Security Trustee under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Severability of provisions</w:t>
      </w:r>
    </w:p>
    <w:p>
      <w:pPr>
        <w:spacing w:after="0" w:line="121" w:lineRule="exact"/>
        <w:rPr>
          <w:sz w:val="20"/>
          <w:szCs w:val="20"/>
          <w:color w:val="auto"/>
        </w:rPr>
      </w:pPr>
    </w:p>
    <w:p>
      <w:pPr>
        <w:ind w:left="800" w:right="280"/>
        <w:spacing w:after="0" w:line="277" w:lineRule="auto"/>
        <w:rPr>
          <w:sz w:val="20"/>
          <w:szCs w:val="20"/>
          <w:color w:val="auto"/>
        </w:rPr>
      </w:pPr>
      <w:r>
        <w:rPr>
          <w:rFonts w:ascii="Arial" w:cs="Arial" w:eastAsia="Arial" w:hAnsi="Arial"/>
          <w:sz w:val="18"/>
          <w:szCs w:val="18"/>
          <w:color w:val="auto"/>
        </w:rPr>
        <w:t>If any provision of this Guarantee is or subsequently becomes void, illegal, unenforceable or otherwise invalid, that shall not affect the validity, legality or enforceability of its other provisions.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Guarantee not affected by other security</w:t>
      </w:r>
    </w:p>
    <w:p>
      <w:pPr>
        <w:spacing w:after="0" w:line="121" w:lineRule="exact"/>
        <w:rPr>
          <w:sz w:val="20"/>
          <w:szCs w:val="20"/>
          <w:color w:val="auto"/>
        </w:rPr>
      </w:pPr>
    </w:p>
    <w:p>
      <w:pPr>
        <w:ind w:left="800" w:right="420"/>
        <w:spacing w:after="0" w:line="264" w:lineRule="auto"/>
        <w:rPr>
          <w:sz w:val="20"/>
          <w:szCs w:val="20"/>
          <w:color w:val="auto"/>
        </w:rPr>
      </w:pPr>
      <w:r>
        <w:rPr>
          <w:rFonts w:ascii="Arial" w:cs="Arial" w:eastAsia="Arial" w:hAnsi="Arial"/>
          <w:sz w:val="18"/>
          <w:szCs w:val="18"/>
          <w:color w:val="auto"/>
        </w:rPr>
        <w:t>This Guarantee shall not impair, nor be impaired by, any other guarantee, any Security Interest or any right of set-off or netting or to combine accounts which the Security Trustee or any other Creditor Party may now or later hold in connection with the Loan Agreement, a Master Agreement or any other Finance Document.</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Guarantor bound by Finance Documents</w:t>
      </w:r>
    </w:p>
    <w:p>
      <w:pPr>
        <w:spacing w:after="0" w:line="121"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color w:val="auto"/>
        </w:rPr>
        <w:t>The Guarantor agrees with the Security Trustee to be bound by all provisions of each Finance Document which are applicable to the Borrowers in the same way as if those provisions had been set out (with any necessary modifications) in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Applicability of provisions of Guarantee to other Security Interests</w:t>
      </w:r>
    </w:p>
    <w:p>
      <w:pPr>
        <w:spacing w:after="0" w:line="121" w:lineRule="exact"/>
        <w:rPr>
          <w:sz w:val="20"/>
          <w:szCs w:val="20"/>
          <w:color w:val="auto"/>
        </w:rPr>
      </w:pPr>
    </w:p>
    <w:p>
      <w:pPr>
        <w:ind w:left="800" w:right="120"/>
        <w:spacing w:after="0" w:line="259" w:lineRule="auto"/>
        <w:rPr>
          <w:sz w:val="20"/>
          <w:szCs w:val="20"/>
          <w:color w:val="auto"/>
        </w:rPr>
      </w:pPr>
      <w:r>
        <w:rPr>
          <w:rFonts w:ascii="Arial" w:cs="Arial" w:eastAsia="Arial" w:hAnsi="Arial"/>
          <w:sz w:val="18"/>
          <w:szCs w:val="18"/>
          <w:color w:val="auto"/>
        </w:rPr>
        <w:t>Any Security Interest which the Guarantor creates (whether at the time at which it signs this Guarantee or at any later time) to secure any liability under this Guarantee shall be a principal and independent security, and Clauses 3 and 18 shall, with any necessary modifications, apply to it, notwithstanding that the document creating the Security Interest neither describes it as a principal or independent security nor includes provisions similar to Clauses 3 and 18.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308" w:name="page309"/>
    <w:bookmarkEnd w:id="308"/>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15.8</w:t>
      </w:r>
      <w:r>
        <w:rPr>
          <w:sz w:val="20"/>
          <w:szCs w:val="20"/>
          <w:color w:val="auto"/>
        </w:rPr>
        <w:tab/>
      </w:r>
      <w:r>
        <w:rPr>
          <w:rFonts w:ascii="Arial" w:cs="Arial" w:eastAsia="Arial" w:hAnsi="Arial"/>
          <w:sz w:val="16"/>
          <w:szCs w:val="16"/>
          <w:b w:val="1"/>
          <w:bCs w:val="1"/>
          <w:color w:val="auto"/>
        </w:rPr>
        <w:t>Applicability of provisions of Guarantee to other rights</w:t>
      </w:r>
    </w:p>
    <w:p>
      <w:pPr>
        <w:spacing w:after="0" w:line="121"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Clauses 3 and 18 shall also apply to any right of set-off or netting or to combine accounts which the Guarantor creates by an agreement entered into at the time of this Guarantee or at any later time (notwithstanding that the agreement does not include provisions similar to Clauses 3 and 18), being an agreement referring to this Guarantee.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Guarantor’s approval of Loan Agreement, Master Agreements and the other Finance Documents</w:t>
      </w:r>
    </w:p>
    <w:p>
      <w:pPr>
        <w:spacing w:after="0" w:line="121"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color w:val="auto"/>
        </w:rPr>
        <w:t>The Guarantor has read the Loan Agreement, each Master Agreement and the other Finance Documents and understands and approves all the terms and conditions of the Loan Agreement, the Master Agreements and the other Finance Documents.</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color w:val="auto"/>
        </w:rPr>
        <w:t>A person (other than a Creditor Party) who is not a party to this Guarantee has no right under the Contracts (Rights of Third Parties) Act 1999 to enforce or to enjoy the benefit of any term of this Guarantee.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ASSIGNMENT</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Assignment by Security Trustee</w:t>
      </w:r>
    </w:p>
    <w:p>
      <w:pPr>
        <w:spacing w:after="0" w:line="121"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Security Trustee may assign its rights under and in connection with this Guarantee with prior notice to the Guarantor to the same extent as it may assign its rights under the Loan Agreement.</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Notices to Guarantor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notice or demand to the Guarantor under or in connection with this Guarantee shall be given by letter or fax at: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 Iassonos Street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185 37 Piraeus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Greece</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Fax No: +30 210 4285 679</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Attn: Capital Product Partners L.P./the Chief Financial Officer</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 to such other address which the Guarantor may notify to the Security Trustee.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Application of certain provisions of Loan Agreement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Clauses 28.3, 28.4 and 28.5 of the Loan Agreement apply to any notice or demand under or in connection with this Guarantee.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Validity of demands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demand under this Guarantee shall be valid notwithstanding that it is served:</w:t>
      </w:r>
    </w:p>
    <w:p>
      <w:pPr>
        <w:spacing w:after="0" w:line="131" w:lineRule="exact"/>
        <w:rPr>
          <w:sz w:val="20"/>
          <w:szCs w:val="20"/>
          <w:color w:val="auto"/>
        </w:rPr>
      </w:pPr>
    </w:p>
    <w:p>
      <w:pPr>
        <w:ind w:left="800" w:right="160" w:hanging="792"/>
        <w:spacing w:after="0" w:line="277" w:lineRule="auto"/>
        <w:tabs>
          <w:tab w:leader="none" w:pos="8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on the date on which the amount to which it relates is payable by the Relevant Borrowers under the Loan Agreement, the Master Agreements or any of the other Finance Documents; and</w:t>
      </w:r>
    </w:p>
    <w:p>
      <w:pPr>
        <w:spacing w:after="0" w:line="75" w:lineRule="exact"/>
        <w:rPr>
          <w:rFonts w:ascii="Arial" w:cs="Arial" w:eastAsia="Arial" w:hAnsi="Arial"/>
          <w:sz w:val="18"/>
          <w:szCs w:val="18"/>
          <w:color w:val="auto"/>
        </w:rPr>
      </w:pPr>
    </w:p>
    <w:p>
      <w:pPr>
        <w:ind w:left="800" w:hanging="792"/>
        <w:spacing w:after="0"/>
        <w:tabs>
          <w:tab w:leader="none" w:pos="8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at the same time as the service of a notice under clause 19.2 (actions following an event of default) of the Loan Agreement,</w:t>
      </w:r>
    </w:p>
    <w:p>
      <w:pPr>
        <w:spacing w:after="0" w:line="117" w:lineRule="exact"/>
        <w:rPr>
          <w:rFonts w:ascii="Arial" w:cs="Arial" w:eastAsia="Arial" w:hAnsi="Arial"/>
          <w:sz w:val="18"/>
          <w:szCs w:val="18"/>
          <w:color w:val="auto"/>
        </w:rPr>
      </w:pPr>
    </w:p>
    <w:p>
      <w:pPr>
        <w:ind w:left="800" w:right="320"/>
        <w:spacing w:after="0" w:line="277" w:lineRule="auto"/>
        <w:rPr>
          <w:rFonts w:ascii="Arial" w:cs="Arial" w:eastAsia="Arial" w:hAnsi="Arial"/>
          <w:sz w:val="18"/>
          <w:szCs w:val="18"/>
          <w:color w:val="auto"/>
        </w:rPr>
      </w:pPr>
      <w:r>
        <w:rPr>
          <w:rFonts w:ascii="Arial" w:cs="Arial" w:eastAsia="Arial" w:hAnsi="Arial"/>
          <w:sz w:val="18"/>
          <w:szCs w:val="18"/>
          <w:color w:val="auto"/>
        </w:rPr>
        <w:t>and a demand under this Guarantee may refer to all amounts payable under or in connection with any Finance Document without specifying a particular sum or aggregate sum.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0" w:right="319" w:bottom="1440" w:gutter="0" w:footer="0" w:header="0"/>
        </w:sectPr>
      </w:pPr>
    </w:p>
    <w:bookmarkStart w:id="309" w:name="page310"/>
    <w:bookmarkEnd w:id="309"/>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17.4</w:t>
      </w:r>
      <w:r>
        <w:rPr>
          <w:sz w:val="20"/>
          <w:szCs w:val="20"/>
          <w:color w:val="auto"/>
        </w:rPr>
        <w:tab/>
      </w:r>
      <w:r>
        <w:rPr>
          <w:rFonts w:ascii="Arial" w:cs="Arial" w:eastAsia="Arial" w:hAnsi="Arial"/>
          <w:sz w:val="15"/>
          <w:szCs w:val="15"/>
          <w:b w:val="1"/>
          <w:bCs w:val="1"/>
          <w:color w:val="auto"/>
        </w:rPr>
        <w:t>Notices to Security Trustee</w:t>
      </w:r>
    </w:p>
    <w:p>
      <w:pPr>
        <w:spacing w:after="0" w:line="121"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Any notice to the Security Trustee under or in connection with this Guarantee shall be sent to the same address and in the same manner as notices to the Security Trustee under the Loan Agreement.</w:t>
      </w:r>
    </w:p>
    <w:p>
      <w:pPr>
        <w:spacing w:after="0" w:line="315" w:lineRule="exact"/>
        <w:rPr>
          <w:sz w:val="20"/>
          <w:szCs w:val="20"/>
          <w:color w:val="auto"/>
        </w:rPr>
      </w:pPr>
    </w:p>
    <w:p>
      <w:pPr>
        <w:ind w:left="800" w:hanging="792"/>
        <w:spacing w:after="0"/>
        <w:tabs>
          <w:tab w:leader="none" w:pos="800"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 OF LOAN AGREEMENT</w:t>
      </w:r>
    </w:p>
    <w:p>
      <w:pPr>
        <w:spacing w:after="0" w:line="130" w:lineRule="exact"/>
        <w:rPr>
          <w:rFonts w:ascii="Arial" w:cs="Arial" w:eastAsia="Arial" w:hAnsi="Arial"/>
          <w:sz w:val="18"/>
          <w:szCs w:val="18"/>
          <w:b w:val="1"/>
          <w:bCs w:val="1"/>
          <w:color w:val="auto"/>
        </w:rPr>
      </w:pPr>
    </w:p>
    <w:p>
      <w:pPr>
        <w:ind w:left="800" w:right="8260" w:hanging="799"/>
        <w:spacing w:after="0" w:line="38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18.1Invalidity of Loan Agreement </w:t>
      </w:r>
      <w:r>
        <w:rPr>
          <w:rFonts w:ascii="Arial" w:cs="Arial" w:eastAsia="Arial" w:hAnsi="Arial"/>
          <w:sz w:val="18"/>
          <w:szCs w:val="18"/>
          <w:color w:val="auto"/>
        </w:rPr>
        <w:t>In the event of:</w:t>
      </w:r>
    </w:p>
    <w:p>
      <w:pPr>
        <w:spacing w:after="0" w:line="2" w:lineRule="exact"/>
        <w:rPr>
          <w:sz w:val="20"/>
          <w:szCs w:val="20"/>
          <w:color w:val="auto"/>
        </w:rPr>
      </w:pPr>
    </w:p>
    <w:p>
      <w:pPr>
        <w:ind w:left="800" w:hanging="792"/>
        <w:spacing w:after="0" w:line="277" w:lineRule="auto"/>
        <w:tabs>
          <w:tab w:leader="none" w:pos="8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Loan Agreement now being or later becoming, with immediate or retrospective effect, void, illegal, unenforceable or otherwise invalid for any other reason whatsoever, whether of a similar kind or not; or</w:t>
      </w:r>
    </w:p>
    <w:p>
      <w:pPr>
        <w:spacing w:after="0" w:line="75" w:lineRule="exact"/>
        <w:rPr>
          <w:rFonts w:ascii="Arial" w:cs="Arial" w:eastAsia="Arial" w:hAnsi="Arial"/>
          <w:sz w:val="18"/>
          <w:szCs w:val="18"/>
          <w:color w:val="auto"/>
        </w:rPr>
      </w:pPr>
    </w:p>
    <w:p>
      <w:pPr>
        <w:ind w:left="800" w:right="100" w:hanging="792"/>
        <w:spacing w:after="0" w:line="264" w:lineRule="auto"/>
        <w:tabs>
          <w:tab w:leader="none" w:pos="8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without limiting the scope of paragraph (a), a bankruptcy of any Borrower, the introduction of any law or any other matter resulting in any Borrower being discharged from liability under the Loan Agreement, or the Loan Agreement ceasing to operate (for example, by interest ceasing to accrue),</w:t>
      </w:r>
    </w:p>
    <w:p>
      <w:pPr>
        <w:spacing w:after="0" w:line="73" w:lineRule="exact"/>
        <w:rPr>
          <w:rFonts w:ascii="Arial" w:cs="Arial" w:eastAsia="Arial" w:hAnsi="Arial"/>
          <w:sz w:val="18"/>
          <w:szCs w:val="18"/>
          <w:color w:val="auto"/>
        </w:rPr>
      </w:pPr>
    </w:p>
    <w:p>
      <w:pPr>
        <w:ind w:left="800" w:right="60"/>
        <w:spacing w:after="0" w:line="255" w:lineRule="auto"/>
        <w:rPr>
          <w:rFonts w:ascii="Arial" w:cs="Arial" w:eastAsia="Arial" w:hAnsi="Arial"/>
          <w:sz w:val="18"/>
          <w:szCs w:val="18"/>
          <w:color w:val="auto"/>
        </w:rPr>
      </w:pPr>
      <w:r>
        <w:rPr>
          <w:rFonts w:ascii="Arial" w:cs="Arial" w:eastAsia="Arial" w:hAnsi="Arial"/>
          <w:sz w:val="18"/>
          <w:szCs w:val="18"/>
          <w:color w:val="auto"/>
        </w:rPr>
        <w:t>this Guarantee shall cover any amount which would have been or become payable under or in connection with the Guaranteed Tranches pursuant to the Loan Agreement if the Loan Agreement had been and remained entirely valid, legal and enforceable, or that Borrower had not suffered bankruptcy, or any combination of such events or circumstances, as the case may be, and that Borrower had remained fully liable under it for liabilities whether invalidly incurred or validly incurred but subsequently retrospectively invalidated; and references in this Guarantee to amounts payable by that Borrower under or in connection with the Loan Agreement shall include references to any amount which would have so been or become payable as aforesaid.</w:t>
      </w:r>
    </w:p>
    <w:p>
      <w:pPr>
        <w:spacing w:after="0" w:line="33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Invalidity of Finance Documents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 18.1 also applies to each of the Finance Documents to which each Relevant Borrower is a party.</w:t>
      </w:r>
    </w:p>
    <w:p>
      <w:pPr>
        <w:spacing w:after="0" w:line="370" w:lineRule="exact"/>
        <w:rPr>
          <w:sz w:val="20"/>
          <w:szCs w:val="20"/>
          <w:color w:val="auto"/>
        </w:rPr>
      </w:pPr>
    </w:p>
    <w:p>
      <w:pPr>
        <w:ind w:left="800" w:hanging="792"/>
        <w:spacing w:after="0"/>
        <w:tabs>
          <w:tab w:leader="none" w:pos="80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English law</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This Guarantee and any non-contractual obligations arising out of or in connection with it shall be governed by, and construed in accordance with, English law.</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Exclusive English jurisdiction</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Subject to Clause 19.3, the courts of England shall have exclusive jurisdiction to settle any Dispute.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69" w:right="319" w:bottom="1440" w:gutter="0" w:footer="0" w:header="0"/>
        </w:sectPr>
      </w:pPr>
    </w:p>
    <w:bookmarkStart w:id="310" w:name="page311"/>
    <w:bookmarkEnd w:id="310"/>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19.3</w:t>
      </w:r>
      <w:r>
        <w:rPr>
          <w:sz w:val="20"/>
          <w:szCs w:val="20"/>
          <w:color w:val="auto"/>
        </w:rPr>
        <w:tab/>
      </w:r>
      <w:r>
        <w:rPr>
          <w:rFonts w:ascii="Arial" w:cs="Arial" w:eastAsia="Arial" w:hAnsi="Arial"/>
          <w:sz w:val="16"/>
          <w:szCs w:val="16"/>
          <w:b w:val="1"/>
          <w:bCs w:val="1"/>
          <w:color w:val="auto"/>
        </w:rPr>
        <w:t>Choice of forum for the exclusive benefit of the Security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Clause 19.2 is for the exclusive benefit of the Security Trustee, which reserves the rights:</w:t>
      </w:r>
    </w:p>
    <w:p>
      <w:pPr>
        <w:spacing w:after="0" w:line="131" w:lineRule="exact"/>
        <w:rPr>
          <w:sz w:val="20"/>
          <w:szCs w:val="20"/>
          <w:color w:val="auto"/>
        </w:rPr>
      </w:pPr>
    </w:p>
    <w:p>
      <w:pPr>
        <w:ind w:left="800" w:right="240" w:hanging="792"/>
        <w:spacing w:after="0" w:line="277" w:lineRule="auto"/>
        <w:tabs>
          <w:tab w:leader="none" w:pos="8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Guarantor shall not commence any proceedings in any country other than England in relation to a Dispute.</w:t>
      </w:r>
    </w:p>
    <w:p>
      <w:pPr>
        <w:spacing w:after="0" w:line="3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The Guarantor irrevocably appoints Curzon Maritime Ltd. at their office for the time being, presently at St. Clare House, 30-33 Minories, London EC3N 1DJ, England, to act as its agent to receive and accept on its behalf any process or other document relating to any proceedings in the English courts which are connected with a Dispute.</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Creditor Parties’ rights unaffected</w:t>
      </w:r>
    </w:p>
    <w:p>
      <w:pPr>
        <w:spacing w:after="0" w:line="121" w:lineRule="exact"/>
        <w:rPr>
          <w:sz w:val="20"/>
          <w:szCs w:val="20"/>
          <w:color w:val="auto"/>
        </w:rPr>
      </w:pPr>
    </w:p>
    <w:p>
      <w:pPr>
        <w:ind w:left="800" w:right="500"/>
        <w:spacing w:after="0" w:line="264" w:lineRule="auto"/>
        <w:rPr>
          <w:sz w:val="20"/>
          <w:szCs w:val="20"/>
          <w:color w:val="auto"/>
        </w:rPr>
      </w:pPr>
      <w:r>
        <w:rPr>
          <w:rFonts w:ascii="Arial" w:cs="Arial" w:eastAsia="Arial" w:hAnsi="Arial"/>
          <w:sz w:val="18"/>
          <w:szCs w:val="18"/>
          <w:color w:val="auto"/>
        </w:rPr>
        <w:t>Nothing in this Clause 19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Meaning of “proceedings” and “Dispute”</w:t>
      </w:r>
    </w:p>
    <w:p>
      <w:pPr>
        <w:spacing w:after="0" w:line="117" w:lineRule="exact"/>
        <w:rPr>
          <w:sz w:val="20"/>
          <w:szCs w:val="20"/>
          <w:color w:val="auto"/>
        </w:rPr>
      </w:pPr>
    </w:p>
    <w:p>
      <w:pPr>
        <w:ind w:left="800" w:right="60"/>
        <w:spacing w:after="0" w:line="266" w:lineRule="auto"/>
        <w:rPr>
          <w:sz w:val="20"/>
          <w:szCs w:val="20"/>
          <w:color w:val="auto"/>
        </w:rPr>
      </w:pPr>
      <w:r>
        <w:rPr>
          <w:rFonts w:ascii="Arial" w:cs="Arial" w:eastAsia="Arial" w:hAnsi="Arial"/>
          <w:sz w:val="18"/>
          <w:szCs w:val="18"/>
          <w:color w:val="auto"/>
        </w:rPr>
        <w:t>In this Clause 19, “</w:t>
      </w:r>
      <w:r>
        <w:rPr>
          <w:rFonts w:ascii="Arial" w:cs="Arial" w:eastAsia="Arial" w:hAnsi="Arial"/>
          <w:sz w:val="18"/>
          <w:szCs w:val="18"/>
          <w:b w:val="1"/>
          <w:bCs w:val="1"/>
          <w:color w:val="auto"/>
        </w:rPr>
        <w:t>proceedings</w:t>
      </w:r>
      <w:r>
        <w:rPr>
          <w:rFonts w:ascii="Arial" w:cs="Arial" w:eastAsia="Arial" w:hAnsi="Arial"/>
          <w:sz w:val="18"/>
          <w:szCs w:val="18"/>
          <w:color w:val="auto"/>
        </w:rPr>
        <w:t>” means proceedings of any kind, including an application for a provisional or protective measure and a “</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arising out of or in connection with this Guarantee (including a dispute relating to the existence, validity or termination of this Guarantee) or any non-contractual obligation arising out of or in connection with this Guarantee.</w:t>
      </w:r>
    </w:p>
    <w:p>
      <w:pPr>
        <w:spacing w:after="0" w:line="6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THIS GUARANTEE </w:t>
      </w:r>
      <w:r>
        <w:rPr>
          <w:rFonts w:ascii="Arial" w:cs="Arial" w:eastAsia="Arial" w:hAnsi="Arial"/>
          <w:sz w:val="18"/>
          <w:szCs w:val="18"/>
          <w:color w:val="auto"/>
        </w:rPr>
        <w:t>has been entered into on the date stated at the beginning of this Guarantee.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311" w:name="page312"/>
    <w:bookmarkEnd w:id="3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COMPLIANCE CERTIFICATE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ING Bank N.V., London Branch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London Wall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EC2M 5TQ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England</w:t>
      </w:r>
    </w:p>
    <w:p>
      <w:pPr>
        <w:spacing w:after="0" w:line="211" w:lineRule="exact"/>
        <w:rPr>
          <w:sz w:val="20"/>
          <w:szCs w:val="20"/>
          <w:color w:val="auto"/>
        </w:rPr>
      </w:pPr>
    </w:p>
    <w:p>
      <w:pPr>
        <w:ind w:left="10480"/>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131" w:lineRule="exact"/>
        <w:rPr>
          <w:sz w:val="20"/>
          <w:szCs w:val="20"/>
          <w:color w:val="auto"/>
        </w:rPr>
      </w:pPr>
    </w:p>
    <w:p>
      <w:pPr>
        <w:ind w:left="460" w:right="40" w:hanging="452"/>
        <w:spacing w:after="0" w:line="312" w:lineRule="auto"/>
        <w:tabs>
          <w:tab w:leader="none" w:pos="46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 loan agreement dated [●] 2015 made between (i) Filonikis Product Carrier S.A., Helios Product Carrier S.A., Hercules Product S.A., Iason Product Carrier S.A. and Archon Product Carrier S.A. as joint and several borrowers, (ii) the banks and financial institutions listed therein as lenders (together, the “</w:t>
      </w:r>
      <w:r>
        <w:rPr>
          <w:rFonts w:ascii="Arial" w:cs="Arial" w:eastAsia="Arial" w:hAnsi="Arial"/>
          <w:sz w:val="16"/>
          <w:szCs w:val="16"/>
          <w:b w:val="1"/>
          <w:bCs w:val="1"/>
          <w:color w:val="auto"/>
        </w:rPr>
        <w:t>Lenders</w:t>
      </w:r>
      <w:r>
        <w:rPr>
          <w:rFonts w:ascii="Arial" w:cs="Arial" w:eastAsia="Arial" w:hAnsi="Arial"/>
          <w:sz w:val="16"/>
          <w:szCs w:val="16"/>
          <w:color w:val="auto"/>
        </w:rPr>
        <w:t>”), (iii) ING Bank N.V., London Branch as agent, (iv) ING Bank N.V. as swap bank and (v) the Security Trustee; and</w:t>
      </w:r>
    </w:p>
    <w:p>
      <w:pPr>
        <w:spacing w:after="0" w:line="48" w:lineRule="exact"/>
        <w:rPr>
          <w:rFonts w:ascii="Arial" w:cs="Arial" w:eastAsia="Arial" w:hAnsi="Arial"/>
          <w:sz w:val="16"/>
          <w:szCs w:val="16"/>
          <w:color w:val="auto"/>
        </w:rPr>
      </w:pPr>
    </w:p>
    <w:p>
      <w:pPr>
        <w:ind w:left="460" w:hanging="452"/>
        <w:spacing w:after="0"/>
        <w:tabs>
          <w:tab w:leader="none" w:pos="4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 guarantee dated [●] 2015 (the “</w:t>
      </w:r>
      <w:r>
        <w:rPr>
          <w:rFonts w:ascii="Arial" w:cs="Arial" w:eastAsia="Arial" w:hAnsi="Arial"/>
          <w:sz w:val="18"/>
          <w:szCs w:val="18"/>
          <w:b w:val="1"/>
          <w:bCs w:val="1"/>
          <w:color w:val="auto"/>
        </w:rPr>
        <w:t>Guarantee</w:t>
      </w:r>
      <w:r>
        <w:rPr>
          <w:rFonts w:ascii="Arial" w:cs="Arial" w:eastAsia="Arial" w:hAnsi="Arial"/>
          <w:sz w:val="18"/>
          <w:szCs w:val="18"/>
          <w:color w:val="auto"/>
        </w:rPr>
        <w:t>”) made between (1) ourselves as guarantor and (2) yourselves as security trustee.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Words and expressions defined in the Loan Agreement and the Guarantee shall have the same meaning when used in this compliance certificate.</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enclose with this certificate a copy of the [unaudited consolidated accounts for the Group for the 6-month period ended [●]]/[the audited consolidated annual accounts of the Group for the year ended [●]]. The accounts (i) have been prepared in accordance with all applicable laws and US GAAP consistently applied, (ii) give a true and fair view of the state of affairs of the Relevant Borrowers (as such term is defined in the Guarantee), ourselves and the Group at the date of the accounts and of its profit for the period to which the accounts relate and (iii) fully disclose or provide for all significant liabilities of the Relevant Borrowers, ourselves and the Group.</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Guarantor represents that no Event of Default or Potential Event of Default has occurred or is continuing as at the date of this certificate [except for the following matter or event [</w:t>
      </w:r>
      <w:r>
        <w:rPr>
          <w:rFonts w:ascii="Arial" w:cs="Arial" w:eastAsia="Arial" w:hAnsi="Arial"/>
          <w:sz w:val="17"/>
          <w:szCs w:val="17"/>
          <w:i w:val="1"/>
          <w:iCs w:val="1"/>
          <w:color w:val="auto"/>
        </w:rPr>
        <w:t>set out all material details of matter or event</w:t>
      </w:r>
      <w:r>
        <w:rPr>
          <w:rFonts w:ascii="Arial" w:cs="Arial" w:eastAsia="Arial" w:hAnsi="Arial"/>
          <w:sz w:val="17"/>
          <w:szCs w:val="17"/>
          <w:color w:val="auto"/>
        </w:rPr>
        <w:t>]]. In addition as of [●], the Guarantor confirms compliance with the financial covenants set out in clause 12.3 of the Guarantee for the 6 months ending as at the date to which the enclosed accounts are prepared.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now certify that, as at [●]:</w:t>
      </w:r>
    </w:p>
    <w:p>
      <w:pPr>
        <w:spacing w:after="0" w:line="131" w:lineRule="exact"/>
        <w:rPr>
          <w:sz w:val="20"/>
          <w:szCs w:val="20"/>
          <w:color w:val="auto"/>
        </w:rPr>
      </w:pPr>
    </w:p>
    <w:p>
      <w:pPr>
        <w:ind w:left="460" w:hanging="452"/>
        <w:spacing w:after="0"/>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Leverage Ratio is [●] per cent.;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ratio of EBITDA to Net Interest Expense is [●]:1; and</w:t>
      </w:r>
    </w:p>
    <w:p>
      <w:pPr>
        <w:spacing w:after="0" w:line="130" w:lineRule="exact"/>
        <w:rPr>
          <w:rFonts w:ascii="Arial" w:cs="Arial" w:eastAsia="Arial" w:hAnsi="Arial"/>
          <w:sz w:val="18"/>
          <w:szCs w:val="18"/>
          <w:color w:val="auto"/>
        </w:rPr>
      </w:pPr>
    </w:p>
    <w:p>
      <w:pPr>
        <w:ind w:left="5620" w:right="3900" w:hanging="5612"/>
        <w:spacing w:after="0" w:line="449" w:lineRule="auto"/>
        <w:tabs>
          <w:tab w:leader="none" w:pos="45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Liquid Assets of the Group are [●] and therefore not less than $500,000 per Fleet Vessel; and 21</w:t>
      </w:r>
    </w:p>
    <w:p>
      <w:pPr>
        <w:sectPr>
          <w:pgSz w:w="11900" w:h="16838" w:orient="portrait"/>
          <w:cols w:equalWidth="0" w:num="1">
            <w:col w:w="11320"/>
          </w:cols>
          <w:pgMar w:left="240" w:top="270" w:right="33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Certificate shall be governed by, and construed in accordance with,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987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273" w:right="1440" w:bottom="1440" w:gutter="0" w:footer="0" w:header="0"/>
        </w:sectPr>
      </w:pPr>
    </w:p>
    <w:bookmarkStart w:id="313" w:name="page314"/>
    <w:bookmarkEnd w:id="313"/>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20"/>
                <w:szCs w:val="20"/>
                <w:color w:val="auto"/>
              </w:rPr>
            </w:pPr>
          </w:p>
        </w:tc>
      </w:tr>
      <w:tr>
        <w:trPr>
          <w:trHeight w:val="419"/>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SIGNED </w:t>
            </w:r>
            <w:r>
              <w:rPr>
                <w:rFonts w:ascii="Arial" w:cs="Arial" w:eastAsia="Arial" w:hAnsi="Arial"/>
                <w:sz w:val="18"/>
                <w:szCs w:val="18"/>
                <w:color w:val="auto"/>
                <w:w w:val="97"/>
              </w:rPr>
              <w:t>by /s/Valasia Gkigkilini</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250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CAPITAL PRODUCT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PARTNERS L.P.</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8"/>
          <w:szCs w:val="18"/>
          <w:u w:val="single" w:color="auto"/>
          <w:color w:val="auto"/>
        </w:rPr>
        <w:t>/s/ Daphne Elektra A. Stamatopoulos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TRUSTEE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 Aikaterina Dimitriou</w:t>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ING BANK N.V.,</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LONDON BRANCH</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in the presence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Daphne Elektra A. Stamatopoulos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270" w:right="1440"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4.31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1st day of March 2016</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2160" w:right="200" w:hanging="680"/>
        <w:spacing w:after="0" w:line="277" w:lineRule="auto"/>
        <w:tabs>
          <w:tab w:leader="none" w:pos="21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CLP wishes to engage CSM to provide such commercial and technical management services to CLP on the terms set out herein.</w:t>
      </w:r>
    </w:p>
    <w:p>
      <w:pPr>
        <w:spacing w:after="0" w:line="248" w:lineRule="exact"/>
        <w:rPr>
          <w:sz w:val="20"/>
          <w:szCs w:val="20"/>
          <w:color w:val="auto"/>
        </w:rPr>
      </w:pPr>
    </w:p>
    <w:p>
      <w:pPr>
        <w:ind w:right="20" w:firstLine="1484"/>
        <w:spacing w:after="0" w:line="286" w:lineRule="auto"/>
        <w:rPr>
          <w:sz w:val="20"/>
          <w:szCs w:val="20"/>
          <w:color w:val="auto"/>
        </w:rPr>
      </w:pPr>
      <w:r>
        <w:rPr>
          <w:rFonts w:ascii="Arial" w:cs="Arial" w:eastAsia="Arial" w:hAnsi="Arial"/>
          <w:sz w:val="17"/>
          <w:szCs w:val="17"/>
          <w:color w:val="auto"/>
        </w:rPr>
        <w:t>NOW THEREFORE, the parties agree that, in consideration of the fees set forth in Schedule “B” to this Agreement (the “</w:t>
      </w:r>
      <w:r>
        <w:rPr>
          <w:rFonts w:ascii="Arial" w:cs="Arial" w:eastAsia="Arial" w:hAnsi="Arial"/>
          <w:sz w:val="17"/>
          <w:szCs w:val="17"/>
          <w:u w:val="single" w:color="auto"/>
          <w:color w:val="auto"/>
        </w:rPr>
        <w:t>Fees</w:t>
      </w:r>
      <w:r>
        <w:rPr>
          <w:rFonts w:ascii="Arial" w:cs="Arial" w:eastAsia="Arial" w:hAnsi="Arial"/>
          <w:sz w:val="17"/>
          <w:szCs w:val="17"/>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Gerasimos Kalogiratos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Chief Executive Officer and Chief Financial Officer of</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 &amp; Legal Representative</w:t>
            </w:r>
          </w:p>
        </w:tc>
      </w:tr>
    </w:tbl>
    <w:p>
      <w:pPr>
        <w:sectPr>
          <w:pgSz w:w="11900" w:h="16838" w:orient="portrait"/>
          <w:cols w:equalWidth="0" w:num="1">
            <w:col w:w="11420"/>
          </w:cols>
          <w:pgMar w:left="240" w:top="121" w:right="2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225" w:lineRule="exact"/>
        <w:rPr>
          <w:sz w:val="20"/>
          <w:szCs w:val="20"/>
          <w:color w:val="auto"/>
        </w:rPr>
      </w:pPr>
    </w:p>
    <w:p>
      <w:pPr>
        <w:jc w:val="both"/>
        <w:ind w:right="200" w:firstLine="1484"/>
        <w:spacing w:after="0" w:line="286" w:lineRule="auto"/>
        <w:rPr>
          <w:sz w:val="20"/>
          <w:szCs w:val="20"/>
          <w:color w:val="auto"/>
        </w:rPr>
      </w:pPr>
      <w:r>
        <w:rPr>
          <w:rFonts w:ascii="Arial" w:cs="Arial" w:eastAsia="Arial" w:hAnsi="Arial"/>
          <w:sz w:val="17"/>
          <w:szCs w:val="17"/>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66"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2160" w:right="740" w:hanging="680"/>
        <w:spacing w:after="0" w:line="308" w:lineRule="auto"/>
        <w:tabs>
          <w:tab w:leader="none" w:pos="216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CLP as an independent contractor, and be responsible to CLP for the due and proper performance of same;</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2160" w:right="140" w:hanging="680"/>
        <w:spacing w:after="0" w:line="264" w:lineRule="auto"/>
        <w:tabs>
          <w:tab w:leader="none" w:pos="21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420"/>
          </w:cols>
          <w:pgMar w:left="240" w:top="269" w:right="239" w:bottom="1440" w:gutter="0" w:footer="0" w:header="0"/>
        </w:sectPr>
      </w:pPr>
    </w:p>
    <w:bookmarkStart w:id="316" w:name="page317"/>
    <w:bookmarkEnd w:id="316"/>
    <w:p>
      <w:pPr>
        <w:ind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right="20" w:firstLine="1484"/>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2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2160" w:right="20" w:hanging="680"/>
        <w:spacing w:after="0" w:line="259" w:lineRule="auto"/>
        <w:tabs>
          <w:tab w:leader="none" w:pos="21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213" w:lineRule="exact"/>
        <w:rPr>
          <w:rFonts w:ascii="Arial" w:cs="Arial" w:eastAsia="Arial" w:hAnsi="Arial"/>
          <w:sz w:val="18"/>
          <w:szCs w:val="18"/>
          <w:color w:val="auto"/>
        </w:rPr>
      </w:pPr>
    </w:p>
    <w:p>
      <w:pPr>
        <w:ind w:left="2160" w:right="120" w:hanging="680"/>
        <w:spacing w:after="0" w:line="293" w:lineRule="auto"/>
        <w:tabs>
          <w:tab w:leader="none" w:pos="21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65" w:lineRule="exact"/>
        <w:rPr>
          <w:sz w:val="20"/>
          <w:szCs w:val="20"/>
          <w:color w:val="auto"/>
        </w:rPr>
      </w:pPr>
    </w:p>
    <w:p>
      <w:pPr>
        <w:jc w:val="both"/>
        <w:ind w:right="40" w:firstLine="1484"/>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27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2160" w:hanging="680"/>
        <w:spacing w:after="0" w:line="277" w:lineRule="auto"/>
        <w:tabs>
          <w:tab w:leader="none" w:pos="21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75" w:lineRule="exact"/>
        <w:rPr>
          <w:rFonts w:ascii="Arial" w:cs="Arial" w:eastAsia="Arial" w:hAnsi="Arial"/>
          <w:sz w:val="18"/>
          <w:szCs w:val="18"/>
          <w:color w:val="auto"/>
        </w:rPr>
      </w:pPr>
    </w:p>
    <w:p>
      <w:pPr>
        <w:ind w:left="2160" w:hanging="680"/>
        <w:spacing w:after="0" w:line="277" w:lineRule="auto"/>
        <w:tabs>
          <w:tab w:leader="none" w:pos="21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60"/>
          </w:cols>
          <w:pgMar w:left="240" w:top="274" w:right="299" w:bottom="1440" w:gutter="0" w:footer="0" w:header="0"/>
        </w:sectPr>
      </w:pPr>
    </w:p>
    <w:bookmarkStart w:id="317" w:name="page318"/>
    <w:bookmarkEnd w:id="317"/>
    <w:p>
      <w:pPr>
        <w:ind w:left="960"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70" w:lineRule="exact"/>
        <w:rPr>
          <w:sz w:val="20"/>
          <w:szCs w:val="20"/>
          <w:color w:val="auto"/>
        </w:rPr>
      </w:pPr>
    </w:p>
    <w:p>
      <w:pPr>
        <w:ind w:left="960" w:right="520" w:hanging="680"/>
        <w:spacing w:after="0" w:line="277" w:lineRule="auto"/>
        <w:tabs>
          <w:tab w:leader="none" w:pos="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960" w:right="40" w:hanging="680"/>
        <w:spacing w:after="0" w:line="290" w:lineRule="auto"/>
        <w:tabs>
          <w:tab w:leader="none" w:pos="96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71" w:lineRule="exact"/>
        <w:rPr>
          <w:rFonts w:ascii="Arial" w:cs="Arial" w:eastAsia="Arial" w:hAnsi="Arial"/>
          <w:sz w:val="16"/>
          <w:szCs w:val="16"/>
          <w:color w:val="auto"/>
        </w:rPr>
      </w:pPr>
    </w:p>
    <w:p>
      <w:pPr>
        <w:ind w:left="960" w:hanging="680"/>
        <w:spacing w:after="0" w:line="297" w:lineRule="auto"/>
        <w:tabs>
          <w:tab w:leader="none" w:pos="96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63" w:lineRule="exact"/>
        <w:rPr>
          <w:rFonts w:ascii="Arial" w:cs="Arial" w:eastAsia="Arial" w:hAnsi="Arial"/>
          <w:sz w:val="16"/>
          <w:szCs w:val="16"/>
          <w:color w:val="auto"/>
        </w:rPr>
      </w:pPr>
    </w:p>
    <w:p>
      <w:pPr>
        <w:ind w:left="960" w:right="100" w:hanging="680"/>
        <w:spacing w:after="0" w:line="257" w:lineRule="auto"/>
        <w:tabs>
          <w:tab w:leader="none" w:pos="9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200"/>
          </w:cols>
          <w:pgMar w:left="1440" w:top="273" w:right="259" w:bottom="1440" w:gutter="0" w:footer="0" w:header="0"/>
        </w:sectPr>
      </w:pPr>
    </w:p>
    <w:bookmarkStart w:id="318" w:name="page319"/>
    <w:bookmarkEnd w:id="318"/>
    <w:p>
      <w:pPr>
        <w:jc w:val="both"/>
        <w:ind w:left="2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ind w:left="2160" w:right="100" w:hanging="680"/>
        <w:spacing w:after="0" w:line="259" w:lineRule="auto"/>
        <w:tabs>
          <w:tab w:leader="none" w:pos="21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r>
        <w:rPr>
          <w:rFonts w:ascii="Arial" w:cs="Arial" w:eastAsia="Arial" w:hAnsi="Arial"/>
          <w:sz w:val="18"/>
          <w:szCs w:val="18"/>
          <w:i w:val="1"/>
          <w:iCs w:val="1"/>
          <w:color w:val="auto"/>
        </w:rPr>
        <w: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740" w:hanging="248"/>
        <w:spacing w:after="0"/>
        <w:tabs>
          <w:tab w:leader="none" w:pos="17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jc w:val="both"/>
        <w:ind w:left="1500" w:right="40" w:hanging="8"/>
        <w:spacing w:after="0" w:line="375" w:lineRule="auto"/>
        <w:tabs>
          <w:tab w:leader="none" w:pos="1725" w:val="left"/>
        </w:tabs>
        <w:numPr>
          <w:ilvl w:val="0"/>
          <w:numId w:val="534"/>
        </w:numPr>
        <w:rPr>
          <w:rFonts w:ascii="Arial" w:cs="Arial" w:eastAsia="Arial" w:hAnsi="Arial"/>
          <w:sz w:val="15"/>
          <w:szCs w:val="15"/>
          <w:color w:val="auto"/>
        </w:rPr>
      </w:pPr>
      <w:r>
        <w:rPr>
          <w:rFonts w:ascii="Arial" w:cs="Arial" w:eastAsia="Arial" w:hAnsi="Arial"/>
          <w:sz w:val="15"/>
          <w:szCs w:val="15"/>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 w:lineRule="exact"/>
        <w:rPr>
          <w:rFonts w:ascii="Arial" w:cs="Arial" w:eastAsia="Arial" w:hAnsi="Arial"/>
          <w:sz w:val="15"/>
          <w:szCs w:val="15"/>
          <w:color w:val="auto"/>
        </w:rPr>
      </w:pPr>
    </w:p>
    <w:p>
      <w:pPr>
        <w:jc w:val="both"/>
        <w:ind w:left="1500" w:right="40" w:hanging="8"/>
        <w:spacing w:after="0" w:line="264" w:lineRule="auto"/>
        <w:tabs>
          <w:tab w:leader="none" w:pos="175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jc w:val="both"/>
        <w:ind w:right="40" w:firstLine="1484"/>
        <w:spacing w:after="0" w:line="259" w:lineRule="auto"/>
        <w:rPr>
          <w:sz w:val="20"/>
          <w:szCs w:val="20"/>
          <w:color w:val="auto"/>
        </w:rPr>
      </w:pPr>
      <w:r>
        <w:rPr>
          <w:rFonts w:ascii="Arial" w:cs="Arial" w:eastAsia="Arial" w:hAnsi="Arial"/>
          <w:sz w:val="18"/>
          <w:szCs w:val="18"/>
          <w:color w:val="auto"/>
        </w:rPr>
        <w:t>The approximate termination date of this Agreement with respect to each of the Vessels is set out in Schedule “D” to this Agreement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4" w:right="259" w:bottom="1440" w:gutter="0" w:footer="0" w:header="0"/>
        </w:sectPr>
      </w:pPr>
    </w:p>
    <w:bookmarkStart w:id="319" w:name="page320"/>
    <w:bookmarkEnd w:id="319"/>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2160" w:right="20" w:hanging="680"/>
        <w:spacing w:after="0" w:line="277" w:lineRule="auto"/>
        <w:tabs>
          <w:tab w:leader="none" w:pos="21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2160" w:right="40" w:hanging="680"/>
        <w:spacing w:after="0" w:line="259" w:lineRule="auto"/>
        <w:tabs>
          <w:tab w:leader="none" w:pos="21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termination of this Agreement shall be without prejudice to all rights accrued due between the parties prior to the date of termination.</w:t>
      </w:r>
    </w:p>
    <w:p>
      <w:pPr>
        <w:spacing w:after="0" w:line="248"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20"/>
          </w:cols>
          <w:pgMar w:left="240" w:top="274" w:right="239" w:bottom="1440" w:gutter="0" w:footer="0" w:header="0"/>
        </w:sectPr>
      </w:pPr>
    </w:p>
    <w:bookmarkStart w:id="320" w:name="page321"/>
    <w:bookmarkEnd w:id="320"/>
    <w:p>
      <w:pPr>
        <w:jc w:val="both"/>
        <w:ind w:right="2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CSM: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Nikolaos Syntichakis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jc w:val="both"/>
        <w:ind w:right="380" w:firstLine="1484"/>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520" w:firstLine="1484"/>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321" w:name="page322"/>
    <w:bookmarkEnd w:id="32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Arial" w:cs="Arial" w:eastAsia="Arial" w:hAnsi="Arial"/>
          <w:sz w:val="18"/>
          <w:szCs w:val="18"/>
          <w:u w:val="single" w:color="auto"/>
          <w:color w:val="auto"/>
        </w:rPr>
        <w:t>Affiliates.</w:t>
      </w:r>
      <w:r>
        <w:rPr>
          <w:rFonts w:ascii="Arial" w:cs="Arial" w:eastAsia="Arial" w:hAnsi="Arial"/>
          <w:sz w:val="18"/>
          <w:szCs w:val="18"/>
          <w:color w:val="auto"/>
        </w:rPr>
        <w:t xml:space="preserve"> This Agreement shall be binding upon and inure to the benefit of the affiliates of CLP and/or CSM.</w:t>
      </w:r>
    </w:p>
    <w:p>
      <w:pPr>
        <w:spacing w:after="0" w:line="225" w:lineRule="exact"/>
        <w:rPr>
          <w:sz w:val="20"/>
          <w:szCs w:val="20"/>
          <w:color w:val="auto"/>
        </w:rPr>
      </w:pPr>
    </w:p>
    <w:p>
      <w:pPr>
        <w:ind w:right="460" w:firstLine="1484"/>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40" w:firstLine="8"/>
        <w:spacing w:after="0" w:line="277" w:lineRule="auto"/>
        <w:tabs>
          <w:tab w:leader="none" w:pos="25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30" w:lineRule="exact"/>
        <w:rPr>
          <w:rFonts w:ascii="Arial" w:cs="Arial" w:eastAsia="Arial" w:hAnsi="Arial"/>
          <w:sz w:val="18"/>
          <w:szCs w:val="18"/>
          <w:color w:val="auto"/>
        </w:rPr>
      </w:pPr>
    </w:p>
    <w:p>
      <w:pPr>
        <w:ind w:left="2160" w:right="160" w:hanging="680"/>
        <w:spacing w:after="0" w:line="264" w:lineRule="auto"/>
        <w:tabs>
          <w:tab w:leader="none" w:pos="216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86" w:lineRule="exact"/>
        <w:rPr>
          <w:rFonts w:ascii="Arial" w:cs="Arial" w:eastAsia="Arial" w:hAnsi="Arial"/>
          <w:sz w:val="18"/>
          <w:szCs w:val="18"/>
          <w:color w:val="auto"/>
        </w:rPr>
      </w:pPr>
    </w:p>
    <w:p>
      <w:pPr>
        <w:ind w:left="2160" w:right="460" w:hanging="680"/>
        <w:spacing w:after="0" w:line="277" w:lineRule="auto"/>
        <w:tabs>
          <w:tab w:leader="none" w:pos="216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75" w:lineRule="exact"/>
        <w:rPr>
          <w:rFonts w:ascii="Arial" w:cs="Arial" w:eastAsia="Arial" w:hAnsi="Arial"/>
          <w:sz w:val="18"/>
          <w:szCs w:val="18"/>
          <w:color w:val="auto"/>
        </w:rPr>
      </w:pPr>
    </w:p>
    <w:p>
      <w:pPr>
        <w:ind w:left="2160" w:right="140" w:hanging="680"/>
        <w:spacing w:after="0" w:line="276" w:lineRule="auto"/>
        <w:tabs>
          <w:tab w:leader="none" w:pos="2160" w:val="left"/>
        </w:tabs>
        <w:numPr>
          <w:ilvl w:val="1"/>
          <w:numId w:val="536"/>
        </w:numPr>
        <w:rPr>
          <w:rFonts w:ascii="Arial" w:cs="Arial" w:eastAsia="Arial" w:hAnsi="Arial"/>
          <w:sz w:val="17"/>
          <w:szCs w:val="17"/>
          <w:color w:val="auto"/>
        </w:rPr>
      </w:pPr>
      <w:r>
        <w:rPr>
          <w:rFonts w:ascii="Arial" w:cs="Arial" w:eastAsia="Arial" w:hAnsi="Arial"/>
          <w:sz w:val="17"/>
          <w:szCs w:val="17"/>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77" w:lineRule="exact"/>
        <w:rPr>
          <w:rFonts w:ascii="Arial" w:cs="Arial" w:eastAsia="Arial" w:hAnsi="Arial"/>
          <w:sz w:val="17"/>
          <w:szCs w:val="17"/>
          <w:color w:val="auto"/>
        </w:rPr>
      </w:pPr>
    </w:p>
    <w:p>
      <w:pPr>
        <w:ind w:left="2160" w:right="160" w:hanging="680"/>
        <w:spacing w:after="0" w:line="342" w:lineRule="auto"/>
        <w:tabs>
          <w:tab w:leader="none" w:pos="2160" w:val="left"/>
        </w:tabs>
        <w:numPr>
          <w:ilvl w:val="1"/>
          <w:numId w:val="536"/>
        </w:numPr>
        <w:rPr>
          <w:rFonts w:ascii="Arial" w:cs="Arial" w:eastAsia="Arial" w:hAnsi="Arial"/>
          <w:sz w:val="16"/>
          <w:szCs w:val="16"/>
          <w:color w:val="auto"/>
        </w:rPr>
      </w:pPr>
      <w:r>
        <w:rPr>
          <w:rFonts w:ascii="Arial" w:cs="Arial" w:eastAsia="Arial" w:hAnsi="Arial"/>
          <w:sz w:val="16"/>
          <w:szCs w:val="16"/>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29" w:lineRule="exact"/>
        <w:rPr>
          <w:rFonts w:ascii="Arial" w:cs="Arial" w:eastAsia="Arial" w:hAnsi="Arial"/>
          <w:sz w:val="16"/>
          <w:szCs w:val="16"/>
          <w:color w:val="auto"/>
        </w:rPr>
      </w:pPr>
    </w:p>
    <w:p>
      <w:pPr>
        <w:ind w:left="2160" w:right="140" w:hanging="680"/>
        <w:spacing w:after="0" w:line="276" w:lineRule="auto"/>
        <w:tabs>
          <w:tab w:leader="none" w:pos="2160" w:val="left"/>
        </w:tabs>
        <w:numPr>
          <w:ilvl w:val="1"/>
          <w:numId w:val="536"/>
        </w:numPr>
        <w:rPr>
          <w:rFonts w:ascii="Arial" w:cs="Arial" w:eastAsia="Arial" w:hAnsi="Arial"/>
          <w:sz w:val="17"/>
          <w:szCs w:val="17"/>
          <w:color w:val="auto"/>
        </w:rPr>
      </w:pPr>
      <w:r>
        <w:rPr>
          <w:rFonts w:ascii="Arial" w:cs="Arial" w:eastAsia="Arial" w:hAnsi="Arial"/>
          <w:sz w:val="17"/>
          <w:szCs w:val="17"/>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00"/>
          </w:cols>
          <w:pgMar w:left="240" w:top="274" w:right="259" w:bottom="1440" w:gutter="0" w:footer="0" w:header="0"/>
        </w:sectPr>
      </w:pPr>
    </w:p>
    <w:bookmarkStart w:id="322" w:name="page323"/>
    <w:bookmarkEnd w:id="322"/>
    <w:p>
      <w:pPr>
        <w:ind w:left="2152" w:right="80" w:hanging="680"/>
        <w:spacing w:after="0" w:line="312" w:lineRule="auto"/>
        <w:tabs>
          <w:tab w:leader="none" w:pos="2152" w:val="left"/>
        </w:tabs>
        <w:numPr>
          <w:ilvl w:val="0"/>
          <w:numId w:val="5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52" w:lineRule="exact"/>
        <w:rPr>
          <w:rFonts w:ascii="Arial" w:cs="Arial" w:eastAsia="Arial" w:hAnsi="Arial"/>
          <w:sz w:val="16"/>
          <w:szCs w:val="16"/>
          <w:color w:val="auto"/>
        </w:rPr>
      </w:pPr>
    </w:p>
    <w:p>
      <w:pPr>
        <w:ind w:left="2152" w:hanging="680"/>
        <w:spacing w:after="0"/>
        <w:tabs>
          <w:tab w:leader="none" w:pos="2152" w:val="left"/>
        </w:tabs>
        <w:numPr>
          <w:ilvl w:val="0"/>
          <w:numId w:val="537"/>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ind w:left="1492" w:right="100"/>
        <w:spacing w:after="0" w:line="286" w:lineRule="auto"/>
        <w:rPr>
          <w:sz w:val="20"/>
          <w:szCs w:val="20"/>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66" w:lineRule="exact"/>
        <w:rPr>
          <w:sz w:val="20"/>
          <w:szCs w:val="20"/>
          <w:color w:val="auto"/>
        </w:rPr>
      </w:pPr>
    </w:p>
    <w:p>
      <w:pPr>
        <w:ind w:left="252" w:hanging="252"/>
        <w:spacing w:after="0"/>
        <w:tabs>
          <w:tab w:leader="none" w:pos="25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ectPr>
          <w:pgSz w:w="11900" w:h="16838" w:orient="portrait"/>
          <w:cols w:equalWidth="0" w:num="1">
            <w:col w:w="11372"/>
          </w:cols>
          <w:pgMar w:left="248" w:top="273" w:right="279" w:bottom="1440" w:gutter="0" w:footer="0" w:header="0"/>
        </w:sectPr>
      </w:pPr>
    </w:p>
    <w:bookmarkStart w:id="323" w:name="page324"/>
    <w:bookmarkEnd w:id="323"/>
    <w:p>
      <w:pPr>
        <w:ind w:left="332" w:hanging="332"/>
        <w:spacing w:after="0"/>
        <w:tabs>
          <w:tab w:leader="none" w:pos="332" w:val="left"/>
        </w:tabs>
        <w:numPr>
          <w:ilvl w:val="0"/>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220" w:firstLine="8"/>
        <w:spacing w:after="0" w:line="308" w:lineRule="auto"/>
        <w:tabs>
          <w:tab w:leader="none" w:pos="337"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46" w:lineRule="exact"/>
        <w:rPr>
          <w:rFonts w:ascii="Arial" w:cs="Arial" w:eastAsia="Arial" w:hAnsi="Arial"/>
          <w:sz w:val="17"/>
          <w:szCs w:val="17"/>
          <w:color w:val="auto"/>
        </w:rPr>
      </w:pPr>
    </w:p>
    <w:p>
      <w:pPr>
        <w:ind w:left="-8" w:right="460" w:firstLine="8"/>
        <w:spacing w:after="0" w:line="264" w:lineRule="auto"/>
        <w:tabs>
          <w:tab w:leader="none" w:pos="337"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539"/>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2152" w:right="200" w:hanging="680"/>
        <w:spacing w:after="0" w:line="279" w:lineRule="auto"/>
        <w:tabs>
          <w:tab w:leader="none" w:pos="2152" w:val="left"/>
        </w:tabs>
        <w:numPr>
          <w:ilvl w:val="1"/>
          <w:numId w:val="539"/>
        </w:numPr>
        <w:rPr>
          <w:rFonts w:ascii="Arial" w:cs="Arial" w:eastAsia="Arial" w:hAnsi="Arial"/>
          <w:sz w:val="17"/>
          <w:szCs w:val="17"/>
          <w:color w:val="auto"/>
        </w:rPr>
      </w:pPr>
      <w:r>
        <w:rPr>
          <w:rFonts w:ascii="Arial" w:cs="Arial" w:eastAsia="Arial" w:hAnsi="Arial"/>
          <w:sz w:val="17"/>
          <w:szCs w:val="17"/>
          <w:color w:val="auto"/>
        </w:rPr>
        <w:t>arranging for the procurement and enlistment for each Vessel, as required by applicable law, of competent, reliable and duly licensed personnel (hereinafter referred to as “</w:t>
      </w:r>
      <w:r>
        <w:rPr>
          <w:rFonts w:ascii="Arial" w:cs="Arial" w:eastAsia="Arial" w:hAnsi="Arial"/>
          <w:sz w:val="17"/>
          <w:szCs w:val="17"/>
          <w:u w:val="single" w:color="auto"/>
          <w:color w:val="auto"/>
        </w:rPr>
        <w:t>crew members</w:t>
      </w:r>
      <w:r>
        <w:rPr>
          <w:rFonts w:ascii="Arial" w:cs="Arial" w:eastAsia="Arial" w:hAnsi="Arial"/>
          <w:sz w:val="17"/>
          <w:szCs w:val="17"/>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76" w:lineRule="exact"/>
        <w:rPr>
          <w:rFonts w:ascii="Arial" w:cs="Arial" w:eastAsia="Arial" w:hAnsi="Arial"/>
          <w:sz w:val="17"/>
          <w:szCs w:val="17"/>
          <w:color w:val="auto"/>
        </w:rPr>
      </w:pPr>
    </w:p>
    <w:p>
      <w:pPr>
        <w:ind w:left="2152" w:right="960" w:hanging="680"/>
        <w:spacing w:after="0" w:line="277" w:lineRule="auto"/>
        <w:tabs>
          <w:tab w:leader="none" w:pos="215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2152" w:right="160" w:hanging="680"/>
        <w:spacing w:after="0" w:line="259" w:lineRule="auto"/>
        <w:tabs>
          <w:tab w:leader="none" w:pos="215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92" w:lineRule="exact"/>
        <w:rPr>
          <w:rFonts w:ascii="Arial" w:cs="Arial" w:eastAsia="Arial" w:hAnsi="Arial"/>
          <w:sz w:val="18"/>
          <w:szCs w:val="18"/>
          <w:color w:val="auto"/>
        </w:rPr>
      </w:pPr>
    </w:p>
    <w:p>
      <w:pPr>
        <w:ind w:left="2152" w:right="140" w:hanging="680"/>
        <w:spacing w:after="0" w:line="277" w:lineRule="auto"/>
        <w:tabs>
          <w:tab w:leader="none" w:pos="215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2152" w:right="20" w:hanging="680"/>
        <w:spacing w:after="0" w:line="264" w:lineRule="auto"/>
        <w:tabs>
          <w:tab w:leader="none" w:pos="215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ectPr>
          <w:pgSz w:w="11900" w:h="16838" w:orient="portrait"/>
          <w:cols w:equalWidth="0" w:num="1">
            <w:col w:w="11412"/>
          </w:cols>
          <w:pgMar w:left="248" w:top="273" w:right="239" w:bottom="1440" w:gutter="0" w:footer="0" w:header="0"/>
        </w:sectPr>
      </w:pPr>
    </w:p>
    <w:bookmarkStart w:id="324" w:name="page325"/>
    <w:bookmarkEnd w:id="324"/>
    <w:p>
      <w:pPr>
        <w:ind w:left="2152" w:right="120" w:hanging="680"/>
        <w:spacing w:after="0" w:line="264" w:lineRule="auto"/>
        <w:tabs>
          <w:tab w:leader="none" w:pos="21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86" w:lineRule="exact"/>
        <w:rPr>
          <w:rFonts w:ascii="Arial" w:cs="Arial" w:eastAsia="Arial" w:hAnsi="Arial"/>
          <w:sz w:val="18"/>
          <w:szCs w:val="18"/>
          <w:color w:val="auto"/>
        </w:rPr>
      </w:pPr>
    </w:p>
    <w:p>
      <w:pPr>
        <w:ind w:left="2152" w:hanging="680"/>
        <w:spacing w:after="0"/>
        <w:tabs>
          <w:tab w:leader="none" w:pos="2152"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owner or charterer; and</w:t>
      </w:r>
    </w:p>
    <w:p>
      <w:pPr>
        <w:spacing w:after="0" w:line="142" w:lineRule="exact"/>
        <w:rPr>
          <w:rFonts w:ascii="Arial" w:cs="Arial" w:eastAsia="Arial" w:hAnsi="Arial"/>
          <w:sz w:val="17"/>
          <w:szCs w:val="17"/>
          <w:color w:val="auto"/>
        </w:rPr>
      </w:pPr>
    </w:p>
    <w:p>
      <w:pPr>
        <w:ind w:left="2152" w:hanging="680"/>
        <w:spacing w:after="0"/>
        <w:tabs>
          <w:tab w:leader="none" w:pos="21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8" w:right="20" w:firstLine="8"/>
        <w:spacing w:after="0" w:line="308" w:lineRule="auto"/>
        <w:tabs>
          <w:tab w:leader="none" w:pos="337" w:val="left"/>
        </w:tabs>
        <w:numPr>
          <w:ilvl w:val="0"/>
          <w:numId w:val="541"/>
        </w:numPr>
        <w:rPr>
          <w:rFonts w:ascii="Arial" w:cs="Arial" w:eastAsia="Arial" w:hAnsi="Arial"/>
          <w:sz w:val="17"/>
          <w:szCs w:val="17"/>
          <w:color w:val="auto"/>
        </w:rPr>
      </w:pPr>
      <w:r>
        <w:rPr>
          <w:rFonts w:ascii="Arial" w:cs="Arial" w:eastAsia="Arial" w:hAnsi="Arial"/>
          <w:sz w:val="17"/>
          <w:szCs w:val="17"/>
          <w:color w:val="auto"/>
        </w:rPr>
        <w:t>Payment of all charges incurred in connection with the management of each Vessel, including, but not limited to, the cost of the items listed in (2) to (16) above, canal tolls, repair charges and port charges, and any amounts due to any governmental agency with respect to the Vessel crews;</w:t>
      </w:r>
    </w:p>
    <w:p>
      <w:pPr>
        <w:spacing w:after="0" w:line="146" w:lineRule="exact"/>
        <w:rPr>
          <w:rFonts w:ascii="Arial" w:cs="Arial" w:eastAsia="Arial" w:hAnsi="Arial"/>
          <w:sz w:val="17"/>
          <w:szCs w:val="17"/>
          <w:color w:val="auto"/>
        </w:rPr>
      </w:pPr>
    </w:p>
    <w:p>
      <w:pPr>
        <w:ind w:left="-8" w:right="580" w:firstLine="8"/>
        <w:spacing w:after="0" w:line="277" w:lineRule="auto"/>
        <w:tabs>
          <w:tab w:leader="none" w:pos="33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541"/>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325" w:name="page326"/>
    <w:bookmarkEnd w:id="325"/>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2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9"/>
              </w:rPr>
              <w:t>SCHEDULE B</w:t>
            </w:r>
          </w:p>
        </w:tc>
      </w:tr>
      <w:tr>
        <w:trPr>
          <w:trHeight w:val="432"/>
        </w:trPr>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20" w:type="dxa"/>
            <w:vAlign w:val="bottom"/>
            <w:gridSpan w:val="3"/>
          </w:tcPr>
          <w:p>
            <w:pPr>
              <w:jc w:val="center"/>
              <w:ind w:right="2140"/>
              <w:spacing w:after="0"/>
              <w:rPr>
                <w:sz w:val="20"/>
                <w:szCs w:val="20"/>
                <w:color w:val="auto"/>
              </w:rPr>
            </w:pPr>
            <w:r>
              <w:rPr>
                <w:rFonts w:ascii="Arial" w:cs="Arial" w:eastAsia="Arial" w:hAnsi="Arial"/>
                <w:sz w:val="18"/>
                <w:szCs w:val="18"/>
                <w:color w:val="auto"/>
                <w:w w:val="89"/>
              </w:rPr>
              <w:t>FEES</w:t>
            </w:r>
          </w:p>
        </w:tc>
      </w:tr>
      <w:tr>
        <w:trPr>
          <w:trHeight w:val="547"/>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Vessel Name</w:t>
            </w:r>
          </w:p>
        </w:tc>
        <w:tc>
          <w:tcPr>
            <w:tcW w:w="5520" w:type="dxa"/>
            <w:vAlign w:val="bottom"/>
            <w:gridSpan w:val="3"/>
          </w:tcPr>
          <w:p>
            <w:pPr>
              <w:ind w:left="4400"/>
              <w:spacing w:after="0"/>
              <w:rPr>
                <w:sz w:val="20"/>
                <w:szCs w:val="20"/>
                <w:color w:val="auto"/>
              </w:rPr>
            </w:pPr>
            <w:r>
              <w:rPr>
                <w:rFonts w:ascii="Arial" w:cs="Arial" w:eastAsia="Arial" w:hAnsi="Arial"/>
                <w:sz w:val="14"/>
                <w:szCs w:val="14"/>
                <w:b w:val="1"/>
                <w:bCs w:val="1"/>
                <w:color w:val="auto"/>
              </w:rPr>
              <w:t xml:space="preserve">Daily Fee in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r>
      <w:tr>
        <w:trPr>
          <w:trHeight w:val="185"/>
        </w:trPr>
        <w:tc>
          <w:tcPr>
            <w:tcW w:w="78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b w:val="1"/>
                <w:bCs w:val="1"/>
                <w:color w:val="auto"/>
              </w:rPr>
              <w:t>Atlantas</w:t>
            </w:r>
          </w:p>
        </w:tc>
        <w:tc>
          <w:tcPr>
            <w:tcW w:w="14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40" w:type="dxa"/>
            <w:vAlign w:val="bottom"/>
            <w:tcBorders>
              <w:top w:val="single" w:sz="8" w:color="auto"/>
            </w:tcBorders>
          </w:tcPr>
          <w:p>
            <w:pPr>
              <w:ind w:left="760"/>
              <w:spacing w:after="0" w:line="185" w:lineRule="exact"/>
              <w:rPr>
                <w:sz w:val="20"/>
                <w:szCs w:val="20"/>
                <w:color w:val="auto"/>
              </w:rPr>
            </w:pPr>
            <w:r>
              <w:rPr>
                <w:rFonts w:ascii="Arial" w:cs="Arial" w:eastAsia="Arial" w:hAnsi="Arial"/>
                <w:sz w:val="18"/>
                <w:szCs w:val="18"/>
                <w:color w:val="auto"/>
                <w:w w:val="70"/>
              </w:rPr>
              <w:t>500*</w:t>
            </w:r>
          </w:p>
        </w:tc>
        <w:tc>
          <w:tcPr>
            <w:tcW w:w="80" w:type="dxa"/>
            <w:vAlign w:val="bottom"/>
          </w:tcPr>
          <w:p>
            <w:pPr>
              <w:spacing w:after="0"/>
              <w:rPr>
                <w:sz w:val="16"/>
                <w:szCs w:val="16"/>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5520" w:type="dxa"/>
            <w:vAlign w:val="bottom"/>
            <w:gridSpan w:val="3"/>
          </w:tcPr>
          <w:p>
            <w:pPr>
              <w:ind w:left="5160"/>
              <w:spacing w:after="0"/>
              <w:rPr>
                <w:sz w:val="20"/>
                <w:szCs w:val="20"/>
                <w:color w:val="auto"/>
              </w:rPr>
            </w:pPr>
            <w:r>
              <w:rPr>
                <w:rFonts w:ascii="Arial" w:cs="Arial" w:eastAsia="Arial" w:hAnsi="Arial"/>
                <w:sz w:val="18"/>
                <w:szCs w:val="18"/>
                <w:color w:val="auto"/>
                <w:w w:val="91"/>
              </w:rPr>
              <w:t>500*</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Aiolos</w:t>
            </w:r>
          </w:p>
        </w:tc>
        <w:tc>
          <w:tcPr>
            <w:tcW w:w="5520" w:type="dxa"/>
            <w:vAlign w:val="bottom"/>
            <w:gridSpan w:val="3"/>
          </w:tcPr>
          <w:p>
            <w:pPr>
              <w:ind w:left="5160"/>
              <w:spacing w:after="0"/>
              <w:rPr>
                <w:sz w:val="20"/>
                <w:szCs w:val="20"/>
                <w:color w:val="auto"/>
              </w:rPr>
            </w:pPr>
            <w:r>
              <w:rPr>
                <w:rFonts w:ascii="Arial" w:cs="Arial" w:eastAsia="Arial" w:hAnsi="Arial"/>
                <w:sz w:val="18"/>
                <w:szCs w:val="18"/>
                <w:color w:val="auto"/>
                <w:w w:val="91"/>
              </w:rPr>
              <w:t>500*</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5440" w:type="dxa"/>
            <w:vAlign w:val="bottom"/>
            <w:gridSpan w:val="2"/>
          </w:tcPr>
          <w:p>
            <w:pPr>
              <w:ind w:left="5160"/>
              <w:spacing w:after="0"/>
              <w:rPr>
                <w:sz w:val="20"/>
                <w:szCs w:val="20"/>
                <w:color w:val="auto"/>
              </w:rPr>
            </w:pPr>
            <w:r>
              <w:rPr>
                <w:rFonts w:ascii="Arial" w:cs="Arial" w:eastAsia="Arial" w:hAnsi="Arial"/>
                <w:sz w:val="18"/>
                <w:szCs w:val="18"/>
                <w:color w:val="auto"/>
                <w:w w:val="86"/>
              </w:rPr>
              <w:t>250</w:t>
            </w:r>
          </w:p>
        </w:tc>
        <w:tc>
          <w:tcPr>
            <w:tcW w:w="80" w:type="dxa"/>
            <w:vAlign w:val="bottom"/>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Aristotelis II</w:t>
            </w:r>
          </w:p>
        </w:tc>
        <w:tc>
          <w:tcPr>
            <w:tcW w:w="5440" w:type="dxa"/>
            <w:vAlign w:val="bottom"/>
            <w:gridSpan w:val="2"/>
          </w:tcPr>
          <w:p>
            <w:pPr>
              <w:ind w:left="5160"/>
              <w:spacing w:after="0"/>
              <w:rPr>
                <w:sz w:val="20"/>
                <w:szCs w:val="20"/>
                <w:color w:val="auto"/>
              </w:rPr>
            </w:pPr>
            <w:r>
              <w:rPr>
                <w:rFonts w:ascii="Arial" w:cs="Arial" w:eastAsia="Arial" w:hAnsi="Arial"/>
                <w:sz w:val="18"/>
                <w:szCs w:val="18"/>
                <w:color w:val="auto"/>
                <w:w w:val="86"/>
              </w:rPr>
              <w:t>250</w:t>
            </w:r>
          </w:p>
        </w:tc>
        <w:tc>
          <w:tcPr>
            <w:tcW w:w="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5440" w:type="dxa"/>
            <w:vAlign w:val="bottom"/>
            <w:gridSpan w:val="2"/>
          </w:tcPr>
          <w:p>
            <w:pPr>
              <w:ind w:left="5160"/>
              <w:spacing w:after="0"/>
              <w:rPr>
                <w:sz w:val="20"/>
                <w:szCs w:val="20"/>
                <w:color w:val="auto"/>
              </w:rPr>
            </w:pPr>
            <w:r>
              <w:rPr>
                <w:rFonts w:ascii="Arial" w:cs="Arial" w:eastAsia="Arial" w:hAnsi="Arial"/>
                <w:sz w:val="18"/>
                <w:szCs w:val="18"/>
                <w:color w:val="auto"/>
                <w:w w:val="86"/>
              </w:rPr>
              <w:t>250</w:t>
            </w:r>
          </w:p>
        </w:tc>
        <w:tc>
          <w:tcPr>
            <w:tcW w:w="80" w:type="dxa"/>
            <w:vAlign w:val="bottom"/>
          </w:tcPr>
          <w:p>
            <w:pPr>
              <w:spacing w:after="0"/>
              <w:rPr>
                <w:sz w:val="20"/>
                <w:szCs w:val="20"/>
                <w:color w:val="auto"/>
              </w:rPr>
            </w:pPr>
          </w:p>
        </w:tc>
      </w:tr>
    </w:tbl>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12" w:hanging="212"/>
        <w:spacing w:after="0"/>
        <w:tabs>
          <w:tab w:leader="none" w:pos="212"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326" w:name="page327"/>
    <w:bookmarkEnd w:id="32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543"/>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70" w:right="299" w:bottom="1440" w:gutter="0" w:footer="0" w:header="0"/>
        </w:sectPr>
      </w:pPr>
    </w:p>
    <w:bookmarkStart w:id="327" w:name="page328"/>
    <w:bookmarkEnd w:id="327"/>
    <w:p>
      <w:pPr>
        <w:ind w:left="-8" w:right="120" w:firstLine="8"/>
        <w:spacing w:after="0" w:line="277" w:lineRule="auto"/>
        <w:tabs>
          <w:tab w:leader="none" w:pos="247" w:val="left"/>
        </w:tabs>
        <w:numPr>
          <w:ilvl w:val="0"/>
          <w:numId w:val="5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3" w:right="679" w:bottom="1440" w:gutter="0" w:footer="0" w:header="0"/>
        </w:sectPr>
      </w:pPr>
    </w:p>
    <w:bookmarkStart w:id="328" w:name="page329"/>
    <w:bookmarkEnd w:id="328"/>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0" w:type="dxa"/>
            <w:vAlign w:val="bottom"/>
            <w:gridSpan w:val="2"/>
          </w:tcPr>
          <w:p>
            <w:pPr>
              <w:ind w:left="1340"/>
              <w:spacing w:after="0"/>
              <w:rPr>
                <w:sz w:val="20"/>
                <w:szCs w:val="20"/>
                <w:color w:val="auto"/>
              </w:rPr>
            </w:pPr>
            <w:r>
              <w:rPr>
                <w:rFonts w:ascii="Arial" w:cs="Arial" w:eastAsia="Arial" w:hAnsi="Arial"/>
                <w:sz w:val="18"/>
                <w:szCs w:val="18"/>
                <w:b w:val="1"/>
                <w:bCs w:val="1"/>
                <w:color w:val="auto"/>
              </w:rPr>
              <w:t>SCHEDULE D</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0" w:type="dxa"/>
            <w:vAlign w:val="bottom"/>
            <w:gridSpan w:val="2"/>
          </w:tcPr>
          <w:p>
            <w:pPr>
              <w:ind w:left="900"/>
              <w:spacing w:after="0"/>
              <w:rPr>
                <w:sz w:val="20"/>
                <w:szCs w:val="20"/>
                <w:color w:val="auto"/>
              </w:rPr>
            </w:pPr>
            <w:r>
              <w:rPr>
                <w:rFonts w:ascii="Arial" w:cs="Arial" w:eastAsia="Arial" w:hAnsi="Arial"/>
                <w:sz w:val="18"/>
                <w:szCs w:val="18"/>
                <w:color w:val="auto"/>
              </w:rPr>
              <w:t>DATE OF TERMINATION</w:t>
            </w:r>
          </w:p>
        </w:tc>
        <w:tc>
          <w:tcPr>
            <w:tcW w:w="0" w:type="dxa"/>
            <w:vAlign w:val="bottom"/>
          </w:tcPr>
          <w:p>
            <w:pPr>
              <w:spacing w:after="0"/>
              <w:rPr>
                <w:sz w:val="1"/>
                <w:szCs w:val="1"/>
                <w:color w:val="auto"/>
              </w:rPr>
            </w:pPr>
          </w:p>
        </w:tc>
      </w:tr>
      <w:tr>
        <w:trPr>
          <w:trHeight w:val="36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3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91"/>
        </w:trPr>
        <w:tc>
          <w:tcPr>
            <w:tcW w:w="1960" w:type="dxa"/>
            <w:vAlign w:val="bottom"/>
            <w:gridSpan w:val="2"/>
            <w:vMerge w:val="continue"/>
          </w:tcPr>
          <w:p>
            <w:pPr>
              <w:spacing w:after="0"/>
              <w:rPr>
                <w:sz w:val="16"/>
                <w:szCs w:val="16"/>
                <w:color w:val="auto"/>
              </w:rPr>
            </w:pPr>
          </w:p>
        </w:tc>
        <w:tc>
          <w:tcPr>
            <w:tcW w:w="31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5"/>
        </w:trPr>
        <w:tc>
          <w:tcPr>
            <w:tcW w:w="78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b w:val="1"/>
                <w:bCs w:val="1"/>
                <w:color w:val="auto"/>
              </w:rPr>
              <w:t>Atlantas</w:t>
            </w:r>
          </w:p>
        </w:tc>
        <w:tc>
          <w:tcPr>
            <w:tcW w:w="11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70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November 2016*</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Aktoras</w:t>
            </w:r>
          </w:p>
        </w:tc>
        <w:tc>
          <w:tcPr>
            <w:tcW w:w="5800" w:type="dxa"/>
            <w:vAlign w:val="bottom"/>
            <w:gridSpan w:val="2"/>
          </w:tcPr>
          <w:p>
            <w:pPr>
              <w:ind w:left="3080"/>
              <w:spacing w:after="0"/>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5800" w:type="dxa"/>
            <w:vAlign w:val="bottom"/>
            <w:gridSpan w:val="2"/>
          </w:tcPr>
          <w:p>
            <w:pPr>
              <w:ind w:left="3080"/>
              <w:spacing w:after="0"/>
              <w:rPr>
                <w:sz w:val="20"/>
                <w:szCs w:val="20"/>
                <w:color w:val="auto"/>
              </w:rPr>
            </w:pPr>
            <w:r>
              <w:rPr>
                <w:rFonts w:ascii="Arial" w:cs="Arial" w:eastAsia="Arial" w:hAnsi="Arial"/>
                <w:sz w:val="18"/>
                <w:szCs w:val="18"/>
                <w:color w:val="auto"/>
              </w:rPr>
              <w:t>December 2017-March 2018</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Aristotelis II</w:t>
            </w:r>
          </w:p>
        </w:tc>
        <w:tc>
          <w:tcPr>
            <w:tcW w:w="5800" w:type="dxa"/>
            <w:vAlign w:val="bottom"/>
            <w:gridSpan w:val="2"/>
          </w:tcPr>
          <w:p>
            <w:pPr>
              <w:ind w:left="3080"/>
              <w:spacing w:after="0"/>
              <w:rPr>
                <w:sz w:val="20"/>
                <w:szCs w:val="20"/>
                <w:color w:val="auto"/>
              </w:rPr>
            </w:pPr>
            <w:r>
              <w:rPr>
                <w:rFonts w:ascii="Arial" w:cs="Arial" w:eastAsia="Arial" w:hAnsi="Arial"/>
                <w:sz w:val="18"/>
                <w:szCs w:val="18"/>
                <w:color w:val="auto"/>
              </w:rPr>
              <w:t>March-June 2018</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Aris II</w:t>
            </w:r>
          </w:p>
        </w:tc>
        <w:tc>
          <w:tcPr>
            <w:tcW w:w="5800" w:type="dxa"/>
            <w:vAlign w:val="bottom"/>
            <w:gridSpan w:val="2"/>
          </w:tcPr>
          <w:p>
            <w:pPr>
              <w:ind w:left="3080"/>
              <w:spacing w:after="0"/>
              <w:rPr>
                <w:sz w:val="20"/>
                <w:szCs w:val="20"/>
                <w:color w:val="auto"/>
              </w:rPr>
            </w:pPr>
            <w:r>
              <w:rPr>
                <w:rFonts w:ascii="Arial" w:cs="Arial" w:eastAsia="Arial" w:hAnsi="Arial"/>
                <w:sz w:val="18"/>
                <w:szCs w:val="18"/>
                <w:color w:val="auto"/>
              </w:rPr>
              <w:t>May-August 2018</w:t>
            </w: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Aiolos</w:t>
            </w:r>
          </w:p>
        </w:tc>
        <w:tc>
          <w:tcPr>
            <w:tcW w:w="5800" w:type="dxa"/>
            <w:vAlign w:val="bottom"/>
            <w:gridSpan w:val="2"/>
          </w:tcPr>
          <w:p>
            <w:pPr>
              <w:ind w:left="308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12" w:hanging="212"/>
        <w:spacing w:after="0"/>
        <w:tabs>
          <w:tab w:leader="none" w:pos="212"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69" w:right="1440"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4.32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This Amended and Restated Management Agreement dated as of </w:t>
      </w:r>
      <w:r>
        <w:rPr>
          <w:rFonts w:ascii="Arial" w:cs="Arial" w:eastAsia="Arial" w:hAnsi="Arial"/>
          <w:sz w:val="18"/>
          <w:szCs w:val="18"/>
          <w:u w:val="single" w:color="auto"/>
          <w:color w:val="auto"/>
        </w:rPr>
        <w:t>the 28th day of September 2016</w:t>
      </w:r>
      <w:r>
        <w:rPr>
          <w:rFonts w:ascii="Arial" w:cs="Arial" w:eastAsia="Arial" w:hAnsi="Arial"/>
          <w:sz w:val="18"/>
          <w:szCs w:val="18"/>
          <w:color w:val="auto"/>
        </w:rPr>
        <w:t>, is entered into by and between CAPITAL PRODUCT PARTNERS L.P., a limited partnership duly organized and existing under the laws of the Marshall Islands with its registered office at 3 Iassonos Street, Piraeus, 18537, Greece,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5"/>
          <w:szCs w:val="15"/>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 and amends and restates in its entirety the Management Agreement by and between CLP and CSM dated April 3, 2007, as amended.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2160" w:right="200" w:hanging="680"/>
        <w:spacing w:after="0" w:line="277" w:lineRule="auto"/>
        <w:tabs>
          <w:tab w:leader="none" w:pos="21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CLP, a limited partnership whose units trade on the Nasdaq Global Market, owns vessels and requires certain commercial and technical management services for the operation of its fleet;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CLP wishes to engage CSM to provide such commercial and technical management services to CLP on the terms set out herein.</w:t>
      </w:r>
    </w:p>
    <w:p>
      <w:pPr>
        <w:spacing w:after="0" w:line="248" w:lineRule="exact"/>
        <w:rPr>
          <w:sz w:val="20"/>
          <w:szCs w:val="20"/>
          <w:color w:val="auto"/>
        </w:rPr>
      </w:pPr>
    </w:p>
    <w:p>
      <w:pPr>
        <w:ind w:right="20" w:firstLine="1484"/>
        <w:spacing w:after="0" w:line="286" w:lineRule="auto"/>
        <w:rPr>
          <w:sz w:val="20"/>
          <w:szCs w:val="20"/>
          <w:color w:val="auto"/>
        </w:rPr>
      </w:pPr>
      <w:r>
        <w:rPr>
          <w:rFonts w:ascii="Arial" w:cs="Arial" w:eastAsia="Arial" w:hAnsi="Arial"/>
          <w:sz w:val="17"/>
          <w:szCs w:val="17"/>
          <w:color w:val="auto"/>
        </w:rPr>
        <w:t>NOW THEREFORE, the parties agree that, in consideration of the fees set forth in Schedule “B” to this Agreement (the “</w:t>
      </w:r>
      <w:r>
        <w:rPr>
          <w:rFonts w:ascii="Arial" w:cs="Arial" w:eastAsia="Arial" w:hAnsi="Arial"/>
          <w:sz w:val="17"/>
          <w:szCs w:val="17"/>
          <w:u w:val="single" w:color="auto"/>
          <w:color w:val="auto"/>
        </w:rPr>
        <w:t>Fees</w:t>
      </w:r>
      <w:r>
        <w:rPr>
          <w:rFonts w:ascii="Arial" w:cs="Arial" w:eastAsia="Arial" w:hAnsi="Arial"/>
          <w:sz w:val="17"/>
          <w:szCs w:val="17"/>
          <w:color w:val="auto"/>
        </w:rPr>
        <w:t>”) and, if applicable, the Extraordinary Fees and Costs set forth in Schedule “C” to this Agreement, and subject to the Terms and Conditions attached hereto, CSM shall provide the commercial and technical management services set forth in Schedule “A” to this Agreement (the “</w:t>
      </w:r>
      <w:r>
        <w:rPr>
          <w:rFonts w:ascii="Arial" w:cs="Arial" w:eastAsia="Arial" w:hAnsi="Arial"/>
          <w:sz w:val="17"/>
          <w:szCs w:val="17"/>
          <w:u w:val="single" w:color="auto"/>
          <w:color w:val="auto"/>
        </w:rPr>
        <w:t>Services</w:t>
      </w:r>
      <w:r>
        <w:rPr>
          <w:rFonts w:ascii="Arial" w:cs="Arial" w:eastAsia="Arial" w:hAnsi="Arial"/>
          <w:sz w:val="17"/>
          <w:szCs w:val="17"/>
          <w:color w:val="auto"/>
        </w:rPr>
        <w: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 date first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 CAPITAL GP L.L.C.,</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Gerasimos Kalogiratos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Chief Executive Officer and Chief Financial Officer of</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Syntychakis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Nikolaos Syntychakis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 &amp; Legal Representative</w:t>
            </w:r>
          </w:p>
        </w:tc>
      </w:tr>
    </w:tbl>
    <w:p>
      <w:pPr>
        <w:sectPr>
          <w:pgSz w:w="11900" w:h="16838" w:orient="portrait"/>
          <w:cols w:equalWidth="0" w:num="1">
            <w:col w:w="11420"/>
          </w:cols>
          <w:pgMar w:left="240" w:top="121" w:right="23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this Agreement, the term:</w:t>
      </w:r>
    </w:p>
    <w:p>
      <w:pPr>
        <w:spacing w:after="0" w:line="117" w:lineRule="exact"/>
        <w:rPr>
          <w:sz w:val="20"/>
          <w:szCs w:val="20"/>
          <w:color w:val="auto"/>
        </w:rPr>
      </w:pPr>
    </w:p>
    <w:p>
      <w:pPr>
        <w:jc w:val="both"/>
        <w:ind w:right="200" w:firstLine="1484"/>
        <w:spacing w:after="0" w:line="286" w:lineRule="auto"/>
        <w:rPr>
          <w:sz w:val="20"/>
          <w:szCs w:val="20"/>
          <w:color w:val="auto"/>
        </w:rPr>
      </w:pPr>
      <w:r>
        <w:rPr>
          <w:rFonts w:ascii="Arial" w:cs="Arial" w:eastAsia="Arial" w:hAnsi="Arial"/>
          <w:sz w:val="17"/>
          <w:szCs w:val="17"/>
          <w:color w:val="auto"/>
        </w:rPr>
        <w:t>“Additional Vessels” means vessels not in the ownership of CLP on the date of this Agreement that CLP may subsequently purchase to be managed by CSM under the Fee structure described herein at the election of CLP. For the purposes of this Agreement, any such Additional Vessels to be managed by CSM under the terms of this Agreement shall also be referred to herein as Vessels.</w:t>
      </w:r>
    </w:p>
    <w:p>
      <w:pPr>
        <w:spacing w:after="0" w:line="166"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group</w:t>
      </w:r>
      <w:r>
        <w:rPr>
          <w:rFonts w:ascii="Arial" w:cs="Arial" w:eastAsia="Arial" w:hAnsi="Arial"/>
          <w:sz w:val="18"/>
          <w:szCs w:val="18"/>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Fees and Costs</w:t>
      </w:r>
      <w:r>
        <w:rPr>
          <w:rFonts w:ascii="Arial" w:cs="Arial" w:eastAsia="Arial" w:hAnsi="Arial"/>
          <w:sz w:val="18"/>
          <w:szCs w:val="18"/>
          <w:color w:val="auto"/>
        </w:rPr>
        <w:t>” means the fees and costs listed in Schedule “C” to this Agreement.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CGP</w:t>
      </w:r>
      <w:r>
        <w:rPr>
          <w:rFonts w:ascii="Arial" w:cs="Arial" w:eastAsia="Arial" w:hAnsi="Arial"/>
          <w:sz w:val="18"/>
          <w:szCs w:val="18"/>
          <w:color w:val="auto"/>
        </w:rPr>
        <w:t>” means Capital GP L.L.C., a Marshall Islands limited liability company that is the general partner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CLP Group</w:t>
      </w:r>
      <w:r>
        <w:rPr>
          <w:rFonts w:ascii="Arial" w:cs="Arial" w:eastAsia="Arial" w:hAnsi="Arial"/>
          <w:sz w:val="18"/>
          <w:szCs w:val="18"/>
          <w:color w:val="auto"/>
        </w:rPr>
        <w:t>” means CLP, CGP and subsidiaries of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means all vessels set out in Schedule “B” to this Agreement as of the date hereof and any Additional Vessels.</w:t>
      </w:r>
    </w:p>
    <w:p>
      <w:pPr>
        <w:spacing w:after="0" w:line="225"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CSM shall provide the Services, in a commercially reasonable manner, as CLP, may from time to time direct, all under the supervision of CLP, as represented by CGP in its capacity as the general partner of CLP. CSM shall perform the Services to be provided hereunder in accordance with customary ship management practice and with the care, diligence and skill that a prudent manager of vessels such as the Vessels would possess and exercise.</w:t>
      </w:r>
    </w:p>
    <w:p>
      <w:pPr>
        <w:spacing w:after="0" w:line="29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During the term of this Agreement CSM shall:</w:t>
      </w:r>
    </w:p>
    <w:p>
      <w:pPr>
        <w:spacing w:after="0" w:line="131" w:lineRule="exact"/>
        <w:rPr>
          <w:sz w:val="20"/>
          <w:szCs w:val="20"/>
          <w:color w:val="auto"/>
        </w:rPr>
      </w:pPr>
    </w:p>
    <w:p>
      <w:pPr>
        <w:ind w:left="2160" w:right="740" w:hanging="680"/>
        <w:spacing w:after="0" w:line="308" w:lineRule="auto"/>
        <w:tabs>
          <w:tab w:leader="none" w:pos="216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CLP as an independent contractor, and be responsible to CLP for the due and proper performance of same;</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retain at all times a qualified staff so as to maintain a level of expertise sufficient to provide the Services; and</w:t>
      </w:r>
    </w:p>
    <w:p>
      <w:pPr>
        <w:spacing w:after="0" w:line="130" w:lineRule="exact"/>
        <w:rPr>
          <w:rFonts w:ascii="Arial" w:cs="Arial" w:eastAsia="Arial" w:hAnsi="Arial"/>
          <w:sz w:val="18"/>
          <w:szCs w:val="18"/>
          <w:color w:val="auto"/>
        </w:rPr>
      </w:pPr>
    </w:p>
    <w:p>
      <w:pPr>
        <w:ind w:left="2160" w:right="140" w:hanging="680"/>
        <w:spacing w:after="0" w:line="264" w:lineRule="auto"/>
        <w:tabs>
          <w:tab w:leader="none" w:pos="21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ectPr>
          <w:pgSz w:w="11900" w:h="16838" w:orient="portrait"/>
          <w:cols w:equalWidth="0" w:num="1">
            <w:col w:w="11420"/>
          </w:cols>
          <w:pgMar w:left="240" w:top="270" w:right="239" w:bottom="1440" w:gutter="0" w:footer="0" w:header="0"/>
        </w:sectPr>
      </w:pPr>
    </w:p>
    <w:bookmarkStart w:id="331" w:name="page332"/>
    <w:bookmarkEnd w:id="331"/>
    <w:p>
      <w:pPr>
        <w:ind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CSM and its employees may provide services of a nature similar to the Services to any other person. There is no obligation for CSM to provide the Services to CLP on an exclusive basis.</w:t>
      </w:r>
    </w:p>
    <w:p>
      <w:pPr>
        <w:spacing w:after="0" w:line="170" w:lineRule="exact"/>
        <w:rPr>
          <w:sz w:val="20"/>
          <w:szCs w:val="20"/>
          <w:color w:val="auto"/>
        </w:rPr>
      </w:pPr>
    </w:p>
    <w:p>
      <w:pPr>
        <w:ind w:right="20" w:firstLine="1484"/>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CSM shall be obligated to keep confidential, both during and after the term of this Agreement, all information it has acquired or developed in the course of providing Services under this Agreement. CLP shall be entitled to any equitable remedy available at law or equity, including specific performance, against a breach by CSM of this obligation. CSM shall not resist such application for relief on the basis that CLP has an adequate remedy at law, and CSM shall waive any requirement for the securing or posting of any bond in connection with such remedy.</w:t>
      </w:r>
    </w:p>
    <w:p>
      <w:pPr>
        <w:spacing w:after="0" w:line="2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Service Fees.</w:t>
      </w:r>
    </w:p>
    <w:p>
      <w:pPr>
        <w:spacing w:after="0" w:line="131" w:lineRule="exact"/>
        <w:rPr>
          <w:sz w:val="20"/>
          <w:szCs w:val="20"/>
          <w:color w:val="auto"/>
        </w:rPr>
      </w:pPr>
    </w:p>
    <w:p>
      <w:pPr>
        <w:ind w:left="2160" w:right="20" w:hanging="680"/>
        <w:spacing w:after="0" w:line="259" w:lineRule="auto"/>
        <w:tabs>
          <w:tab w:leader="none" w:pos="21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In consideration for CSM providing the Services, CLP shall pay:. CSM a fixed daily fee, in the amount set out next to the name of each Vessel in Schedule “B” and, if applicable, the Extraordinary Fees and Costs. Schedule “B” shall be amended and restated from time to time to include the applicable Fees for each Additional Vessel, which Fee shall be negotiated on a vessel-by-vessel basis.</w:t>
      </w:r>
    </w:p>
    <w:p>
      <w:pPr>
        <w:spacing w:after="0" w:line="92" w:lineRule="exact"/>
        <w:rPr>
          <w:rFonts w:ascii="Arial" w:cs="Arial" w:eastAsia="Arial" w:hAnsi="Arial"/>
          <w:sz w:val="18"/>
          <w:szCs w:val="18"/>
          <w:color w:val="auto"/>
        </w:rPr>
      </w:pPr>
    </w:p>
    <w:p>
      <w:pPr>
        <w:ind w:left="2160" w:right="120" w:hanging="680"/>
        <w:spacing w:after="0" w:line="293" w:lineRule="auto"/>
        <w:tabs>
          <w:tab w:leader="none" w:pos="216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Within 30 days after the end of each month, CSM shall submit to CLP for payment an invoice for reimbursement of all Extraordinary Fees and Costs incurred by CSM in connection with the provision of the Services under the Agreement for such month. Each statement will contain such supporting detail as may be reasonably required to validate such amounts due.CLP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CSM.</w:t>
      </w:r>
    </w:p>
    <w:p>
      <w:pPr>
        <w:spacing w:after="0" w:line="165" w:lineRule="exact"/>
        <w:rPr>
          <w:sz w:val="20"/>
          <w:szCs w:val="20"/>
          <w:color w:val="auto"/>
        </w:rPr>
      </w:pPr>
    </w:p>
    <w:p>
      <w:pPr>
        <w:jc w:val="both"/>
        <w:ind w:right="40" w:firstLine="1484"/>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CSM and any one or more of CLP, CGP in its capacity as general partner on behalf of CLP or any member of the CLP Group.</w:t>
      </w:r>
    </w:p>
    <w:p>
      <w:pPr>
        <w:spacing w:after="0" w:line="27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Force Majeure and Indemnity.</w:t>
      </w:r>
    </w:p>
    <w:p>
      <w:pPr>
        <w:spacing w:after="0" w:line="131" w:lineRule="exact"/>
        <w:rPr>
          <w:sz w:val="20"/>
          <w:szCs w:val="20"/>
          <w:color w:val="auto"/>
        </w:rPr>
      </w:pPr>
    </w:p>
    <w:p>
      <w:pPr>
        <w:ind w:left="2160" w:hanging="680"/>
        <w:spacing w:after="0" w:line="277" w:lineRule="auto"/>
        <w:tabs>
          <w:tab w:leader="none" w:pos="21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Neither CLP nor CSM shall be under any liability for any failure to perform any of their obligations hereunder by reason of any cause whatsoever of any nature or kind beyond their reasonable control.</w:t>
      </w:r>
    </w:p>
    <w:p>
      <w:pPr>
        <w:spacing w:after="0" w:line="197" w:lineRule="exact"/>
        <w:rPr>
          <w:rFonts w:ascii="Arial" w:cs="Arial" w:eastAsia="Arial" w:hAnsi="Arial"/>
          <w:sz w:val="18"/>
          <w:szCs w:val="18"/>
          <w:color w:val="auto"/>
        </w:rPr>
      </w:pPr>
    </w:p>
    <w:p>
      <w:pPr>
        <w:ind w:left="2160" w:hanging="680"/>
        <w:spacing w:after="0" w:line="277" w:lineRule="auto"/>
        <w:tabs>
          <w:tab w:leader="none" w:pos="21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CSM shall be under no liability whatsoever to CLP for any loss, damage, delay or expense of whatsoever nature, whether direct or indirect, (including but not limited to loss of profit arising out of or in</w:t>
      </w:r>
    </w:p>
    <w:p>
      <w:pPr>
        <w:sectPr>
          <w:pgSz w:w="11900" w:h="16838" w:orient="portrait"/>
          <w:cols w:equalWidth="0" w:num="1">
            <w:col w:w="11360"/>
          </w:cols>
          <w:pgMar w:left="240" w:top="274" w:right="299" w:bottom="1440" w:gutter="0" w:footer="0" w:header="0"/>
        </w:sectPr>
      </w:pPr>
    </w:p>
    <w:bookmarkStart w:id="332" w:name="page333"/>
    <w:bookmarkEnd w:id="332"/>
    <w:p>
      <w:pPr>
        <w:ind w:left="960"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detention of or delay to the Vessels or Additional Vessels) and howsoever arising in the course of performance of the Services UNLESS and to the extent that such loss, damage, delay or expense is proved to have resulted solely from the fraud, gross negligence or willful misconduct of CSM or their employees in connection with the Vessels, in which case (save where such loss, damage, delay or expense has resulted from CSM’s personal act or omission committed with the intent to cause same or recklessly and with knowledge that such loss, damage, delay or expense would probably result) CSM’s liability for each incident or series of incidents giving rise to a claim or claims shall never exceed a total of US$3,000,000.</w:t>
      </w:r>
    </w:p>
    <w:p>
      <w:pPr>
        <w:spacing w:after="0" w:line="70" w:lineRule="exact"/>
        <w:rPr>
          <w:sz w:val="20"/>
          <w:szCs w:val="20"/>
          <w:color w:val="auto"/>
        </w:rPr>
      </w:pPr>
    </w:p>
    <w:p>
      <w:pPr>
        <w:ind w:left="960" w:right="520" w:hanging="680"/>
        <w:spacing w:after="0" w:line="277" w:lineRule="auto"/>
        <w:tabs>
          <w:tab w:leader="none" w:pos="9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Notwithstanding anything that may appear to the contrary in this Agreement, CSM shall not be responsible for any of the actions of the crew of the Vessels even if such actions are negligent, grossly negligent or willful.</w:t>
      </w:r>
    </w:p>
    <w:p>
      <w:pPr>
        <w:spacing w:after="0" w:line="75" w:lineRule="exact"/>
        <w:rPr>
          <w:rFonts w:ascii="Arial" w:cs="Arial" w:eastAsia="Arial" w:hAnsi="Arial"/>
          <w:sz w:val="18"/>
          <w:szCs w:val="18"/>
          <w:color w:val="auto"/>
        </w:rPr>
      </w:pPr>
    </w:p>
    <w:p>
      <w:pPr>
        <w:ind w:left="960" w:right="40" w:hanging="680"/>
        <w:spacing w:after="0" w:line="290" w:lineRule="auto"/>
        <w:tabs>
          <w:tab w:leader="none" w:pos="96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CLP shall indemnify and hold harmless CSM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CSM or its employees or agents, or (B) any breach of this Agreement by CSM.</w:t>
      </w:r>
    </w:p>
    <w:p>
      <w:pPr>
        <w:spacing w:after="0" w:line="71" w:lineRule="exact"/>
        <w:rPr>
          <w:rFonts w:ascii="Arial" w:cs="Arial" w:eastAsia="Arial" w:hAnsi="Arial"/>
          <w:sz w:val="16"/>
          <w:szCs w:val="16"/>
          <w:color w:val="auto"/>
        </w:rPr>
      </w:pPr>
    </w:p>
    <w:p>
      <w:pPr>
        <w:ind w:left="960" w:hanging="680"/>
        <w:spacing w:after="0" w:line="297" w:lineRule="auto"/>
        <w:tabs>
          <w:tab w:leader="none" w:pos="96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Without prejudice to the general indemnity set out in this Section, CLP hereby undertakes to indemnify CSM, their employees, agents and sub-contractors against all taxes, imposts and duties levied by any government as a result of the operations of CLP or the Vessels, whether or not such taxes, imposts and duties are levied on CLP or CSM. For the avoidance of doubt, such indemnity shall not apply to taxes imposed on amounts paid to CSM as consideration for the performance of Services for CLP. CLP shall pay all taxes, dues or fines imposed on the Vessels or CSM as a result of the operation of the Vessels.</w:t>
      </w:r>
    </w:p>
    <w:p>
      <w:pPr>
        <w:spacing w:after="0" w:line="63" w:lineRule="exact"/>
        <w:rPr>
          <w:rFonts w:ascii="Arial" w:cs="Arial" w:eastAsia="Arial" w:hAnsi="Arial"/>
          <w:sz w:val="16"/>
          <w:szCs w:val="16"/>
          <w:color w:val="auto"/>
        </w:rPr>
      </w:pPr>
    </w:p>
    <w:p>
      <w:pPr>
        <w:ind w:left="960" w:right="100" w:hanging="680"/>
        <w:spacing w:after="0" w:line="257" w:lineRule="auto"/>
        <w:tabs>
          <w:tab w:leader="none" w:pos="9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It is hereby expressly agreed that no employee or agent of CSM (including any sub-contractor from time to time employed by CSM and the employees of such sub-contractors) shall in any circumstances whatsoever be under any liability whatsoever to CLP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w:t>
      </w:r>
    </w:p>
    <w:p>
      <w:pPr>
        <w:sectPr>
          <w:pgSz w:w="11900" w:h="16838" w:orient="portrait"/>
          <w:cols w:equalWidth="0" w:num="1">
            <w:col w:w="10200"/>
          </w:cols>
          <w:pgMar w:left="1440" w:top="273" w:right="259" w:bottom="1440" w:gutter="0" w:footer="0" w:header="0"/>
        </w:sectPr>
      </w:pPr>
    </w:p>
    <w:bookmarkStart w:id="333" w:name="page334"/>
    <w:bookmarkEnd w:id="333"/>
    <w:p>
      <w:pPr>
        <w:jc w:val="both"/>
        <w:ind w:left="2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limitation, condition and liberty herein contained and every right, exemption from liability, defense and immunity of whatsoever nature applicable to CSM or to which CSM are entitled hereunder shall also be available and shall extend to protect every such employee or agent of CSM acting as aforesaid.</w:t>
      </w:r>
    </w:p>
    <w:p>
      <w:pPr>
        <w:spacing w:after="0" w:line="87" w:lineRule="exact"/>
        <w:rPr>
          <w:sz w:val="20"/>
          <w:szCs w:val="20"/>
          <w:color w:val="auto"/>
        </w:rPr>
      </w:pPr>
    </w:p>
    <w:p>
      <w:pPr>
        <w:ind w:left="2160" w:right="100" w:hanging="680"/>
        <w:spacing w:after="0" w:line="259" w:lineRule="auto"/>
        <w:tabs>
          <w:tab w:leader="none" w:pos="216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CLP acknowledges that it is aware that CSM is unable to confirm that the Vessels, their systems, equipment and machinery are free from defects, and agrees that CSM shall not under any circumstances be liable for any losses, costs, claims, liabilities and expenses which CLP may suffer or incur resulting from pre-existing or latent deficiencies in the Vessels, their systems, equipment and machinery</w:t>
      </w:r>
      <w:r>
        <w:rPr>
          <w:rFonts w:ascii="Arial" w:cs="Arial" w:eastAsia="Arial" w:hAnsi="Arial"/>
          <w:sz w:val="18"/>
          <w:szCs w:val="18"/>
          <w:i w:val="1"/>
          <w:iCs w:val="1"/>
          <w:color w:val="auto"/>
        </w:rPr>
        <w: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provisions of this Section 8 shall remain in force notwithstanding termination of this Agreement.</w:t>
      </w:r>
    </w:p>
    <w:p>
      <w:pPr>
        <w:spacing w:after="0" w:line="225"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 And Termination.</w:t>
      </w:r>
      <w:r>
        <w:rPr>
          <w:rFonts w:ascii="Arial" w:cs="Arial" w:eastAsia="Arial" w:hAnsi="Arial"/>
          <w:sz w:val="17"/>
          <w:szCs w:val="17"/>
          <w:color w:val="auto"/>
        </w:rPr>
        <w:t xml:space="preserve"> With respect to each of the Vessels, this Agreement shall commence from the date on which each Vessel is acquired by CLP, and will continue for approximately five years or for any other period agreed between CLP and the CSM as set out in Schedule “D” to this Agreement, unless terminated by either party hereto on not less than one hundred and twenty (120) days notice if:</w:t>
      </w:r>
    </w:p>
    <w:p>
      <w:pPr>
        <w:spacing w:after="0" w:line="57" w:lineRule="exact"/>
        <w:rPr>
          <w:sz w:val="20"/>
          <w:szCs w:val="20"/>
          <w:color w:val="auto"/>
        </w:rPr>
      </w:pPr>
    </w:p>
    <w:p>
      <w:pPr>
        <w:ind w:left="1740" w:hanging="248"/>
        <w:spacing w:after="0"/>
        <w:tabs>
          <w:tab w:leader="none" w:pos="17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case of CLP, there is a Change of Control of CSM and in the case of CSM, if there is a Change of Control of CGP;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17" w:lineRule="exact"/>
        <w:rPr>
          <w:rFonts w:ascii="Arial" w:cs="Arial" w:eastAsia="Arial" w:hAnsi="Arial"/>
          <w:sz w:val="18"/>
          <w:szCs w:val="18"/>
          <w:color w:val="auto"/>
        </w:rPr>
      </w:pPr>
    </w:p>
    <w:p>
      <w:pPr>
        <w:jc w:val="both"/>
        <w:ind w:left="1500" w:right="40" w:hanging="8"/>
        <w:spacing w:after="0" w:line="375" w:lineRule="auto"/>
        <w:tabs>
          <w:tab w:leader="none" w:pos="1725" w:val="left"/>
        </w:tabs>
        <w:numPr>
          <w:ilvl w:val="0"/>
          <w:numId w:val="552"/>
        </w:numPr>
        <w:rPr>
          <w:rFonts w:ascii="Arial" w:cs="Arial" w:eastAsia="Arial" w:hAnsi="Arial"/>
          <w:sz w:val="15"/>
          <w:szCs w:val="15"/>
          <w:color w:val="auto"/>
        </w:rPr>
      </w:pPr>
      <w:r>
        <w:rPr>
          <w:rFonts w:ascii="Arial" w:cs="Arial" w:eastAsia="Arial" w:hAnsi="Arial"/>
          <w:sz w:val="15"/>
          <w:szCs w:val="15"/>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 w:lineRule="exact"/>
        <w:rPr>
          <w:rFonts w:ascii="Arial" w:cs="Arial" w:eastAsia="Arial" w:hAnsi="Arial"/>
          <w:sz w:val="15"/>
          <w:szCs w:val="15"/>
          <w:color w:val="auto"/>
        </w:rPr>
      </w:pPr>
    </w:p>
    <w:p>
      <w:pPr>
        <w:jc w:val="both"/>
        <w:ind w:left="1500" w:right="40" w:hanging="8"/>
        <w:spacing w:after="0" w:line="264" w:lineRule="auto"/>
        <w:tabs>
          <w:tab w:leader="none" w:pos="175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81" w:lineRule="exact"/>
        <w:rPr>
          <w:sz w:val="20"/>
          <w:szCs w:val="20"/>
          <w:color w:val="auto"/>
        </w:rPr>
      </w:pPr>
    </w:p>
    <w:p>
      <w:pPr>
        <w:jc w:val="both"/>
        <w:ind w:right="40" w:firstLine="1484"/>
        <w:spacing w:after="0" w:line="259" w:lineRule="auto"/>
        <w:rPr>
          <w:sz w:val="20"/>
          <w:szCs w:val="20"/>
          <w:color w:val="auto"/>
        </w:rPr>
      </w:pPr>
      <w:r>
        <w:rPr>
          <w:rFonts w:ascii="Arial" w:cs="Arial" w:eastAsia="Arial" w:hAnsi="Arial"/>
          <w:sz w:val="18"/>
          <w:szCs w:val="18"/>
          <w:color w:val="auto"/>
        </w:rPr>
        <w:t>The approximate termination date of this Agreement with respect to each of the Vessels is set out in Schedule “D” to this Agreement (the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Upon the purchase of each Additional Vessel, Schedule “D” to this Agreement shall be amended and restated to include the relevant Date of Termination for such Additional Vessel. This Agreement shall be deemed to be terminated with respect to a particular Vessel in the case of the sale of such</w:t>
      </w:r>
    </w:p>
    <w:p>
      <w:pPr>
        <w:sectPr>
          <w:pgSz w:w="11900" w:h="16838" w:orient="portrait"/>
          <w:cols w:equalWidth="0" w:num="1">
            <w:col w:w="11400"/>
          </w:cols>
          <w:pgMar w:left="240" w:top="273" w:right="259" w:bottom="1440" w:gutter="0" w:footer="0" w:header="0"/>
        </w:sectPr>
      </w:pPr>
    </w:p>
    <w:bookmarkStart w:id="334" w:name="page335"/>
    <w:bookmarkEnd w:id="334"/>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or if such Vessel becomes a total loss or is declared as a constructive or compromised or arranged total loss or is requisitioned. Notwithstanding such deemed termination, any Fees outstanding at the time of the sale or loss shall be paid in accordance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clause:</w:t>
      </w:r>
    </w:p>
    <w:p>
      <w:pPr>
        <w:spacing w:after="0" w:line="131" w:lineRule="exact"/>
        <w:rPr>
          <w:sz w:val="20"/>
          <w:szCs w:val="20"/>
          <w:color w:val="auto"/>
        </w:rPr>
      </w:pPr>
    </w:p>
    <w:p>
      <w:pPr>
        <w:ind w:left="2160" w:right="20" w:hanging="680"/>
        <w:spacing w:after="0" w:line="277" w:lineRule="auto"/>
        <w:tabs>
          <w:tab w:leader="none" w:pos="21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date upon which a Vessel is to be treated as having been sold or otherwise disposed of shall be the date on which CLP ceases to be the legal owner of the Vessel, or the Vessel owning company, as the case may be;</w:t>
      </w:r>
    </w:p>
    <w:p>
      <w:pPr>
        <w:spacing w:after="0" w:line="75" w:lineRule="exact"/>
        <w:rPr>
          <w:rFonts w:ascii="Arial" w:cs="Arial" w:eastAsia="Arial" w:hAnsi="Arial"/>
          <w:sz w:val="18"/>
          <w:szCs w:val="18"/>
          <w:color w:val="auto"/>
        </w:rPr>
      </w:pPr>
    </w:p>
    <w:p>
      <w:pPr>
        <w:ind w:left="2160" w:right="40" w:hanging="680"/>
        <w:spacing w:after="0" w:line="259" w:lineRule="auto"/>
        <w:tabs>
          <w:tab w:leader="none" w:pos="21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Vessel’s owners issue a notice of abandonment to the underwriters.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termination of this Agreement shall be without prejudice to all rights accrued due between the parties prior to the date of termination.</w:t>
      </w:r>
    </w:p>
    <w:p>
      <w:pPr>
        <w:spacing w:after="0" w:line="248"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Fees Upon Termination with respect to a Vessel.</w:t>
      </w:r>
      <w:r>
        <w:rPr>
          <w:rFonts w:ascii="Arial" w:cs="Arial" w:eastAsia="Arial" w:hAnsi="Arial"/>
          <w:sz w:val="18"/>
          <w:szCs w:val="18"/>
          <w:color w:val="auto"/>
        </w:rPr>
        <w:t xml:space="preserve"> Upon termination of this Agreement, the Fee shall be adjusted with respect to a Vessel as at the effective date of termination of this Agreement, based on the Fees set forth in Schedule “B”. Any overpayment shall forthwith be refunded to CLP and any underpayment shall forthwith be paid to CSM.</w:t>
      </w:r>
    </w:p>
    <w:p>
      <w:pPr>
        <w:spacing w:after="0" w:line="181"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Surrender Of Books And Records.</w:t>
      </w:r>
      <w:r>
        <w:rPr>
          <w:rFonts w:ascii="Arial" w:cs="Arial" w:eastAsia="Arial" w:hAnsi="Arial"/>
          <w:sz w:val="17"/>
          <w:szCs w:val="17"/>
          <w:color w:val="auto"/>
        </w:rPr>
        <w:t xml:space="preserve"> Upon termination of this Agreement, CSM shall forthwith surrender to CLP any and all books, records, documents and other property in the possession or control of CSM relating to this Agreement and to the business, finance, technology, trademarks or affairs of CLP and any member of the CLP Group and, except as required by law, shall not retain any copies of same.</w:t>
      </w:r>
    </w:p>
    <w:p>
      <w:pPr>
        <w:spacing w:after="0" w:line="166"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81"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CSM reserves the right to make such changes to this Agreement as it shall consider necessary to take account of regulatory changes which come into force after the date hereof and which affect the operation of the Vessels. Such changes will be intimated in writing to CLP and will come into force on intimation or on the date on which such regulatory or other changes come into effect (whichever shall be the later).</w:t>
      </w:r>
    </w:p>
    <w:p>
      <w:pPr>
        <w:spacing w:after="0" w:line="187" w:lineRule="exact"/>
        <w:rPr>
          <w:sz w:val="20"/>
          <w:szCs w:val="20"/>
          <w:color w:val="auto"/>
        </w:rPr>
      </w:pPr>
    </w:p>
    <w:p>
      <w:pPr>
        <w:ind w:right="440" w:firstLine="148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Unless stated otherwise, all currency references herein are to United States Dollars.</w:t>
      </w:r>
    </w:p>
    <w:p>
      <w:pPr>
        <w:sectPr>
          <w:pgSz w:w="11900" w:h="16838" w:orient="portrait"/>
          <w:cols w:equalWidth="0" w:num="1">
            <w:col w:w="11420"/>
          </w:cols>
          <w:pgMar w:left="240" w:top="274" w:right="239" w:bottom="1440" w:gutter="0" w:footer="0" w:header="0"/>
        </w:sectPr>
      </w:pPr>
    </w:p>
    <w:bookmarkStart w:id="335" w:name="page336"/>
    <w:bookmarkEnd w:id="335"/>
    <w:p>
      <w:pPr>
        <w:jc w:val="both"/>
        <w:ind w:right="2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Notice under this Agreement shall be given (via hand delivery or facsimile) as follows: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CLP:</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Gerasimos Kalogiratos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CSM: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Piraeus, 18537,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Nikolaos Syntichakis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+30 210 428 4285</w:t>
      </w:r>
    </w:p>
    <w:p>
      <w:pPr>
        <w:spacing w:after="0" w:line="211" w:lineRule="exact"/>
        <w:rPr>
          <w:sz w:val="20"/>
          <w:szCs w:val="20"/>
          <w:color w:val="auto"/>
        </w:rPr>
      </w:pPr>
    </w:p>
    <w:p>
      <w:pPr>
        <w:jc w:val="both"/>
        <w:ind w:right="380" w:firstLine="1484"/>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Subcontracting And Assignment.</w:t>
      </w:r>
      <w:r>
        <w:rPr>
          <w:rFonts w:ascii="Arial" w:cs="Arial" w:eastAsia="Arial" w:hAnsi="Arial"/>
          <w:sz w:val="18"/>
          <w:szCs w:val="18"/>
          <w:color w:val="auto"/>
        </w:rPr>
        <w:t xml:space="preserve"> CSM shall not assign this Agreement to any party that is not a subsidiary or affiliate of CSM except upon written consent of CLP. CSM may freely sub-contract and sub-license this Agreement to any party, so long as CSM remains liable for performance of the Services and its other obligations under this Agreement.</w:t>
      </w:r>
    </w:p>
    <w:p>
      <w:pPr>
        <w:spacing w:after="0" w:line="181" w:lineRule="exact"/>
        <w:rPr>
          <w:sz w:val="20"/>
          <w:szCs w:val="20"/>
          <w:color w:val="auto"/>
        </w:rPr>
      </w:pPr>
    </w:p>
    <w:p>
      <w:pPr>
        <w:ind w:right="520" w:firstLine="1484"/>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failure of either party to enforce any term of this Agreement shall not act as a waiver. Any waiver must be specifically stated as such in writing.</w:t>
      </w:r>
    </w:p>
    <w:p>
      <w:pPr>
        <w:sectPr>
          <w:pgSz w:w="11900" w:h="16838" w:orient="portrait"/>
          <w:cols w:equalWidth="0" w:num="1">
            <w:col w:w="11420"/>
          </w:cols>
          <w:pgMar w:left="240" w:top="274" w:right="239" w:bottom="1440" w:gutter="0" w:footer="0" w:header="0"/>
        </w:sectPr>
      </w:pPr>
    </w:p>
    <w:bookmarkStart w:id="336" w:name="page337"/>
    <w:bookmarkEnd w:id="336"/>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7"/>
          <w:szCs w:val="17"/>
          <w:u w:val="single" w:color="auto"/>
          <w:color w:val="auto"/>
        </w:rPr>
        <w:t>Affiliates.</w:t>
      </w:r>
      <w:r>
        <w:rPr>
          <w:rFonts w:ascii="Arial" w:cs="Arial" w:eastAsia="Arial" w:hAnsi="Arial"/>
          <w:sz w:val="17"/>
          <w:szCs w:val="17"/>
          <w:color w:val="auto"/>
        </w:rPr>
        <w:t xml:space="preserve"> This Agreement shall be binding upon and inure to the benefit of the affiliates of CLP and/or CSM.</w:t>
      </w:r>
    </w:p>
    <w:p>
      <w:pPr>
        <w:spacing w:after="0" w:line="237"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signed counterparts, facsimile or otherwise, which shall together form one instrument.</w:t>
      </w:r>
    </w:p>
    <w:p>
      <w:pPr>
        <w:sectPr>
          <w:pgSz w:w="11900" w:h="16838" w:orient="portrait"/>
          <w:cols w:equalWidth="0" w:num="1">
            <w:col w:w="10940"/>
          </w:cols>
          <w:pgMar w:left="240" w:top="274" w:right="71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w:t>
      </w:r>
    </w:p>
    <w:p>
      <w:pPr>
        <w:spacing w:after="0" w:line="170" w:lineRule="exact"/>
        <w:rPr>
          <w:sz w:val="20"/>
          <w:szCs w:val="20"/>
          <w:color w:val="auto"/>
        </w:rPr>
      </w:pPr>
    </w:p>
    <w:p>
      <w:pPr>
        <w:ind w:right="240" w:firstLine="8"/>
        <w:spacing w:after="0" w:line="277" w:lineRule="auto"/>
        <w:tabs>
          <w:tab w:leader="none" w:pos="25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voyage charters and other employment contracts with respect to the Vessels and monitor payments thereunder;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157" w:lineRule="exact"/>
        <w:rPr>
          <w:rFonts w:ascii="Arial" w:cs="Arial" w:eastAsia="Arial" w:hAnsi="Arial"/>
          <w:sz w:val="18"/>
          <w:szCs w:val="18"/>
          <w:color w:val="auto"/>
        </w:rPr>
      </w:pPr>
    </w:p>
    <w:p>
      <w:pPr>
        <w:ind w:left="2160" w:right="160" w:hanging="680"/>
        <w:spacing w:after="0" w:line="264" w:lineRule="auto"/>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113" w:lineRule="exact"/>
        <w:rPr>
          <w:rFonts w:ascii="Arial" w:cs="Arial" w:eastAsia="Arial" w:hAnsi="Arial"/>
          <w:sz w:val="18"/>
          <w:szCs w:val="18"/>
          <w:color w:val="auto"/>
        </w:rPr>
      </w:pPr>
    </w:p>
    <w:p>
      <w:pPr>
        <w:ind w:left="2160" w:right="460" w:hanging="680"/>
        <w:spacing w:after="0" w:line="277" w:lineRule="auto"/>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102" w:lineRule="exact"/>
        <w:rPr>
          <w:rFonts w:ascii="Arial" w:cs="Arial" w:eastAsia="Arial" w:hAnsi="Arial"/>
          <w:sz w:val="18"/>
          <w:szCs w:val="18"/>
          <w:color w:val="auto"/>
        </w:rPr>
      </w:pPr>
    </w:p>
    <w:p>
      <w:pPr>
        <w:ind w:left="2160" w:right="140" w:hanging="680"/>
        <w:spacing w:after="0" w:line="276" w:lineRule="auto"/>
        <w:tabs>
          <w:tab w:leader="none" w:pos="216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105" w:lineRule="exact"/>
        <w:rPr>
          <w:rFonts w:ascii="Arial" w:cs="Arial" w:eastAsia="Arial" w:hAnsi="Arial"/>
          <w:sz w:val="17"/>
          <w:szCs w:val="17"/>
          <w:color w:val="auto"/>
        </w:rPr>
      </w:pPr>
    </w:p>
    <w:p>
      <w:pPr>
        <w:ind w:left="2160" w:right="160" w:hanging="680"/>
        <w:spacing w:after="0" w:line="342" w:lineRule="auto"/>
        <w:tabs>
          <w:tab w:leader="none" w:pos="2160" w:val="left"/>
        </w:tabs>
        <w:numPr>
          <w:ilvl w:val="1"/>
          <w:numId w:val="554"/>
        </w:numPr>
        <w:rPr>
          <w:rFonts w:ascii="Arial" w:cs="Arial" w:eastAsia="Arial" w:hAnsi="Arial"/>
          <w:sz w:val="16"/>
          <w:szCs w:val="16"/>
          <w:color w:val="auto"/>
        </w:rPr>
      </w:pPr>
      <w:r>
        <w:rPr>
          <w:rFonts w:ascii="Arial" w:cs="Arial" w:eastAsia="Arial" w:hAnsi="Arial"/>
          <w:sz w:val="16"/>
          <w:szCs w:val="16"/>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56" w:lineRule="exact"/>
        <w:rPr>
          <w:rFonts w:ascii="Arial" w:cs="Arial" w:eastAsia="Arial" w:hAnsi="Arial"/>
          <w:sz w:val="16"/>
          <w:szCs w:val="16"/>
          <w:color w:val="auto"/>
        </w:rPr>
      </w:pPr>
    </w:p>
    <w:p>
      <w:pPr>
        <w:ind w:left="2160" w:right="140" w:hanging="680"/>
        <w:spacing w:after="0" w:line="276" w:lineRule="auto"/>
        <w:tabs>
          <w:tab w:leader="none" w:pos="216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ectPr>
          <w:pgSz w:w="11900" w:h="16838" w:orient="portrait"/>
          <w:cols w:equalWidth="0" w:num="1">
            <w:col w:w="11400"/>
          </w:cols>
          <w:pgMar w:left="240" w:top="269" w:right="259" w:bottom="1440" w:gutter="0" w:footer="0" w:header="0"/>
        </w:sectPr>
      </w:pPr>
    </w:p>
    <w:bookmarkStart w:id="338" w:name="page339"/>
    <w:bookmarkEnd w:id="338"/>
    <w:p>
      <w:pPr>
        <w:ind w:left="2152" w:right="80" w:hanging="680"/>
        <w:spacing w:after="0" w:line="312" w:lineRule="auto"/>
        <w:tabs>
          <w:tab w:leader="none" w:pos="2152" w:val="left"/>
        </w:tabs>
        <w:numPr>
          <w:ilvl w:val="0"/>
          <w:numId w:val="5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52" w:lineRule="exact"/>
        <w:rPr>
          <w:rFonts w:ascii="Arial" w:cs="Arial" w:eastAsia="Arial" w:hAnsi="Arial"/>
          <w:sz w:val="16"/>
          <w:szCs w:val="16"/>
          <w:color w:val="auto"/>
        </w:rPr>
      </w:pPr>
    </w:p>
    <w:p>
      <w:pPr>
        <w:ind w:left="2152" w:hanging="680"/>
        <w:spacing w:after="0"/>
        <w:tabs>
          <w:tab w:leader="none" w:pos="215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117" w:lineRule="exact"/>
        <w:rPr>
          <w:sz w:val="20"/>
          <w:szCs w:val="20"/>
          <w:color w:val="auto"/>
        </w:rPr>
      </w:pPr>
    </w:p>
    <w:p>
      <w:pPr>
        <w:ind w:left="1492" w:right="100"/>
        <w:spacing w:after="0" w:line="286" w:lineRule="auto"/>
        <w:rPr>
          <w:sz w:val="20"/>
          <w:szCs w:val="20"/>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66" w:lineRule="exact"/>
        <w:rPr>
          <w:sz w:val="20"/>
          <w:szCs w:val="20"/>
          <w:color w:val="auto"/>
        </w:rPr>
      </w:pPr>
    </w:p>
    <w:p>
      <w:pPr>
        <w:ind w:left="252" w:hanging="252"/>
        <w:spacing w:after="0"/>
        <w:tabs>
          <w:tab w:leader="none" w:pos="2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25" w:lineRule="exact"/>
        <w:rPr>
          <w:rFonts w:ascii="Arial" w:cs="Arial" w:eastAsia="Arial" w:hAnsi="Arial"/>
          <w:sz w:val="18"/>
          <w:szCs w:val="18"/>
          <w:color w:val="auto"/>
        </w:rPr>
      </w:pPr>
    </w:p>
    <w:p>
      <w:pPr>
        <w:ind w:left="-8" w:right="380" w:firstLine="8"/>
        <w:spacing w:after="0" w:line="277" w:lineRule="auto"/>
        <w:tabs>
          <w:tab w:leader="none" w:pos="24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25" w:lineRule="exact"/>
        <w:rPr>
          <w:rFonts w:ascii="Arial" w:cs="Arial" w:eastAsia="Arial" w:hAnsi="Arial"/>
          <w:sz w:val="18"/>
          <w:szCs w:val="18"/>
          <w:color w:val="auto"/>
        </w:rPr>
      </w:pPr>
    </w:p>
    <w:p>
      <w:pPr>
        <w:ind w:left="-8" w:right="20" w:firstLine="8"/>
        <w:spacing w:after="0" w:line="286" w:lineRule="auto"/>
        <w:tabs>
          <w:tab w:leader="none" w:pos="24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65" w:lineRule="exact"/>
        <w:rPr>
          <w:rFonts w:ascii="Arial" w:cs="Arial" w:eastAsia="Arial" w:hAnsi="Arial"/>
          <w:sz w:val="17"/>
          <w:szCs w:val="17"/>
          <w:color w:val="auto"/>
        </w:rPr>
      </w:pPr>
    </w:p>
    <w:p>
      <w:pPr>
        <w:ind w:left="-8" w:right="340" w:firstLine="8"/>
        <w:spacing w:after="0" w:line="277" w:lineRule="auto"/>
        <w:tabs>
          <w:tab w:leader="none" w:pos="24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Arrangement or the prompt dispatch of each Vessel from loading and discharging ports and for transit through canals;</w:t>
      </w:r>
    </w:p>
    <w:p>
      <w:pPr>
        <w:spacing w:after="0" w:line="225" w:lineRule="exact"/>
        <w:rPr>
          <w:rFonts w:ascii="Arial" w:cs="Arial" w:eastAsia="Arial" w:hAnsi="Arial"/>
          <w:sz w:val="18"/>
          <w:szCs w:val="18"/>
          <w:color w:val="auto"/>
        </w:rPr>
      </w:pPr>
    </w:p>
    <w:p>
      <w:pPr>
        <w:ind w:left="-8" w:right="180" w:firstLine="8"/>
        <w:spacing w:after="0" w:line="308" w:lineRule="auto"/>
        <w:tabs>
          <w:tab w:leader="none" w:pos="33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ectPr>
          <w:pgSz w:w="11900" w:h="16838" w:orient="portrait"/>
          <w:cols w:equalWidth="0" w:num="1">
            <w:col w:w="11372"/>
          </w:cols>
          <w:pgMar w:left="248" w:top="273" w:right="279" w:bottom="1440" w:gutter="0" w:footer="0" w:header="0"/>
        </w:sectPr>
      </w:pPr>
    </w:p>
    <w:bookmarkStart w:id="339" w:name="page340"/>
    <w:bookmarkEnd w:id="339"/>
    <w:p>
      <w:pPr>
        <w:ind w:left="-8" w:right="460" w:firstLine="8"/>
        <w:spacing w:after="0" w:line="264" w:lineRule="auto"/>
        <w:tabs>
          <w:tab w:leader="none" w:pos="337" w:val="left"/>
        </w:tabs>
        <w:numPr>
          <w:ilvl w:val="0"/>
          <w:numId w:val="5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181" w:lineRule="exact"/>
        <w:rPr>
          <w:rFonts w:ascii="Arial" w:cs="Arial" w:eastAsia="Arial" w:hAnsi="Arial"/>
          <w:sz w:val="18"/>
          <w:szCs w:val="18"/>
          <w:color w:val="auto"/>
        </w:rPr>
      </w:pPr>
    </w:p>
    <w:p>
      <w:pPr>
        <w:ind w:left="-8" w:right="160" w:firstLine="8"/>
        <w:spacing w:after="0" w:line="277" w:lineRule="auto"/>
        <w:tabs>
          <w:tab w:leader="none" w:pos="337"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70" w:lineRule="exact"/>
        <w:rPr>
          <w:rFonts w:ascii="Arial" w:cs="Arial" w:eastAsia="Arial" w:hAnsi="Arial"/>
          <w:sz w:val="18"/>
          <w:szCs w:val="18"/>
          <w:color w:val="auto"/>
        </w:rPr>
      </w:pPr>
    </w:p>
    <w:p>
      <w:pPr>
        <w:ind w:left="-8" w:firstLine="8"/>
        <w:spacing w:after="0" w:line="342" w:lineRule="auto"/>
        <w:tabs>
          <w:tab w:leader="none" w:pos="337" w:val="left"/>
        </w:tabs>
        <w:numPr>
          <w:ilvl w:val="0"/>
          <w:numId w:val="557"/>
        </w:numPr>
        <w:rPr>
          <w:rFonts w:ascii="Arial" w:cs="Arial" w:eastAsia="Arial" w:hAnsi="Arial"/>
          <w:sz w:val="16"/>
          <w:szCs w:val="16"/>
          <w:color w:val="auto"/>
        </w:rPr>
      </w:pPr>
      <w:r>
        <w:rPr>
          <w:rFonts w:ascii="Arial" w:cs="Arial" w:eastAsia="Arial" w:hAnsi="Arial"/>
          <w:sz w:val="16"/>
          <w:szCs w:val="16"/>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123" w:lineRule="exact"/>
        <w:rPr>
          <w:rFonts w:ascii="Arial" w:cs="Arial" w:eastAsia="Arial" w:hAnsi="Arial"/>
          <w:sz w:val="16"/>
          <w:szCs w:val="16"/>
          <w:color w:val="auto"/>
        </w:rPr>
      </w:pPr>
    </w:p>
    <w:p>
      <w:pPr>
        <w:ind w:left="352" w:hanging="352"/>
        <w:spacing w:after="0"/>
        <w:tabs>
          <w:tab w:leader="none" w:pos="35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130" w:lineRule="exact"/>
        <w:rPr>
          <w:rFonts w:ascii="Arial" w:cs="Arial" w:eastAsia="Arial" w:hAnsi="Arial"/>
          <w:sz w:val="18"/>
          <w:szCs w:val="18"/>
          <w:color w:val="auto"/>
        </w:rPr>
      </w:pPr>
    </w:p>
    <w:p>
      <w:pPr>
        <w:ind w:left="2152" w:right="200" w:hanging="680"/>
        <w:spacing w:after="0" w:line="279" w:lineRule="auto"/>
        <w:tabs>
          <w:tab w:leader="none" w:pos="2152" w:val="left"/>
        </w:tabs>
        <w:numPr>
          <w:ilvl w:val="1"/>
          <w:numId w:val="557"/>
        </w:numPr>
        <w:rPr>
          <w:rFonts w:ascii="Arial" w:cs="Arial" w:eastAsia="Arial" w:hAnsi="Arial"/>
          <w:sz w:val="17"/>
          <w:szCs w:val="17"/>
          <w:color w:val="auto"/>
        </w:rPr>
      </w:pPr>
      <w:r>
        <w:rPr>
          <w:rFonts w:ascii="Arial" w:cs="Arial" w:eastAsia="Arial" w:hAnsi="Arial"/>
          <w:sz w:val="17"/>
          <w:szCs w:val="17"/>
          <w:color w:val="auto"/>
        </w:rPr>
        <w:t>arranging for the procurement and enlistment for each Vessel, as required by applicable law, of competent, reliable and duly licensed personnel (hereinafter referred to as “</w:t>
      </w:r>
      <w:r>
        <w:rPr>
          <w:rFonts w:ascii="Arial" w:cs="Arial" w:eastAsia="Arial" w:hAnsi="Arial"/>
          <w:sz w:val="17"/>
          <w:szCs w:val="17"/>
          <w:u w:val="single" w:color="auto"/>
          <w:color w:val="auto"/>
        </w:rPr>
        <w:t>crew members</w:t>
      </w:r>
      <w:r>
        <w:rPr>
          <w:rFonts w:ascii="Arial" w:cs="Arial" w:eastAsia="Arial" w:hAnsi="Arial"/>
          <w:sz w:val="17"/>
          <w:szCs w:val="17"/>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76" w:lineRule="exact"/>
        <w:rPr>
          <w:rFonts w:ascii="Arial" w:cs="Arial" w:eastAsia="Arial" w:hAnsi="Arial"/>
          <w:sz w:val="17"/>
          <w:szCs w:val="17"/>
          <w:color w:val="auto"/>
        </w:rPr>
      </w:pPr>
    </w:p>
    <w:p>
      <w:pPr>
        <w:ind w:left="2152" w:right="960" w:hanging="680"/>
        <w:spacing w:after="0" w:line="277" w:lineRule="auto"/>
        <w:tabs>
          <w:tab w:leader="none" w:pos="2152" w:val="left"/>
        </w:tabs>
        <w:numPr>
          <w:ilvl w:val="1"/>
          <w:numId w:val="557"/>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75" w:lineRule="exact"/>
        <w:rPr>
          <w:rFonts w:ascii="Arial" w:cs="Arial" w:eastAsia="Arial" w:hAnsi="Arial"/>
          <w:sz w:val="18"/>
          <w:szCs w:val="18"/>
          <w:color w:val="auto"/>
        </w:rPr>
      </w:pPr>
    </w:p>
    <w:p>
      <w:pPr>
        <w:ind w:left="2152" w:right="160" w:hanging="680"/>
        <w:spacing w:after="0" w:line="259" w:lineRule="auto"/>
        <w:tabs>
          <w:tab w:leader="none" w:pos="2152" w:val="left"/>
        </w:tabs>
        <w:numPr>
          <w:ilvl w:val="1"/>
          <w:numId w:val="557"/>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92" w:lineRule="exact"/>
        <w:rPr>
          <w:rFonts w:ascii="Arial" w:cs="Arial" w:eastAsia="Arial" w:hAnsi="Arial"/>
          <w:sz w:val="18"/>
          <w:szCs w:val="18"/>
          <w:color w:val="auto"/>
        </w:rPr>
      </w:pPr>
    </w:p>
    <w:p>
      <w:pPr>
        <w:ind w:left="2152" w:right="140" w:hanging="680"/>
        <w:spacing w:after="0" w:line="277" w:lineRule="auto"/>
        <w:tabs>
          <w:tab w:leader="none" w:pos="2152" w:val="left"/>
        </w:tabs>
        <w:numPr>
          <w:ilvl w:val="1"/>
          <w:numId w:val="557"/>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75" w:lineRule="exact"/>
        <w:rPr>
          <w:rFonts w:ascii="Arial" w:cs="Arial" w:eastAsia="Arial" w:hAnsi="Arial"/>
          <w:sz w:val="18"/>
          <w:szCs w:val="18"/>
          <w:color w:val="auto"/>
        </w:rPr>
      </w:pPr>
    </w:p>
    <w:p>
      <w:pPr>
        <w:ind w:left="2152" w:right="20" w:hanging="680"/>
        <w:spacing w:after="0" w:line="264" w:lineRule="auto"/>
        <w:tabs>
          <w:tab w:leader="none" w:pos="2152" w:val="left"/>
        </w:tabs>
        <w:numPr>
          <w:ilvl w:val="1"/>
          <w:numId w:val="557"/>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86" w:lineRule="exact"/>
        <w:rPr>
          <w:rFonts w:ascii="Arial" w:cs="Arial" w:eastAsia="Arial" w:hAnsi="Arial"/>
          <w:sz w:val="18"/>
          <w:szCs w:val="18"/>
          <w:color w:val="auto"/>
        </w:rPr>
      </w:pPr>
    </w:p>
    <w:p>
      <w:pPr>
        <w:ind w:left="2152" w:right="140" w:hanging="680"/>
        <w:spacing w:after="0" w:line="264" w:lineRule="auto"/>
        <w:tabs>
          <w:tab w:leader="none" w:pos="2152" w:val="left"/>
        </w:tabs>
        <w:numPr>
          <w:ilvl w:val="1"/>
          <w:numId w:val="557"/>
        </w:numPr>
        <w:rPr>
          <w:rFonts w:ascii="Arial" w:cs="Arial" w:eastAsia="Arial" w:hAnsi="Arial"/>
          <w:sz w:val="18"/>
          <w:szCs w:val="18"/>
          <w:color w:val="auto"/>
        </w:rPr>
      </w:pPr>
      <w:r>
        <w:rPr>
          <w:rFonts w:ascii="Arial" w:cs="Arial" w:eastAsia="Arial" w:hAnsi="Arial"/>
          <w:sz w:val="18"/>
          <w:szCs w:val="18"/>
          <w:color w:val="auto"/>
        </w:rPr>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ectPr>
          <w:pgSz w:w="11900" w:h="16838" w:orient="portrait"/>
          <w:cols w:equalWidth="0" w:num="1">
            <w:col w:w="11412"/>
          </w:cols>
          <w:pgMar w:left="248" w:top="274" w:right="239" w:bottom="1440" w:gutter="0" w:footer="0" w:header="0"/>
        </w:sectPr>
      </w:pPr>
    </w:p>
    <w:bookmarkStart w:id="340" w:name="page341"/>
    <w:bookmarkEnd w:id="340"/>
    <w:p>
      <w:pPr>
        <w:ind w:left="2152" w:hanging="680"/>
        <w:spacing w:after="0"/>
        <w:tabs>
          <w:tab w:leader="none" w:pos="2152" w:val="left"/>
        </w:tabs>
        <w:numPr>
          <w:ilvl w:val="1"/>
          <w:numId w:val="5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any other function in connection with crew members as may be requested by owner or charterer; and</w:t>
      </w:r>
    </w:p>
    <w:p>
      <w:pPr>
        <w:spacing w:after="0" w:line="142" w:lineRule="exact"/>
        <w:rPr>
          <w:rFonts w:ascii="Arial" w:cs="Arial" w:eastAsia="Arial" w:hAnsi="Arial"/>
          <w:sz w:val="17"/>
          <w:szCs w:val="17"/>
          <w:color w:val="auto"/>
        </w:rPr>
      </w:pPr>
    </w:p>
    <w:p>
      <w:pPr>
        <w:ind w:left="2152" w:hanging="680"/>
        <w:spacing w:after="0"/>
        <w:tabs>
          <w:tab w:leader="none" w:pos="2152" w:val="left"/>
        </w:tabs>
        <w:numPr>
          <w:ilvl w:val="1"/>
          <w:numId w:val="558"/>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25" w:lineRule="exact"/>
        <w:rPr>
          <w:rFonts w:ascii="Arial" w:cs="Arial" w:eastAsia="Arial" w:hAnsi="Arial"/>
          <w:sz w:val="18"/>
          <w:szCs w:val="18"/>
          <w:color w:val="auto"/>
        </w:rPr>
      </w:pPr>
    </w:p>
    <w:p>
      <w:pPr>
        <w:ind w:left="-8" w:right="20" w:firstLine="8"/>
        <w:spacing w:after="0" w:line="308" w:lineRule="auto"/>
        <w:tabs>
          <w:tab w:leader="none" w:pos="337" w:val="left"/>
        </w:tabs>
        <w:numPr>
          <w:ilvl w:val="0"/>
          <w:numId w:val="559"/>
        </w:numPr>
        <w:rPr>
          <w:rFonts w:ascii="Arial" w:cs="Arial" w:eastAsia="Arial" w:hAnsi="Arial"/>
          <w:sz w:val="17"/>
          <w:szCs w:val="17"/>
          <w:color w:val="auto"/>
        </w:rPr>
      </w:pPr>
      <w:r>
        <w:rPr>
          <w:rFonts w:ascii="Arial" w:cs="Arial" w:eastAsia="Arial" w:hAnsi="Arial"/>
          <w:sz w:val="17"/>
          <w:szCs w:val="17"/>
          <w:color w:val="auto"/>
        </w:rPr>
        <w:t>Payment of all charges incurred in connection with the management of each Vessel, including, but not limited to, the cost of the items listed in (2) to (16) above, canal tolls, repair charges and port charges, and any amounts due to any governmental agency with respect to the Vessel crews;</w:t>
      </w:r>
    </w:p>
    <w:p>
      <w:pPr>
        <w:spacing w:after="0" w:line="146" w:lineRule="exact"/>
        <w:rPr>
          <w:rFonts w:ascii="Arial" w:cs="Arial" w:eastAsia="Arial" w:hAnsi="Arial"/>
          <w:sz w:val="17"/>
          <w:szCs w:val="17"/>
          <w:color w:val="auto"/>
        </w:rPr>
      </w:pPr>
    </w:p>
    <w:p>
      <w:pPr>
        <w:ind w:left="-8" w:right="580" w:firstLine="8"/>
        <w:spacing w:after="0" w:line="277" w:lineRule="auto"/>
        <w:tabs>
          <w:tab w:leader="none" w:pos="337" w:val="left"/>
        </w:tabs>
        <w:numPr>
          <w:ilvl w:val="0"/>
          <w:numId w:val="559"/>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70" w:lineRule="exact"/>
        <w:rPr>
          <w:rFonts w:ascii="Arial" w:cs="Arial" w:eastAsia="Arial" w:hAnsi="Arial"/>
          <w:sz w:val="18"/>
          <w:szCs w:val="18"/>
          <w:color w:val="auto"/>
        </w:rPr>
      </w:pPr>
    </w:p>
    <w:p>
      <w:pPr>
        <w:ind w:left="-8" w:right="20" w:firstLine="8"/>
        <w:spacing w:after="0" w:line="257" w:lineRule="auto"/>
        <w:tabs>
          <w:tab w:leader="none" w:pos="337" w:val="left"/>
        </w:tabs>
        <w:numPr>
          <w:ilvl w:val="0"/>
          <w:numId w:val="559"/>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CSM deem appropriate unless CLP instruct CSM to utilize a particular supplier which CSM will be obliged to do provided that CLP have made prior credit arrangements with such supplier. CLP shall comply with the terms of any credit arrangements made by CSM on their behalf;</w:t>
      </w:r>
    </w:p>
    <w:p>
      <w:pPr>
        <w:spacing w:after="0" w:line="188" w:lineRule="exact"/>
        <w:rPr>
          <w:rFonts w:ascii="Arial" w:cs="Arial" w:eastAsia="Arial" w:hAnsi="Arial"/>
          <w:sz w:val="18"/>
          <w:szCs w:val="18"/>
          <w:color w:val="auto"/>
        </w:rPr>
      </w:pPr>
    </w:p>
    <w:p>
      <w:pPr>
        <w:ind w:left="-8" w:right="460" w:firstLine="8"/>
        <w:spacing w:after="0" w:line="277" w:lineRule="auto"/>
        <w:tabs>
          <w:tab w:leader="none" w:pos="337" w:val="left"/>
        </w:tabs>
        <w:numPr>
          <w:ilvl w:val="0"/>
          <w:numId w:val="559"/>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170" w:lineRule="exact"/>
        <w:rPr>
          <w:rFonts w:ascii="Arial" w:cs="Arial" w:eastAsia="Arial" w:hAnsi="Arial"/>
          <w:sz w:val="18"/>
          <w:szCs w:val="18"/>
          <w:color w:val="auto"/>
        </w:rPr>
      </w:pPr>
    </w:p>
    <w:p>
      <w:pPr>
        <w:ind w:left="-8" w:firstLine="8"/>
        <w:spacing w:after="0" w:line="264" w:lineRule="auto"/>
        <w:tabs>
          <w:tab w:leader="none" w:pos="337" w:val="left"/>
        </w:tabs>
        <w:numPr>
          <w:ilvl w:val="0"/>
          <w:numId w:val="559"/>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181" w:lineRule="exact"/>
        <w:rPr>
          <w:rFonts w:ascii="Arial" w:cs="Arial" w:eastAsia="Arial" w:hAnsi="Arial"/>
          <w:sz w:val="18"/>
          <w:szCs w:val="18"/>
          <w:color w:val="auto"/>
        </w:rPr>
      </w:pPr>
    </w:p>
    <w:p>
      <w:pPr>
        <w:ind w:left="-8" w:right="20" w:firstLine="8"/>
        <w:spacing w:after="0" w:line="286" w:lineRule="auto"/>
        <w:tabs>
          <w:tab w:leader="none" w:pos="337" w:val="left"/>
        </w:tabs>
        <w:numPr>
          <w:ilvl w:val="0"/>
          <w:numId w:val="559"/>
        </w:numPr>
        <w:rPr>
          <w:rFonts w:ascii="Arial" w:cs="Arial" w:eastAsia="Arial" w:hAnsi="Arial"/>
          <w:sz w:val="17"/>
          <w:szCs w:val="17"/>
          <w:color w:val="auto"/>
        </w:rPr>
      </w:pPr>
      <w:r>
        <w:rPr>
          <w:rFonts w:ascii="Arial" w:cs="Arial" w:eastAsia="Arial" w:hAnsi="Arial"/>
          <w:sz w:val="17"/>
          <w:szCs w:val="17"/>
          <w:color w:val="auto"/>
        </w:rPr>
        <w:t>CSM shall make arrangements as instructed by the respective Classification Societies of the Amore Mio II, the Aristofanis, the Agamemnon II, the Ayrton II and the Alkiviadis for the next scheduled intermediate or special survey of each Vessel, following its acquisition by CLP, as applicable, and all costs in connection with passing such survey (including dry-docking) and satisfactory compliance with class requirements will be borne by CSM.</w:t>
      </w:r>
    </w:p>
    <w:p>
      <w:pPr>
        <w:sectPr>
          <w:pgSz w:w="11900" w:h="16838" w:orient="portrait"/>
          <w:cols w:equalWidth="0" w:num="1">
            <w:col w:w="11392"/>
          </w:cols>
          <w:pgMar w:left="248" w:top="274" w:right="259" w:bottom="1440" w:gutter="0" w:footer="0" w:header="0"/>
        </w:sectPr>
      </w:pPr>
    </w:p>
    <w:bookmarkStart w:id="341" w:name="page342"/>
    <w:bookmarkEnd w:id="341"/>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2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9"/>
              </w:rPr>
              <w:t>SCHEDULE B</w:t>
            </w:r>
          </w:p>
        </w:tc>
      </w:tr>
      <w:tr>
        <w:trPr>
          <w:trHeight w:val="432"/>
        </w:trPr>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20" w:type="dxa"/>
            <w:vAlign w:val="bottom"/>
            <w:gridSpan w:val="3"/>
          </w:tcPr>
          <w:p>
            <w:pPr>
              <w:jc w:val="center"/>
              <w:ind w:right="2360"/>
              <w:spacing w:after="0"/>
              <w:rPr>
                <w:sz w:val="20"/>
                <w:szCs w:val="20"/>
                <w:color w:val="auto"/>
              </w:rPr>
            </w:pPr>
            <w:r>
              <w:rPr>
                <w:rFonts w:ascii="Arial" w:cs="Arial" w:eastAsia="Arial" w:hAnsi="Arial"/>
                <w:sz w:val="18"/>
                <w:szCs w:val="18"/>
                <w:color w:val="auto"/>
                <w:w w:val="89"/>
              </w:rPr>
              <w:t>FEES</w:t>
            </w:r>
          </w:p>
        </w:tc>
      </w:tr>
      <w:tr>
        <w:trPr>
          <w:trHeight w:val="41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1560" w:type="dxa"/>
            <w:vAlign w:val="bottom"/>
          </w:tcPr>
          <w:p>
            <w:pPr>
              <w:spacing w:after="0"/>
              <w:rPr>
                <w:sz w:val="24"/>
                <w:szCs w:val="24"/>
                <w:color w:val="auto"/>
              </w:rPr>
            </w:pPr>
          </w:p>
        </w:tc>
        <w:tc>
          <w:tcPr>
            <w:tcW w:w="5420" w:type="dxa"/>
            <w:vAlign w:val="bottom"/>
            <w:gridSpan w:val="3"/>
          </w:tcPr>
          <w:p>
            <w:pPr>
              <w:ind w:left="4240"/>
              <w:spacing w:after="0"/>
              <w:rPr>
                <w:sz w:val="20"/>
                <w:szCs w:val="20"/>
                <w:color w:val="auto"/>
              </w:rPr>
            </w:pPr>
            <w:r>
              <w:rPr>
                <w:rFonts w:ascii="Arial" w:cs="Arial" w:eastAsia="Arial" w:hAnsi="Arial"/>
                <w:sz w:val="14"/>
                <w:szCs w:val="14"/>
                <w:b w:val="1"/>
                <w:bCs w:val="1"/>
                <w:color w:val="auto"/>
              </w:rPr>
              <w:t xml:space="preserve">Daily Fee in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British Envoy</w:t>
            </w:r>
          </w:p>
        </w:tc>
        <w:tc>
          <w:tcPr>
            <w:tcW w:w="4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w w:val="70"/>
              </w:rPr>
              <w:t>500*</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British Emissary</w:t>
            </w:r>
          </w:p>
        </w:tc>
        <w:tc>
          <w:tcPr>
            <w:tcW w:w="5420" w:type="dxa"/>
            <w:vAlign w:val="bottom"/>
            <w:gridSpan w:val="3"/>
          </w:tcPr>
          <w:p>
            <w:pPr>
              <w:ind w:left="5000"/>
              <w:spacing w:after="0"/>
              <w:rPr>
                <w:sz w:val="20"/>
                <w:szCs w:val="20"/>
                <w:color w:val="auto"/>
              </w:rPr>
            </w:pPr>
            <w:r>
              <w:rPr>
                <w:rFonts w:ascii="Arial" w:cs="Arial" w:eastAsia="Arial" w:hAnsi="Arial"/>
                <w:sz w:val="18"/>
                <w:szCs w:val="18"/>
                <w:color w:val="auto"/>
              </w:rPr>
              <w:t>500*</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Alexandros II</w:t>
            </w:r>
          </w:p>
        </w:tc>
        <w:tc>
          <w:tcPr>
            <w:tcW w:w="5280" w:type="dxa"/>
            <w:vAlign w:val="bottom"/>
            <w:gridSpan w:val="2"/>
            <w:shd w:val="clear" w:color="auto" w:fill="CCEEFF"/>
          </w:tcPr>
          <w:p>
            <w:pPr>
              <w:ind w:left="5000"/>
              <w:spacing w:after="0"/>
              <w:rPr>
                <w:sz w:val="20"/>
                <w:szCs w:val="20"/>
                <w:color w:val="auto"/>
              </w:rPr>
            </w:pPr>
            <w:r>
              <w:rPr>
                <w:rFonts w:ascii="Arial" w:cs="Arial" w:eastAsia="Arial" w:hAnsi="Arial"/>
                <w:sz w:val="18"/>
                <w:szCs w:val="18"/>
                <w:color w:val="auto"/>
                <w:w w:val="86"/>
              </w:rPr>
              <w:t>250</w:t>
            </w:r>
          </w:p>
        </w:tc>
        <w:tc>
          <w:tcPr>
            <w:tcW w:w="14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Overseas Sifnos</w:t>
            </w:r>
          </w:p>
        </w:tc>
        <w:tc>
          <w:tcPr>
            <w:tcW w:w="5280" w:type="dxa"/>
            <w:vAlign w:val="bottom"/>
            <w:gridSpan w:val="2"/>
          </w:tcPr>
          <w:p>
            <w:pPr>
              <w:ind w:left="5000"/>
              <w:spacing w:after="0"/>
              <w:rPr>
                <w:sz w:val="20"/>
                <w:szCs w:val="20"/>
                <w:color w:val="auto"/>
              </w:rPr>
            </w:pPr>
            <w:r>
              <w:rPr>
                <w:rFonts w:ascii="Arial" w:cs="Arial" w:eastAsia="Arial" w:hAnsi="Arial"/>
                <w:sz w:val="18"/>
                <w:szCs w:val="18"/>
                <w:color w:val="auto"/>
                <w:w w:val="86"/>
              </w:rPr>
              <w:t>250</w:t>
            </w:r>
          </w:p>
        </w:tc>
        <w:tc>
          <w:tcPr>
            <w:tcW w:w="14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Overseas Kimolos</w:t>
            </w:r>
          </w:p>
        </w:tc>
        <w:tc>
          <w:tcPr>
            <w:tcW w:w="5280" w:type="dxa"/>
            <w:vAlign w:val="bottom"/>
            <w:gridSpan w:val="2"/>
            <w:shd w:val="clear" w:color="auto" w:fill="CCEEFF"/>
          </w:tcPr>
          <w:p>
            <w:pPr>
              <w:ind w:left="5000"/>
              <w:spacing w:after="0"/>
              <w:rPr>
                <w:sz w:val="20"/>
                <w:szCs w:val="20"/>
                <w:color w:val="auto"/>
              </w:rPr>
            </w:pPr>
            <w:r>
              <w:rPr>
                <w:rFonts w:ascii="Arial" w:cs="Arial" w:eastAsia="Arial" w:hAnsi="Arial"/>
                <w:sz w:val="18"/>
                <w:szCs w:val="18"/>
                <w:color w:val="auto"/>
                <w:w w:val="86"/>
              </w:rPr>
              <w:t>250</w:t>
            </w:r>
          </w:p>
        </w:tc>
        <w:tc>
          <w:tcPr>
            <w:tcW w:w="140" w:type="dxa"/>
            <w:vAlign w:val="bottom"/>
            <w:shd w:val="clear" w:color="auto" w:fill="CCEEFF"/>
          </w:tcPr>
          <w:p>
            <w:pPr>
              <w:spacing w:after="0"/>
              <w:rPr>
                <w:sz w:val="18"/>
                <w:szCs w:val="18"/>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12" w:hanging="212"/>
        <w:spacing w:after="0"/>
        <w:tabs>
          <w:tab w:leader="none" w:pos="212" w:val="left"/>
        </w:tabs>
        <w:numPr>
          <w:ilvl w:val="0"/>
          <w:numId w:val="560"/>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342" w:name="page343"/>
    <w:bookmarkEnd w:id="3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EXTRAORDINARY FEES AND COSTS</w:t>
      </w:r>
    </w:p>
    <w:p>
      <w:pPr>
        <w:spacing w:after="0" w:line="225"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Notwithstanding anything to the contrary in this Agreement, CSM will not be responsible for paying any costs liabilities and expenses in respect of a Vessel, to the extent that such costs, liabilities and expenses are “extraordinary”, which shall consist of the following:</w:t>
      </w:r>
    </w:p>
    <w:p>
      <w:pPr>
        <w:spacing w:after="0" w:line="170" w:lineRule="exact"/>
        <w:rPr>
          <w:sz w:val="20"/>
          <w:szCs w:val="20"/>
          <w:color w:val="auto"/>
        </w:rPr>
      </w:pPr>
    </w:p>
    <w:p>
      <w:pPr>
        <w:ind w:firstLine="8"/>
        <w:spacing w:after="0" w:line="273" w:lineRule="auto"/>
        <w:tabs>
          <w:tab w:leader="none" w:pos="255" w:val="left"/>
        </w:tabs>
        <w:numPr>
          <w:ilvl w:val="0"/>
          <w:numId w:val="561"/>
        </w:numPr>
        <w:rPr>
          <w:rFonts w:ascii="Arial" w:cs="Arial" w:eastAsia="Arial" w:hAnsi="Arial"/>
          <w:sz w:val="17"/>
          <w:szCs w:val="17"/>
          <w:color w:val="auto"/>
        </w:rPr>
      </w:pPr>
      <w:r>
        <w:rPr>
          <w:rFonts w:ascii="Arial" w:cs="Arial" w:eastAsia="Arial" w:hAnsi="Arial"/>
          <w:sz w:val="17"/>
          <w:szCs w:val="17"/>
          <w:color w:val="auto"/>
        </w:rPr>
        <w:t>repairs, refurbishment or modifications, including those not covered by the guarantee of the shipbuilder or by the insurance covering the Vessels, resulting from maritime accidents, collisions, other accidental damage or unforeseen events (except to the extent that such accidents, collisions, damage or events are due to the fraud, gross negligence or wilfull misconduct of CSM, its employees or its agents, unless and to the extent otherwise covered by insurance). CSM shall be entitled to receive additional remuneration for time (charged at the rate of US$750 per man per day of 8 hours) for any time that the personnel of CSM will spend on attendance on any Vessel in connection with matters set out this subsection (1). In addition CLP will pay any reasonable travel and accommodation expenses of the CSM personnel incurred in connection with such additional time spent.</w:t>
      </w:r>
    </w:p>
    <w:p>
      <w:pPr>
        <w:spacing w:after="0" w:line="178"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improvement, upgrade or modification to, structural changes with respect to the installation of new equipment aboard any Vessel that results from a change in, an introduction of new, or a change in the interpretation of, applicable laws, at the recommendation of the classification society for that Vessel or otherwise.</w:t>
      </w:r>
    </w:p>
    <w:p>
      <w:pPr>
        <w:spacing w:after="0" w:line="18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increase in crew employment expenses resulting from an introduction of new, or a change in the interpretation of, applicable laws or resulting from the early termination of the charter of any Vessel;</w:t>
      </w:r>
    </w:p>
    <w:p>
      <w:pPr>
        <w:spacing w:after="0" w:line="17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spent on the insurance, average and salvage claims (charged at the rate of US$800 per man per day of 8 hours) in respect of the preparation and prosecution of claims, the supervision of repairs and the provision of documentation relating to adjustments).</w:t>
      </w:r>
    </w:p>
    <w:p>
      <w:pPr>
        <w:spacing w:after="0" w:line="181" w:lineRule="exact"/>
        <w:rPr>
          <w:rFonts w:ascii="Arial" w:cs="Arial" w:eastAsia="Arial" w:hAnsi="Arial"/>
          <w:sz w:val="18"/>
          <w:szCs w:val="18"/>
          <w:color w:val="auto"/>
        </w:rPr>
      </w:pPr>
    </w:p>
    <w:p>
      <w:pPr>
        <w:ind w:firstLine="8"/>
        <w:spacing w:after="0" w:line="259"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CSM shall be entitled to receive additional remuneration for time (charged at the rate of US$750 per man per day of 8 hours) for any time of over 10 days per year that the personnel of CSM will spend during vetting inspections and attendance on the Vessels in connection with the pre-vetting and vetting of the Vessels by any charterers. In addition CLP will pay any reasonable travel and accommodation expenses of the CSM personnel incurred in connection with such additional time spent.</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CLP shall pay the deductible of any insurance claims relating to the Vessels or for any claims that are within such deductible range.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CLP shall pay any significant increase in insurance premiums which are due to factors such as “acts of God” outside of the control of CSM.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CLP shall pay any tax, dues or fines imposed on the Vessels or CSM due to the operation of the Vessels.</w:t>
      </w:r>
    </w:p>
    <w:p>
      <w:pPr>
        <w:sectPr>
          <w:pgSz w:w="11900" w:h="16838" w:orient="portrait"/>
          <w:cols w:equalWidth="0" w:num="1">
            <w:col w:w="11360"/>
          </w:cols>
          <w:pgMar w:left="240" w:top="269" w:right="299" w:bottom="1440" w:gutter="0" w:footer="0" w:header="0"/>
        </w:sectPr>
      </w:pPr>
    </w:p>
    <w:bookmarkStart w:id="343" w:name="page344"/>
    <w:bookmarkEnd w:id="343"/>
    <w:p>
      <w:pPr>
        <w:ind w:left="-8" w:right="120" w:firstLine="8"/>
        <w:spacing w:after="0" w:line="277" w:lineRule="auto"/>
        <w:tabs>
          <w:tab w:leader="none" w:pos="247" w:val="left"/>
        </w:tabs>
        <w:numPr>
          <w:ilvl w:val="0"/>
          <w:numId w:val="5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CLP shall pay for any expenses incurred in connection with the sale or acquisition of a Vessel, such as in connection with inspections and technical assistance.</w:t>
      </w:r>
    </w:p>
    <w:p>
      <w:pPr>
        <w:spacing w:after="0" w:line="170" w:lineRule="exact"/>
        <w:rPr>
          <w:rFonts w:ascii="Arial" w:cs="Arial" w:eastAsia="Arial" w:hAnsi="Arial"/>
          <w:sz w:val="18"/>
          <w:szCs w:val="18"/>
          <w:color w:val="auto"/>
        </w:rPr>
      </w:pPr>
    </w:p>
    <w:p>
      <w:pPr>
        <w:ind w:left="-8" w:firstLine="8"/>
        <w:spacing w:after="0" w:line="277" w:lineRule="auto"/>
        <w:tabs>
          <w:tab w:leader="none" w:pos="337" w:val="left"/>
        </w:tabs>
        <w:numPr>
          <w:ilvl w:val="0"/>
          <w:numId w:val="562"/>
        </w:numPr>
        <w:rPr>
          <w:rFonts w:ascii="Arial" w:cs="Arial" w:eastAsia="Arial" w:hAnsi="Arial"/>
          <w:sz w:val="18"/>
          <w:szCs w:val="18"/>
          <w:color w:val="auto"/>
        </w:rPr>
      </w:pPr>
      <w:r>
        <w:rPr>
          <w:rFonts w:ascii="Arial" w:cs="Arial" w:eastAsia="Arial" w:hAnsi="Arial"/>
          <w:sz w:val="18"/>
          <w:szCs w:val="18"/>
          <w:color w:val="auto"/>
        </w:rPr>
        <w:t>CLP shall pay for any similar costs, liabilities and expenses that were not reasonably contemplated by CLP and CSM as being encompassed by or a component of the Fees at the time the Fees were determined.</w:t>
      </w:r>
    </w:p>
    <w:p>
      <w:pPr>
        <w:sectPr>
          <w:pgSz w:w="11900" w:h="16838" w:orient="portrait"/>
          <w:cols w:equalWidth="0" w:num="1">
            <w:col w:w="10972"/>
          </w:cols>
          <w:pgMar w:left="248" w:top="273" w:right="679" w:bottom="1440" w:gutter="0" w:footer="0" w:header="0"/>
        </w:sectPr>
      </w:pPr>
    </w:p>
    <w:bookmarkStart w:id="344" w:name="page345"/>
    <w:bookmarkEnd w:id="344"/>
    <w:tbl>
      <w:tblPr>
        <w:tblLayout w:type="fixed"/>
        <w:tblInd w:w="1832"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40" w:type="dxa"/>
            <w:vAlign w:val="bottom"/>
            <w:gridSpan w:val="2"/>
          </w:tcPr>
          <w:p>
            <w:pPr>
              <w:ind w:left="1180"/>
              <w:spacing w:after="0"/>
              <w:rPr>
                <w:sz w:val="20"/>
                <w:szCs w:val="20"/>
                <w:color w:val="auto"/>
              </w:rPr>
            </w:pPr>
            <w:r>
              <w:rPr>
                <w:rFonts w:ascii="Arial" w:cs="Arial" w:eastAsia="Arial" w:hAnsi="Arial"/>
                <w:sz w:val="18"/>
                <w:szCs w:val="18"/>
                <w:b w:val="1"/>
                <w:bCs w:val="1"/>
                <w:color w:val="auto"/>
              </w:rPr>
              <w:t>SCHEDULE D</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2"/>
          </w:tcPr>
          <w:p>
            <w:pPr>
              <w:ind w:left="740"/>
              <w:spacing w:after="0"/>
              <w:rPr>
                <w:sz w:val="20"/>
                <w:szCs w:val="20"/>
                <w:color w:val="auto"/>
              </w:rPr>
            </w:pPr>
            <w:r>
              <w:rPr>
                <w:rFonts w:ascii="Arial" w:cs="Arial" w:eastAsia="Arial" w:hAnsi="Arial"/>
                <w:sz w:val="18"/>
                <w:szCs w:val="18"/>
                <w:color w:val="auto"/>
              </w:rPr>
              <w:t>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340" w:type="dxa"/>
            <w:vAlign w:val="bottom"/>
            <w:vMerge w:val="restart"/>
          </w:tcPr>
          <w:p>
            <w:pPr>
              <w:spacing w:after="0"/>
              <w:rPr>
                <w:sz w:val="24"/>
                <w:szCs w:val="24"/>
                <w:color w:val="auto"/>
              </w:rPr>
            </w:pPr>
          </w:p>
        </w:tc>
        <w:tc>
          <w:tcPr>
            <w:tcW w:w="208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12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British Envoy</w:t>
            </w:r>
          </w:p>
        </w:tc>
        <w:tc>
          <w:tcPr>
            <w:tcW w:w="2080" w:type="dxa"/>
            <w:vAlign w:val="bottom"/>
          </w:tcPr>
          <w:p>
            <w:pPr>
              <w:spacing w:after="0"/>
              <w:rPr>
                <w:sz w:val="16"/>
                <w:szCs w:val="16"/>
                <w:color w:val="auto"/>
              </w:rPr>
            </w:pPr>
          </w:p>
        </w:tc>
        <w:tc>
          <w:tcPr>
            <w:tcW w:w="3560" w:type="dxa"/>
            <w:vAlign w:val="bottom"/>
          </w:tcPr>
          <w:p>
            <w:pPr>
              <w:spacing w:after="0" w:line="185" w:lineRule="exact"/>
              <w:rPr>
                <w:sz w:val="20"/>
                <w:szCs w:val="20"/>
                <w:color w:val="auto"/>
              </w:rPr>
            </w:pP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Alexandros II</w:t>
            </w:r>
          </w:p>
        </w:tc>
        <w:tc>
          <w:tcPr>
            <w:tcW w:w="5640" w:type="dxa"/>
            <w:vAlign w:val="bottom"/>
            <w:gridSpan w:val="2"/>
          </w:tcPr>
          <w:p>
            <w:pPr>
              <w:ind w:left="2060"/>
              <w:spacing w:after="0"/>
              <w:rPr>
                <w:sz w:val="20"/>
                <w:szCs w:val="20"/>
                <w:color w:val="auto"/>
              </w:rPr>
            </w:pPr>
            <w:r>
              <w:rPr>
                <w:rFonts w:ascii="Arial" w:cs="Arial" w:eastAsia="Arial" w:hAnsi="Arial"/>
                <w:sz w:val="18"/>
                <w:szCs w:val="18"/>
                <w:color w:val="auto"/>
              </w:rPr>
              <w:t>December 2017-March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Overseas Sifnos</w:t>
            </w:r>
          </w:p>
        </w:tc>
        <w:tc>
          <w:tcPr>
            <w:tcW w:w="5640" w:type="dxa"/>
            <w:vAlign w:val="bottom"/>
            <w:gridSpan w:val="2"/>
          </w:tcPr>
          <w:p>
            <w:pPr>
              <w:ind w:left="2060"/>
              <w:spacing w:after="0"/>
              <w:rPr>
                <w:sz w:val="20"/>
                <w:szCs w:val="20"/>
                <w:color w:val="auto"/>
              </w:rPr>
            </w:pPr>
            <w:r>
              <w:rPr>
                <w:rFonts w:ascii="Arial" w:cs="Arial" w:eastAsia="Arial" w:hAnsi="Arial"/>
                <w:sz w:val="18"/>
                <w:szCs w:val="18"/>
                <w:color w:val="auto"/>
              </w:rPr>
              <w:t>March-June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Overseas Kimolos</w:t>
            </w:r>
          </w:p>
        </w:tc>
        <w:tc>
          <w:tcPr>
            <w:tcW w:w="5640" w:type="dxa"/>
            <w:vAlign w:val="bottom"/>
            <w:gridSpan w:val="2"/>
          </w:tcPr>
          <w:p>
            <w:pPr>
              <w:ind w:left="2060"/>
              <w:spacing w:after="0"/>
              <w:rPr>
                <w:sz w:val="20"/>
                <w:szCs w:val="20"/>
                <w:color w:val="auto"/>
              </w:rPr>
            </w:pPr>
            <w:r>
              <w:rPr>
                <w:rFonts w:ascii="Arial" w:cs="Arial" w:eastAsia="Arial" w:hAnsi="Arial"/>
                <w:sz w:val="18"/>
                <w:szCs w:val="18"/>
                <w:color w:val="auto"/>
              </w:rPr>
              <w:t>May-August 2018</w:t>
            </w:r>
          </w:p>
        </w:tc>
        <w:tc>
          <w:tcPr>
            <w:tcW w:w="0" w:type="dxa"/>
            <w:vAlign w:val="bottom"/>
          </w:tcPr>
          <w:p>
            <w:pPr>
              <w:spacing w:after="0"/>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British Emissary</w:t>
            </w:r>
          </w:p>
        </w:tc>
        <w:tc>
          <w:tcPr>
            <w:tcW w:w="5640" w:type="dxa"/>
            <w:vAlign w:val="bottom"/>
            <w:gridSpan w:val="2"/>
          </w:tcPr>
          <w:p>
            <w:pPr>
              <w:ind w:left="206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12" w:hanging="212"/>
        <w:spacing w:after="0"/>
        <w:tabs>
          <w:tab w:leader="none" w:pos="212" w:val="left"/>
        </w:tabs>
        <w:numPr>
          <w:ilvl w:val="0"/>
          <w:numId w:val="563"/>
        </w:numPr>
        <w:rPr>
          <w:rFonts w:ascii="Arial" w:cs="Arial" w:eastAsia="Arial" w:hAnsi="Arial"/>
          <w:sz w:val="18"/>
          <w:szCs w:val="18"/>
          <w:b w:val="1"/>
          <w:bCs w:val="1"/>
          <w:color w:val="auto"/>
        </w:rPr>
      </w:pPr>
      <w:r>
        <w:rPr>
          <w:rFonts w:ascii="Arial" w:cs="Arial" w:eastAsia="Arial" w:hAnsi="Arial"/>
          <w:sz w:val="18"/>
          <w:szCs w:val="18"/>
          <w:color w:val="auto"/>
        </w:rPr>
        <w:t>subject to continuation of the Vessel’s charter</w:t>
      </w:r>
    </w:p>
    <w:p>
      <w:pPr>
        <w:sectPr>
          <w:pgSz w:w="11900" w:h="16838" w:orient="portrait"/>
          <w:cols w:equalWidth="0" w:num="1">
            <w:col w:w="10211"/>
          </w:cols>
          <w:pgMar w:left="248" w:top="270"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4.54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AMENDMENT NO. 21 made effective the </w:t>
      </w:r>
      <w:r>
        <w:rPr>
          <w:rFonts w:ascii="Arial" w:cs="Arial" w:eastAsia="Arial" w:hAnsi="Arial"/>
          <w:sz w:val="18"/>
          <w:szCs w:val="18"/>
          <w:u w:val="single" w:color="auto"/>
          <w:color w:val="auto"/>
        </w:rPr>
        <w:t>26th day of February 2016,</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Schedule “B” of the Floating Rate Management Agreement is hereby amended to read in its entirety as follows:</w:t>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40" w:type="dxa"/>
            <w:vAlign w:val="bottom"/>
            <w:gridSpan w:val="2"/>
          </w:tcPr>
          <w:p>
            <w:pPr>
              <w:jc w:val="center"/>
              <w:ind w:right="2031"/>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2"/>
          </w:tcPr>
          <w:p>
            <w:pPr>
              <w:jc w:val="center"/>
              <w:ind w:right="2051"/>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340" w:type="dxa"/>
            <w:vAlign w:val="bottom"/>
            <w:vMerge w:val="restart"/>
          </w:tcPr>
          <w:p>
            <w:pPr>
              <w:spacing w:after="0"/>
              <w:rPr>
                <w:sz w:val="24"/>
                <w:szCs w:val="24"/>
                <w:color w:val="auto"/>
              </w:rPr>
            </w:pPr>
          </w:p>
        </w:tc>
        <w:tc>
          <w:tcPr>
            <w:tcW w:w="208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12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Cape Agamemnon</w:t>
            </w:r>
          </w:p>
        </w:tc>
        <w:tc>
          <w:tcPr>
            <w:tcW w:w="2080" w:type="dxa"/>
            <w:vAlign w:val="bottom"/>
          </w:tcPr>
          <w:p>
            <w:pPr>
              <w:spacing w:after="0"/>
              <w:rPr>
                <w:sz w:val="16"/>
                <w:szCs w:val="16"/>
                <w:color w:val="auto"/>
              </w:rPr>
            </w:pPr>
          </w:p>
        </w:tc>
        <w:tc>
          <w:tcPr>
            <w:tcW w:w="3560" w:type="dxa"/>
            <w:vAlign w:val="bottom"/>
          </w:tcPr>
          <w:p>
            <w:pPr>
              <w:jc w:val="center"/>
              <w:spacing w:after="0" w:line="185" w:lineRule="exact"/>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2016</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2"/>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2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Assos</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Atrotos</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Ayrton II</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Amore Mio II</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Active</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CMA CGM Amazon</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Amadeus</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CMA CGM Uruguay</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Alkiviadis</w:t>
            </w:r>
          </w:p>
        </w:tc>
        <w:tc>
          <w:tcPr>
            <w:tcW w:w="20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56"/>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CMA CGM Magdalena</w:t>
            </w:r>
          </w:p>
        </w:tc>
        <w:tc>
          <w:tcPr>
            <w:tcW w:w="208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361"/>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tcPr>
          <w:p>
            <w:pPr>
              <w:jc w:val="center"/>
              <w:ind w:left="1330"/>
              <w:spacing w:after="0"/>
              <w:rPr>
                <w:sz w:val="20"/>
                <w:szCs w:val="20"/>
                <w:color w:val="auto"/>
              </w:rPr>
            </w:pPr>
            <w:r>
              <w:rPr>
                <w:rFonts w:ascii="Arial" w:cs="Arial" w:eastAsia="Arial" w:hAnsi="Arial"/>
                <w:sz w:val="18"/>
                <w:szCs w:val="18"/>
                <w:color w:val="auto"/>
                <w:w w:val="99"/>
              </w:rPr>
              <w:t>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99"/>
          </w:cols>
          <w:pgMar w:left="1160" w:top="274" w:right="1440" w:bottom="1440" w:gutter="0" w:footer="0" w:header="0"/>
        </w:sectPr>
      </w:pPr>
    </w:p>
    <w:bookmarkStart w:id="347" w:name="page348"/>
    <w:bookmarkEnd w:id="347"/>
    <w:p>
      <w:pPr>
        <w:ind w:right="3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26th February 2016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348" w:name="page349"/>
    <w:bookmarkEnd w:id="348"/>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26</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February 2016 by their duly authorized signatories with effect on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-182245</wp:posOffset>
            </wp:positionV>
            <wp:extent cx="10160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Gerasimos Kalogiratos</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 and Chief Financial</w:t>
            </w:r>
          </w:p>
        </w:tc>
      </w:tr>
      <w:tr>
        <w:trPr>
          <w:trHeight w:val="230"/>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Syntichakis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Nikolaos Syntichakis</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Attorney-in-Fact&amp;Legal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4.55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AMENDMENT NO. 22 made effective the </w:t>
      </w:r>
      <w:r>
        <w:rPr>
          <w:rFonts w:ascii="Arial" w:cs="Arial" w:eastAsia="Arial" w:hAnsi="Arial"/>
          <w:sz w:val="18"/>
          <w:szCs w:val="18"/>
          <w:u w:val="single" w:color="auto"/>
          <w:color w:val="auto"/>
        </w:rPr>
        <w:t>1st day of September 2016,</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Schedule “B” of the Floating Rate Management Agreement is hereby amended to read in its entirety as follows:</w:t>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gridSpan w:val="2"/>
          </w:tcPr>
          <w:p>
            <w:pPr>
              <w:jc w:val="center"/>
              <w:ind w:right="1951"/>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20" w:type="dxa"/>
            <w:vAlign w:val="bottom"/>
            <w:gridSpan w:val="2"/>
          </w:tcPr>
          <w:p>
            <w:pPr>
              <w:jc w:val="center"/>
              <w:ind w:right="1971"/>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2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0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Cape Agamemnon</w:t>
            </w:r>
          </w:p>
        </w:tc>
        <w:tc>
          <w:tcPr>
            <w:tcW w:w="2160" w:type="dxa"/>
            <w:vAlign w:val="bottom"/>
          </w:tcPr>
          <w:p>
            <w:pPr>
              <w:spacing w:after="0"/>
              <w:rPr>
                <w:sz w:val="16"/>
                <w:szCs w:val="16"/>
                <w:color w:val="auto"/>
              </w:rPr>
            </w:pPr>
          </w:p>
        </w:tc>
        <w:tc>
          <w:tcPr>
            <w:tcW w:w="3560" w:type="dxa"/>
            <w:vAlign w:val="bottom"/>
          </w:tcPr>
          <w:p>
            <w:pPr>
              <w:jc w:val="center"/>
              <w:spacing w:after="0" w:line="185" w:lineRule="exact"/>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Active</w:t>
            </w:r>
          </w:p>
        </w:tc>
        <w:tc>
          <w:tcPr>
            <w:tcW w:w="216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Amazon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Amadeus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Uruguay</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Magdalena</w:t>
            </w:r>
          </w:p>
        </w:tc>
        <w:tc>
          <w:tcPr>
            <w:tcW w:w="2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99"/>
          </w:cols>
          <w:pgMar w:left="1160" w:top="274" w:right="1440" w:bottom="1440" w:gutter="0" w:footer="0" w:header="0"/>
        </w:sectPr>
      </w:pPr>
    </w:p>
    <w:bookmarkStart w:id="351" w:name="page352"/>
    <w:bookmarkEnd w:id="351"/>
    <w:p>
      <w:pPr>
        <w:ind w:right="3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1st September 2016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2" w:name="page353"/>
    <w:bookmarkEnd w:id="352"/>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1st day of September 2016</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Gerasimos Kalogiratos</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 and Chief Financial</w:t>
            </w:r>
          </w:p>
        </w:tc>
      </w:tr>
      <w:tr>
        <w:trPr>
          <w:trHeight w:val="230"/>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Syntichakis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Nikolaos Syntichakis</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Attorney-in-Fact&amp;Legal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4.56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AMENDMENT NO. 23 made effective the </w:t>
      </w:r>
      <w:r>
        <w:rPr>
          <w:rFonts w:ascii="Arial" w:cs="Arial" w:eastAsia="Arial" w:hAnsi="Arial"/>
          <w:sz w:val="18"/>
          <w:szCs w:val="18"/>
          <w:u w:val="single" w:color="auto"/>
          <w:color w:val="auto"/>
        </w:rPr>
        <w:t>28th day of September 2016,</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Schedule “B” of the Floating Rate Management Agreement is hereby amended to read in its entirety as follows:</w:t>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gridSpan w:val="2"/>
          </w:tcPr>
          <w:p>
            <w:pPr>
              <w:jc w:val="center"/>
              <w:ind w:right="1951"/>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20" w:type="dxa"/>
            <w:vAlign w:val="bottom"/>
            <w:gridSpan w:val="2"/>
          </w:tcPr>
          <w:p>
            <w:pPr>
              <w:jc w:val="center"/>
              <w:ind w:right="1971"/>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2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0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Cape Agamemnon</w:t>
            </w:r>
          </w:p>
        </w:tc>
        <w:tc>
          <w:tcPr>
            <w:tcW w:w="2160" w:type="dxa"/>
            <w:vAlign w:val="bottom"/>
          </w:tcPr>
          <w:p>
            <w:pPr>
              <w:spacing w:after="0"/>
              <w:rPr>
                <w:sz w:val="16"/>
                <w:szCs w:val="16"/>
                <w:color w:val="auto"/>
              </w:rPr>
            </w:pPr>
          </w:p>
        </w:tc>
        <w:tc>
          <w:tcPr>
            <w:tcW w:w="3560" w:type="dxa"/>
            <w:vAlign w:val="bottom"/>
          </w:tcPr>
          <w:p>
            <w:pPr>
              <w:jc w:val="center"/>
              <w:spacing w:after="0" w:line="185" w:lineRule="exact"/>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Active</w:t>
            </w:r>
          </w:p>
        </w:tc>
        <w:tc>
          <w:tcPr>
            <w:tcW w:w="216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Amazon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Amadeus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Uruguay</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Magdalena</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Atlantas II</w:t>
            </w:r>
          </w:p>
        </w:tc>
        <w:tc>
          <w:tcPr>
            <w:tcW w:w="2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99"/>
          </w:cols>
          <w:pgMar w:left="1160" w:top="274" w:right="1440" w:bottom="1440" w:gutter="0" w:footer="0" w:header="0"/>
        </w:sectPr>
      </w:pPr>
    </w:p>
    <w:bookmarkStart w:id="355" w:name="page356"/>
    <w:bookmarkEnd w:id="355"/>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28th September 2016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356" w:name="page357"/>
    <w:bookmarkEnd w:id="356"/>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28th day of September 2016</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Gerasimos Kalogiratos</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 and Chief Financial</w:t>
            </w:r>
          </w:p>
        </w:tc>
      </w:tr>
      <w:tr>
        <w:trPr>
          <w:trHeight w:val="230"/>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Syntichakis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Nikolaos Syntichakis</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Attorney-in-Fact&amp;Legal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4.57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AMENDMENT NO. 24 made effective the </w:t>
      </w:r>
      <w:r>
        <w:rPr>
          <w:rFonts w:ascii="Arial" w:cs="Arial" w:eastAsia="Arial" w:hAnsi="Arial"/>
          <w:sz w:val="18"/>
          <w:szCs w:val="18"/>
          <w:u w:val="single" w:color="auto"/>
          <w:color w:val="auto"/>
        </w:rPr>
        <w:t>24th day of October 2016,</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Schedule “B” of the Floating Rate Management Agreement is hereby amended to read in its entirety as follows:</w:t>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gridSpan w:val="2"/>
          </w:tcPr>
          <w:p>
            <w:pPr>
              <w:jc w:val="center"/>
              <w:ind w:right="1951"/>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20" w:type="dxa"/>
            <w:vAlign w:val="bottom"/>
            <w:gridSpan w:val="2"/>
          </w:tcPr>
          <w:p>
            <w:pPr>
              <w:jc w:val="center"/>
              <w:ind w:right="1971"/>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2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0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Cape Agamemnon</w:t>
            </w:r>
          </w:p>
        </w:tc>
        <w:tc>
          <w:tcPr>
            <w:tcW w:w="2160" w:type="dxa"/>
            <w:vAlign w:val="bottom"/>
          </w:tcPr>
          <w:p>
            <w:pPr>
              <w:spacing w:after="0"/>
              <w:rPr>
                <w:sz w:val="16"/>
                <w:szCs w:val="16"/>
                <w:color w:val="auto"/>
              </w:rPr>
            </w:pPr>
          </w:p>
        </w:tc>
        <w:tc>
          <w:tcPr>
            <w:tcW w:w="3560" w:type="dxa"/>
            <w:vAlign w:val="bottom"/>
          </w:tcPr>
          <w:p>
            <w:pPr>
              <w:jc w:val="center"/>
              <w:spacing w:after="0" w:line="185" w:lineRule="exact"/>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Active</w:t>
            </w:r>
          </w:p>
        </w:tc>
        <w:tc>
          <w:tcPr>
            <w:tcW w:w="216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Amazon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Amadeus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Uruguay</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Magdalena</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Atlantas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w:t>
            </w:r>
          </w:p>
        </w:tc>
        <w:tc>
          <w:tcPr>
            <w:tcW w:w="2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99"/>
          </w:cols>
          <w:pgMar w:left="1160" w:top="274" w:right="1440" w:bottom="1440" w:gutter="0" w:footer="0" w:header="0"/>
        </w:sectPr>
      </w:pPr>
    </w:p>
    <w:bookmarkStart w:id="359" w:name="page360"/>
    <w:bookmarkEnd w:id="359"/>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w:t>
      </w:r>
      <w:r>
        <w:rPr>
          <w:rFonts w:ascii="Arial" w:cs="Arial" w:eastAsia="Arial" w:hAnsi="Arial"/>
          <w:sz w:val="18"/>
          <w:szCs w:val="18"/>
          <w:u w:val="single" w:color="auto"/>
          <w:color w:val="auto"/>
        </w:rPr>
        <w:t>24th</w:t>
      </w:r>
      <w:r>
        <w:rPr>
          <w:rFonts w:ascii="Arial" w:cs="Arial" w:eastAsia="Arial" w:hAnsi="Arial"/>
          <w:sz w:val="18"/>
          <w:szCs w:val="18"/>
          <w:color w:val="auto"/>
        </w:rPr>
        <w:t xml:space="preserve"> October 2016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60" w:name="page361"/>
    <w:bookmarkEnd w:id="360"/>
    <w:p>
      <w:pPr>
        <w:ind w:right="3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24th day of October 2016</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Gerasimos Kalogiratos</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 and Chief Financial</w:t>
            </w:r>
          </w:p>
        </w:tc>
      </w:tr>
      <w:tr>
        <w:trPr>
          <w:trHeight w:val="230"/>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Syntichakis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Nikolaos Syntichakis</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Attorney-in-Fact&amp;Legal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4.58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AMENDMENT NO. 25 made effective the </w:t>
      </w:r>
      <w:r>
        <w:rPr>
          <w:rFonts w:ascii="Arial" w:cs="Arial" w:eastAsia="Arial" w:hAnsi="Arial"/>
          <w:sz w:val="18"/>
          <w:szCs w:val="18"/>
          <w:u w:val="single" w:color="auto"/>
          <w:color w:val="auto"/>
        </w:rPr>
        <w:t>1st day of December 2016,</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1480" w:hanging="567"/>
        <w:spacing w:after="0"/>
        <w:tabs>
          <w:tab w:leader="none" w:pos="148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CLP and CSM agree to make a correction as required and amend and restate this agreement.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Schedule “B” of the Floating Rate Management Agreement is hereby amended to read in its entirety as follows:</w:t>
      </w:r>
    </w:p>
    <w:p>
      <w:pPr>
        <w:spacing w:after="0" w:line="200" w:lineRule="exact"/>
        <w:rPr>
          <w:sz w:val="20"/>
          <w:szCs w:val="20"/>
          <w:color w:val="auto"/>
        </w:rPr>
      </w:pP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gridSpan w:val="2"/>
          </w:tcPr>
          <w:p>
            <w:pPr>
              <w:jc w:val="center"/>
              <w:ind w:right="1951"/>
              <w:spacing w:after="0"/>
              <w:rPr>
                <w:sz w:val="20"/>
                <w:szCs w:val="20"/>
                <w:color w:val="auto"/>
              </w:rPr>
            </w:pPr>
            <w:r>
              <w:rPr>
                <w:rFonts w:ascii="Arial" w:cs="Arial" w:eastAsia="Arial" w:hAnsi="Arial"/>
                <w:sz w:val="18"/>
                <w:szCs w:val="18"/>
                <w:b w:val="1"/>
                <w:bCs w:val="1"/>
                <w:color w:val="auto"/>
                <w:w w:val="99"/>
              </w:rPr>
              <w:t>SCHEDULE B</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20" w:type="dxa"/>
            <w:vAlign w:val="bottom"/>
            <w:gridSpan w:val="2"/>
          </w:tcPr>
          <w:p>
            <w:pPr>
              <w:jc w:val="center"/>
              <w:ind w:right="1971"/>
              <w:spacing w:after="0"/>
              <w:rPr>
                <w:sz w:val="20"/>
                <w:szCs w:val="20"/>
                <w:color w:val="auto"/>
              </w:rPr>
            </w:pPr>
            <w:r>
              <w:rPr>
                <w:rFonts w:ascii="Arial" w:cs="Arial" w:eastAsia="Arial" w:hAnsi="Arial"/>
                <w:sz w:val="18"/>
                <w:szCs w:val="18"/>
                <w:color w:val="auto"/>
                <w:w w:val="96"/>
              </w:rPr>
              <w:t>VESSELS AND DATE OF TERMINATION</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12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5"/>
        </w:trPr>
        <w:tc>
          <w:tcPr>
            <w:tcW w:w="20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Cape Agamemnon</w:t>
            </w:r>
          </w:p>
        </w:tc>
        <w:tc>
          <w:tcPr>
            <w:tcW w:w="2160" w:type="dxa"/>
            <w:vAlign w:val="bottom"/>
          </w:tcPr>
          <w:p>
            <w:pPr>
              <w:spacing w:after="0"/>
              <w:rPr>
                <w:sz w:val="16"/>
                <w:szCs w:val="16"/>
                <w:color w:val="auto"/>
              </w:rPr>
            </w:pPr>
          </w:p>
        </w:tc>
        <w:tc>
          <w:tcPr>
            <w:tcW w:w="3560" w:type="dxa"/>
            <w:vAlign w:val="bottom"/>
          </w:tcPr>
          <w:p>
            <w:pPr>
              <w:jc w:val="center"/>
              <w:spacing w:after="0" w:line="185" w:lineRule="exact"/>
              <w:rPr>
                <w:sz w:val="20"/>
                <w:szCs w:val="20"/>
                <w:color w:val="auto"/>
              </w:rPr>
            </w:pPr>
            <w:r>
              <w:rPr>
                <w:rFonts w:ascii="Arial" w:cs="Arial" w:eastAsia="Arial" w:hAnsi="Arial"/>
                <w:sz w:val="18"/>
                <w:szCs w:val="18"/>
                <w:color w:val="auto"/>
                <w:w w:val="87"/>
              </w:rPr>
              <w:t>June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Arionas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Agisilaos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Avax</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Axios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Akeraios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Apostolos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Aristotelis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November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Agamemnon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Archimidis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Anemos 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Premium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Paramount</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Mar-April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Platinum</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Hyundai Privilege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Huyndai Prestige</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August-September 2018</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Assos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Atrotos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Ayrton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Amore Mio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Active</w:t>
            </w:r>
          </w:p>
        </w:tc>
        <w:tc>
          <w:tcPr>
            <w:tcW w:w="216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March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Amazon</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Amadeus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Uruguay</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Alkiviadis</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CMA CGM Magdalena</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Atlantas II</w:t>
            </w:r>
          </w:p>
        </w:tc>
        <w:tc>
          <w:tcPr>
            <w:tcW w:w="21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September 2021</w:t>
            </w: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Amor</w:t>
            </w:r>
          </w:p>
        </w:tc>
        <w:tc>
          <w:tcPr>
            <w:tcW w:w="2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99"/>
          </w:cols>
          <w:pgMar w:left="1160" w:top="274" w:right="1440" w:bottom="1440" w:gutter="0" w:footer="0" w:header="0"/>
        </w:sectPr>
      </w:pPr>
    </w:p>
    <w:bookmarkStart w:id="363" w:name="page364"/>
    <w:bookmarkEnd w:id="363"/>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for each vessel as of 1st December 2016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64" w:name="page365"/>
    <w:bookmarkEnd w:id="364"/>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1st day of December 2016</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CAPITAL PRODUCT PARTNERS L.P. BY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 CAPITAL GP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Gerasimos Kalogiratos</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 and Chief Financial</w:t>
            </w:r>
          </w:p>
        </w:tc>
      </w:tr>
      <w:tr>
        <w:trPr>
          <w:trHeight w:val="230"/>
        </w:trPr>
        <w:tc>
          <w:tcPr>
            <w:tcW w:w="10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Capital GP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Nikolaos Syntichakis</w:t>
            </w:r>
          </w:p>
        </w:tc>
      </w:tr>
      <w:tr>
        <w:trPr>
          <w:trHeight w:val="209"/>
        </w:trPr>
        <w:tc>
          <w:tcPr>
            <w:tcW w:w="1040" w:type="dxa"/>
            <w:vAlign w:val="bottom"/>
          </w:tcPr>
          <w:p>
            <w:pPr>
              <w:ind w:left="36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Nikolaos Syntichakis</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Attorney-in-Fact&amp;Legal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26</w:t>
      </w:r>
      <w:r>
        <w:rPr>
          <w:rFonts w:ascii="Arial" w:cs="Arial" w:eastAsia="Arial" w:hAnsi="Arial"/>
          <w:sz w:val="15"/>
          <w:szCs w:val="15"/>
          <w:color w:val="auto"/>
        </w:rPr>
        <w:t>th</w:t>
      </w:r>
      <w:r>
        <w:rPr>
          <w:rFonts w:ascii="Arial" w:cs="Arial" w:eastAsia="Arial" w:hAnsi="Arial"/>
          <w:sz w:val="18"/>
          <w:szCs w:val="18"/>
          <w:color w:val="auto"/>
        </w:rPr>
        <w:t xml:space="preserve"> day of February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Atrotos Container Carrier S.A. –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9620" w:type="dxa"/>
            <w:vAlign w:val="bottom"/>
          </w:tcPr>
          <w:p>
            <w:pPr>
              <w:ind w:left="33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42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20" w:type="dxa"/>
            <w:vAlign w:val="bottom"/>
          </w:tcPr>
          <w:p>
            <w:pPr>
              <w:spacing w:after="0"/>
              <w:rPr>
                <w:sz w:val="24"/>
                <w:szCs w:val="24"/>
                <w:color w:val="auto"/>
              </w:rPr>
            </w:pPr>
          </w:p>
        </w:tc>
        <w:tc>
          <w:tcPr>
            <w:tcW w:w="9620" w:type="dxa"/>
            <w:vAlign w:val="bottom"/>
          </w:tcPr>
          <w:p>
            <w:pPr>
              <w:jc w:val="center"/>
              <w:ind w:right="1030"/>
              <w:spacing w:after="0"/>
              <w:rPr>
                <w:sz w:val="20"/>
                <w:szCs w:val="20"/>
                <w:color w:val="auto"/>
              </w:rPr>
            </w:pPr>
            <w:r>
              <w:rPr>
                <w:rFonts w:ascii="Arial" w:cs="Arial" w:eastAsia="Arial" w:hAnsi="Arial"/>
                <w:sz w:val="18"/>
                <w:szCs w:val="18"/>
                <w:color w:val="auto"/>
                <w:w w:val="99"/>
              </w:rPr>
              <w:t>ARTICLE I</w:t>
            </w:r>
          </w:p>
        </w:tc>
        <w:tc>
          <w:tcPr>
            <w:tcW w:w="28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30"/>
              <w:spacing w:after="0"/>
              <w:rPr>
                <w:sz w:val="20"/>
                <w:szCs w:val="20"/>
                <w:color w:val="auto"/>
              </w:rPr>
            </w:pPr>
            <w:r>
              <w:rPr>
                <w:rFonts w:ascii="Arial" w:cs="Arial" w:eastAsia="Arial" w:hAnsi="Arial"/>
                <w:sz w:val="18"/>
                <w:szCs w:val="18"/>
                <w:color w:val="auto"/>
                <w:w w:val="92"/>
              </w:rPr>
              <w:t>Interpretation</w:t>
            </w:r>
          </w:p>
        </w:tc>
        <w:tc>
          <w:tcPr>
            <w:tcW w:w="28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SECTION 1.01.</w:t>
            </w:r>
          </w:p>
        </w:tc>
        <w:tc>
          <w:tcPr>
            <w:tcW w:w="962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5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9620" w:type="dxa"/>
            <w:vAlign w:val="bottom"/>
          </w:tcPr>
          <w:p>
            <w:pPr>
              <w:ind w:left="3440"/>
              <w:spacing w:after="0"/>
              <w:rPr>
                <w:sz w:val="20"/>
                <w:szCs w:val="20"/>
                <w:color w:val="auto"/>
              </w:rPr>
            </w:pPr>
            <w:r>
              <w:rPr>
                <w:rFonts w:ascii="Arial" w:cs="Arial" w:eastAsia="Arial" w:hAnsi="Arial"/>
                <w:sz w:val="18"/>
                <w:szCs w:val="18"/>
                <w:color w:val="auto"/>
              </w:rPr>
              <w:t>Purchase and Sale of Shares; Closing</w:t>
            </w:r>
          </w:p>
        </w:tc>
        <w:tc>
          <w:tcPr>
            <w:tcW w:w="28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2.01.</w:t>
            </w:r>
          </w:p>
        </w:tc>
        <w:tc>
          <w:tcPr>
            <w:tcW w:w="9620" w:type="dxa"/>
            <w:vAlign w:val="bottom"/>
          </w:tcPr>
          <w:p>
            <w:pPr>
              <w:ind w:left="260"/>
              <w:spacing w:after="0"/>
              <w:rPr>
                <w:sz w:val="20"/>
                <w:szCs w:val="20"/>
                <w:color w:val="auto"/>
              </w:rPr>
            </w:pPr>
            <w:r>
              <w:rPr>
                <w:rFonts w:ascii="Arial" w:cs="Arial" w:eastAsia="Arial" w:hAnsi="Arial"/>
                <w:sz w:val="18"/>
                <w:szCs w:val="18"/>
                <w:color w:val="auto"/>
              </w:rPr>
              <w:t>Purchase and Sale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2.02.</w:t>
            </w:r>
          </w:p>
        </w:tc>
        <w:tc>
          <w:tcPr>
            <w:tcW w:w="9620" w:type="dxa"/>
            <w:vAlign w:val="bottom"/>
          </w:tcPr>
          <w:p>
            <w:pPr>
              <w:ind w:left="26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2.03.</w:t>
            </w:r>
          </w:p>
        </w:tc>
        <w:tc>
          <w:tcPr>
            <w:tcW w:w="9620" w:type="dxa"/>
            <w:vAlign w:val="bottom"/>
          </w:tcPr>
          <w:p>
            <w:pPr>
              <w:ind w:left="260"/>
              <w:spacing w:after="0"/>
              <w:rPr>
                <w:sz w:val="20"/>
                <w:szCs w:val="20"/>
                <w:color w:val="auto"/>
              </w:rPr>
            </w:pPr>
            <w:r>
              <w:rPr>
                <w:rFonts w:ascii="Arial" w:cs="Arial" w:eastAsia="Arial" w:hAnsi="Arial"/>
                <w:sz w:val="18"/>
                <w:szCs w:val="18"/>
                <w:color w:val="auto"/>
              </w:rPr>
              <w:t>Place of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2.04.</w:t>
            </w:r>
          </w:p>
        </w:tc>
        <w:tc>
          <w:tcPr>
            <w:tcW w:w="9620" w:type="dxa"/>
            <w:vAlign w:val="bottom"/>
          </w:tcPr>
          <w:p>
            <w:pPr>
              <w:ind w:left="260"/>
              <w:spacing w:after="0"/>
              <w:rPr>
                <w:sz w:val="20"/>
                <w:szCs w:val="20"/>
                <w:color w:val="auto"/>
              </w:rPr>
            </w:pPr>
            <w:r>
              <w:rPr>
                <w:rFonts w:ascii="Arial" w:cs="Arial" w:eastAsia="Arial" w:hAnsi="Arial"/>
                <w:sz w:val="18"/>
                <w:szCs w:val="18"/>
                <w:color w:val="auto"/>
              </w:rPr>
              <w:t>Purchase Price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2.05.</w:t>
            </w:r>
          </w:p>
        </w:tc>
        <w:tc>
          <w:tcPr>
            <w:tcW w:w="9620" w:type="dxa"/>
            <w:vAlign w:val="bottom"/>
          </w:tcPr>
          <w:p>
            <w:pPr>
              <w:ind w:left="260"/>
              <w:spacing w:after="0"/>
              <w:rPr>
                <w:sz w:val="20"/>
                <w:szCs w:val="20"/>
                <w:color w:val="auto"/>
              </w:rPr>
            </w:pPr>
            <w:r>
              <w:rPr>
                <w:rFonts w:ascii="Arial" w:cs="Arial" w:eastAsia="Arial" w:hAnsi="Arial"/>
                <w:sz w:val="18"/>
                <w:szCs w:val="18"/>
                <w:color w:val="auto"/>
              </w:rPr>
              <w:t>Payment of the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3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30"/>
              <w:spacing w:after="0"/>
              <w:rPr>
                <w:sz w:val="20"/>
                <w:szCs w:val="20"/>
                <w:color w:val="auto"/>
              </w:rPr>
            </w:pPr>
            <w:r>
              <w:rPr>
                <w:rFonts w:ascii="Arial" w:cs="Arial" w:eastAsia="Arial" w:hAnsi="Arial"/>
                <w:sz w:val="18"/>
                <w:szCs w:val="18"/>
                <w:color w:val="auto"/>
                <w:w w:val="89"/>
              </w:rPr>
              <w:t>Representations and Warranties of the Buyer</w:t>
            </w:r>
          </w:p>
        </w:tc>
        <w:tc>
          <w:tcPr>
            <w:tcW w:w="28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3.01.</w:t>
            </w:r>
          </w:p>
        </w:tc>
        <w:tc>
          <w:tcPr>
            <w:tcW w:w="9620" w:type="dxa"/>
            <w:vAlign w:val="bottom"/>
          </w:tcPr>
          <w:p>
            <w:pPr>
              <w:ind w:left="260"/>
              <w:spacing w:after="0"/>
              <w:rPr>
                <w:sz w:val="20"/>
                <w:szCs w:val="20"/>
                <w:color w:val="auto"/>
              </w:rPr>
            </w:pPr>
            <w:r>
              <w:rPr>
                <w:rFonts w:ascii="Arial" w:cs="Arial" w:eastAsia="Arial" w:hAnsi="Arial"/>
                <w:sz w:val="18"/>
                <w:szCs w:val="18"/>
                <w:color w:val="auto"/>
              </w:rPr>
              <w:t>Organization and Limited Partnership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3.02.</w:t>
            </w:r>
          </w:p>
        </w:tc>
        <w:tc>
          <w:tcPr>
            <w:tcW w:w="9620" w:type="dxa"/>
            <w:vAlign w:val="bottom"/>
          </w:tcPr>
          <w:p>
            <w:pPr>
              <w:ind w:left="260"/>
              <w:spacing w:after="0"/>
              <w:rPr>
                <w:sz w:val="20"/>
                <w:szCs w:val="20"/>
                <w:color w:val="auto"/>
              </w:rPr>
            </w:pPr>
            <w:r>
              <w:rPr>
                <w:rFonts w:ascii="Arial" w:cs="Arial" w:eastAsia="Arial" w:hAnsi="Arial"/>
                <w:sz w:val="18"/>
                <w:szCs w:val="18"/>
                <w:color w:val="auto"/>
              </w:rPr>
              <w:t>Agreement Not in Breach of Other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3.03.</w:t>
            </w:r>
          </w:p>
        </w:tc>
        <w:tc>
          <w:tcPr>
            <w:tcW w:w="9620" w:type="dxa"/>
            <w:vAlign w:val="bottom"/>
          </w:tcPr>
          <w:p>
            <w:pPr>
              <w:ind w:left="260"/>
              <w:spacing w:after="0"/>
              <w:rPr>
                <w:sz w:val="20"/>
                <w:szCs w:val="20"/>
                <w:color w:val="auto"/>
              </w:rPr>
            </w:pPr>
            <w:r>
              <w:rPr>
                <w:rFonts w:ascii="Arial" w:cs="Arial" w:eastAsia="Arial" w:hAnsi="Arial"/>
                <w:sz w:val="18"/>
                <w:szCs w:val="18"/>
                <w:color w:val="auto"/>
              </w:rPr>
              <w:t>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3.04.</w:t>
            </w:r>
          </w:p>
        </w:tc>
        <w:tc>
          <w:tcPr>
            <w:tcW w:w="9620" w:type="dxa"/>
            <w:vAlign w:val="bottom"/>
          </w:tcPr>
          <w:p>
            <w:pPr>
              <w:ind w:left="260"/>
              <w:spacing w:after="0"/>
              <w:rPr>
                <w:sz w:val="20"/>
                <w:szCs w:val="20"/>
                <w:color w:val="auto"/>
              </w:rPr>
            </w:pPr>
            <w:r>
              <w:rPr>
                <w:rFonts w:ascii="Arial" w:cs="Arial" w:eastAsia="Arial" w:hAnsi="Arial"/>
                <w:sz w:val="18"/>
                <w:szCs w:val="18"/>
                <w:color w:val="auto"/>
              </w:rPr>
              <w:t>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3.05.</w:t>
            </w:r>
          </w:p>
        </w:tc>
        <w:tc>
          <w:tcPr>
            <w:tcW w:w="9620" w:type="dxa"/>
            <w:vAlign w:val="bottom"/>
          </w:tcPr>
          <w:p>
            <w:pPr>
              <w:ind w:left="260"/>
              <w:spacing w:after="0"/>
              <w:rPr>
                <w:sz w:val="20"/>
                <w:szCs w:val="20"/>
                <w:color w:val="auto"/>
              </w:rPr>
            </w:pPr>
            <w:r>
              <w:rPr>
                <w:rFonts w:ascii="Arial" w:cs="Arial" w:eastAsia="Arial" w:hAnsi="Arial"/>
                <w:sz w:val="18"/>
                <w:szCs w:val="18"/>
                <w:color w:val="auto"/>
              </w:rPr>
              <w:t>Independent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3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r>
      <w:tr>
        <w:trPr>
          <w:trHeight w:val="324"/>
        </w:trPr>
        <w:tc>
          <w:tcPr>
            <w:tcW w:w="1420" w:type="dxa"/>
            <w:vAlign w:val="bottom"/>
          </w:tcPr>
          <w:p>
            <w:pPr>
              <w:spacing w:after="0"/>
              <w:rPr>
                <w:sz w:val="24"/>
                <w:szCs w:val="24"/>
                <w:color w:val="auto"/>
              </w:rPr>
            </w:pPr>
          </w:p>
        </w:tc>
        <w:tc>
          <w:tcPr>
            <w:tcW w:w="9620" w:type="dxa"/>
            <w:vAlign w:val="bottom"/>
          </w:tcPr>
          <w:p>
            <w:pPr>
              <w:jc w:val="center"/>
              <w:ind w:right="1050"/>
              <w:spacing w:after="0"/>
              <w:rPr>
                <w:sz w:val="20"/>
                <w:szCs w:val="20"/>
                <w:color w:val="auto"/>
              </w:rPr>
            </w:pPr>
            <w:r>
              <w:rPr>
                <w:rFonts w:ascii="Arial" w:cs="Arial" w:eastAsia="Arial" w:hAnsi="Arial"/>
                <w:sz w:val="18"/>
                <w:szCs w:val="18"/>
                <w:color w:val="auto"/>
                <w:w w:val="89"/>
              </w:rPr>
              <w:t>Representations and Warranties of the Seller</w:t>
            </w:r>
          </w:p>
        </w:tc>
        <w:tc>
          <w:tcPr>
            <w:tcW w:w="28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4.01.</w:t>
            </w:r>
          </w:p>
        </w:tc>
        <w:tc>
          <w:tcPr>
            <w:tcW w:w="9620" w:type="dxa"/>
            <w:vAlign w:val="bottom"/>
          </w:tcPr>
          <w:p>
            <w:pPr>
              <w:ind w:left="260"/>
              <w:spacing w:after="0"/>
              <w:rPr>
                <w:sz w:val="20"/>
                <w:szCs w:val="20"/>
                <w:color w:val="auto"/>
              </w:rPr>
            </w:pPr>
            <w:r>
              <w:rPr>
                <w:rFonts w:ascii="Arial" w:cs="Arial" w:eastAsia="Arial" w:hAnsi="Arial"/>
                <w:sz w:val="18"/>
                <w:szCs w:val="18"/>
                <w:color w:val="auto"/>
              </w:rPr>
              <w:t>Organization and Corporate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4.02.</w:t>
            </w:r>
          </w:p>
        </w:tc>
        <w:tc>
          <w:tcPr>
            <w:tcW w:w="9620" w:type="dxa"/>
            <w:vAlign w:val="bottom"/>
          </w:tcPr>
          <w:p>
            <w:pPr>
              <w:ind w:left="260"/>
              <w:spacing w:after="0"/>
              <w:rPr>
                <w:sz w:val="20"/>
                <w:szCs w:val="20"/>
                <w:color w:val="auto"/>
              </w:rPr>
            </w:pPr>
            <w:r>
              <w:rPr>
                <w:rFonts w:ascii="Arial" w:cs="Arial" w:eastAsia="Arial" w:hAnsi="Arial"/>
                <w:sz w:val="18"/>
                <w:szCs w:val="18"/>
                <w:color w:val="auto"/>
              </w:rPr>
              <w:t>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4.03.</w:t>
            </w:r>
          </w:p>
        </w:tc>
        <w:tc>
          <w:tcPr>
            <w:tcW w:w="9620" w:type="dxa"/>
            <w:vAlign w:val="bottom"/>
          </w:tcPr>
          <w:p>
            <w:pPr>
              <w:ind w:left="260"/>
              <w:spacing w:after="0"/>
              <w:rPr>
                <w:sz w:val="20"/>
                <w:szCs w:val="20"/>
                <w:color w:val="auto"/>
              </w:rPr>
            </w:pPr>
            <w:r>
              <w:rPr>
                <w:rFonts w:ascii="Arial" w:cs="Arial" w:eastAsia="Arial" w:hAnsi="Arial"/>
                <w:sz w:val="18"/>
                <w:szCs w:val="18"/>
                <w:color w:val="auto"/>
              </w:rPr>
              <w:t>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4.04.</w:t>
            </w:r>
          </w:p>
        </w:tc>
        <w:tc>
          <w:tcPr>
            <w:tcW w:w="9620" w:type="dxa"/>
            <w:vAlign w:val="bottom"/>
          </w:tcPr>
          <w:p>
            <w:pPr>
              <w:ind w:left="260"/>
              <w:spacing w:after="0"/>
              <w:rPr>
                <w:sz w:val="20"/>
                <w:szCs w:val="20"/>
                <w:color w:val="auto"/>
              </w:rPr>
            </w:pPr>
            <w:r>
              <w:rPr>
                <w:rFonts w:ascii="Arial" w:cs="Arial" w:eastAsia="Arial" w:hAnsi="Arial"/>
                <w:sz w:val="18"/>
                <w:szCs w:val="18"/>
                <w:color w:val="auto"/>
              </w:rPr>
              <w:t>Good and Marketable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4.05.</w:t>
            </w:r>
          </w:p>
        </w:tc>
        <w:tc>
          <w:tcPr>
            <w:tcW w:w="9620" w:type="dxa"/>
            <w:vAlign w:val="bottom"/>
          </w:tcPr>
          <w:p>
            <w:pPr>
              <w:ind w:left="260"/>
              <w:spacing w:after="0"/>
              <w:rPr>
                <w:sz w:val="20"/>
                <w:szCs w:val="20"/>
                <w:color w:val="auto"/>
              </w:rPr>
            </w:pPr>
            <w:r>
              <w:rPr>
                <w:rFonts w:ascii="Arial" w:cs="Arial" w:eastAsia="Arial" w:hAnsi="Arial"/>
                <w:sz w:val="18"/>
                <w:szCs w:val="18"/>
                <w:color w:val="auto"/>
              </w:rPr>
              <w:t>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jc w:val="right"/>
        <w:spacing w:after="0"/>
        <w:rPr>
          <w:sz w:val="20"/>
          <w:szCs w:val="20"/>
          <w:color w:val="auto"/>
        </w:rPr>
        <w:sectPr>
          <w:pgSz w:w="11900" w:h="16838" w:orient="portrait"/>
          <w:cols w:equalWidth="0" w:num="1">
            <w:col w:w="11320"/>
          </w:cols>
          <w:pgMar w:left="240" w:top="27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7" w:name="page368"/>
    <w:bookmarkEnd w:id="367"/>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90"/>
              </w:rPr>
              <w:t>the Seller Regarding the Vessel Owning Subsidiary</w:t>
            </w:r>
          </w:p>
        </w:tc>
        <w:tc>
          <w:tcPr>
            <w:tcW w:w="280" w:type="dxa"/>
            <w:vAlign w:val="bottom"/>
          </w:tcPr>
          <w:p>
            <w:pPr>
              <w:spacing w:after="0"/>
              <w:rPr>
                <w:sz w:val="20"/>
                <w:szCs w:val="20"/>
                <w:color w:val="auto"/>
              </w:rPr>
            </w:pPr>
          </w:p>
        </w:tc>
      </w:tr>
      <w:tr>
        <w:trPr>
          <w:trHeight w:val="323"/>
        </w:trPr>
        <w:tc>
          <w:tcPr>
            <w:tcW w:w="1380" w:type="dxa"/>
            <w:vAlign w:val="bottom"/>
          </w:tcPr>
          <w:p>
            <w:pPr>
              <w:spacing w:after="0"/>
              <w:rPr>
                <w:sz w:val="20"/>
                <w:szCs w:val="20"/>
                <w:color w:val="auto"/>
              </w:rPr>
            </w:pPr>
            <w:r>
              <w:rPr>
                <w:rFonts w:ascii="Arial" w:cs="Arial" w:eastAsia="Arial" w:hAnsi="Arial"/>
                <w:sz w:val="18"/>
                <w:szCs w:val="18"/>
                <w:color w:val="auto"/>
              </w:rPr>
              <w:t>SECTION 5.01.</w:t>
            </w:r>
          </w:p>
        </w:tc>
        <w:tc>
          <w:tcPr>
            <w:tcW w:w="9660" w:type="dxa"/>
            <w:vAlign w:val="bottom"/>
          </w:tcPr>
          <w:p>
            <w:pPr>
              <w:ind w:left="200"/>
              <w:spacing w:after="0"/>
              <w:rPr>
                <w:sz w:val="20"/>
                <w:szCs w:val="20"/>
                <w:color w:val="auto"/>
              </w:rPr>
            </w:pPr>
            <w:r>
              <w:rPr>
                <w:rFonts w:ascii="Arial" w:cs="Arial" w:eastAsia="Arial" w:hAnsi="Arial"/>
                <w:sz w:val="18"/>
                <w:szCs w:val="18"/>
                <w:color w:val="auto"/>
              </w:rPr>
              <w:t>Organization Good Standing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5.02.</w:t>
            </w:r>
          </w:p>
        </w:tc>
        <w:tc>
          <w:tcPr>
            <w:tcW w:w="9660" w:type="dxa"/>
            <w:vAlign w:val="bottom"/>
          </w:tcPr>
          <w:p>
            <w:pPr>
              <w:ind w:left="200"/>
              <w:spacing w:after="0"/>
              <w:rPr>
                <w:sz w:val="20"/>
                <w:szCs w:val="20"/>
                <w:color w:val="auto"/>
              </w:rPr>
            </w:pPr>
            <w:r>
              <w:rPr>
                <w:rFonts w:ascii="Arial" w:cs="Arial" w:eastAsia="Arial" w:hAnsi="Arial"/>
                <w:sz w:val="18"/>
                <w:szCs w:val="18"/>
                <w:color w:val="auto"/>
              </w:rPr>
              <w:t>Capitalization; Title to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5.03.</w:t>
            </w:r>
          </w:p>
        </w:tc>
        <w:tc>
          <w:tcPr>
            <w:tcW w:w="9660" w:type="dxa"/>
            <w:vAlign w:val="bottom"/>
          </w:tcPr>
          <w:p>
            <w:pPr>
              <w:ind w:left="200"/>
              <w:spacing w:after="0"/>
              <w:rPr>
                <w:sz w:val="20"/>
                <w:szCs w:val="20"/>
                <w:color w:val="auto"/>
              </w:rPr>
            </w:pPr>
            <w:r>
              <w:rPr>
                <w:rFonts w:ascii="Arial" w:cs="Arial" w:eastAsia="Arial" w:hAnsi="Arial"/>
                <w:sz w:val="18"/>
                <w:szCs w:val="18"/>
                <w:color w:val="auto"/>
              </w:rPr>
              <w:t>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5.04.</w:t>
            </w:r>
          </w:p>
        </w:tc>
        <w:tc>
          <w:tcPr>
            <w:tcW w:w="9660" w:type="dxa"/>
            <w:vAlign w:val="bottom"/>
          </w:tcPr>
          <w:p>
            <w:pPr>
              <w:ind w:left="200"/>
              <w:spacing w:after="0"/>
              <w:rPr>
                <w:sz w:val="20"/>
                <w:szCs w:val="20"/>
                <w:color w:val="auto"/>
              </w:rPr>
            </w:pPr>
            <w:r>
              <w:rPr>
                <w:rFonts w:ascii="Arial" w:cs="Arial" w:eastAsia="Arial" w:hAnsi="Arial"/>
                <w:sz w:val="18"/>
                <w:szCs w:val="18"/>
                <w:color w:val="auto"/>
              </w:rPr>
              <w:t>Agreement Not in Breach</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5.05.</w:t>
            </w:r>
          </w:p>
        </w:tc>
        <w:tc>
          <w:tcPr>
            <w:tcW w:w="966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5.06.</w:t>
            </w:r>
          </w:p>
        </w:tc>
        <w:tc>
          <w:tcPr>
            <w:tcW w:w="9660" w:type="dxa"/>
            <w:vAlign w:val="bottom"/>
          </w:tcPr>
          <w:p>
            <w:pPr>
              <w:ind w:left="200"/>
              <w:spacing w:after="0"/>
              <w:rPr>
                <w:sz w:val="20"/>
                <w:szCs w:val="20"/>
                <w:color w:val="auto"/>
              </w:rPr>
            </w:pPr>
            <w:r>
              <w:rPr>
                <w:rFonts w:ascii="Arial" w:cs="Arial" w:eastAsia="Arial" w:hAnsi="Arial"/>
                <w:sz w:val="18"/>
                <w:szCs w:val="18"/>
                <w:color w:val="auto"/>
              </w:rPr>
              <w:t>Indebtedness to and from Officers, etc.</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5.07.</w:t>
            </w:r>
          </w:p>
        </w:tc>
        <w:tc>
          <w:tcPr>
            <w:tcW w:w="9660" w:type="dxa"/>
            <w:vAlign w:val="bottom"/>
          </w:tcPr>
          <w:p>
            <w:pPr>
              <w:ind w:left="200"/>
              <w:spacing w:after="0"/>
              <w:rPr>
                <w:sz w:val="20"/>
                <w:szCs w:val="20"/>
                <w:color w:val="auto"/>
              </w:rPr>
            </w:pPr>
            <w:r>
              <w:rPr>
                <w:rFonts w:ascii="Arial" w:cs="Arial" w:eastAsia="Arial" w:hAnsi="Arial"/>
                <w:sz w:val="18"/>
                <w:szCs w:val="18"/>
                <w:color w:val="auto"/>
              </w:rPr>
              <w:t>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5.08.</w:t>
            </w:r>
          </w:p>
        </w:tc>
        <w:tc>
          <w:tcPr>
            <w:tcW w:w="9660" w:type="dxa"/>
            <w:vAlign w:val="bottom"/>
          </w:tcPr>
          <w:p>
            <w:pPr>
              <w:ind w:left="200"/>
              <w:spacing w:after="0"/>
              <w:rPr>
                <w:sz w:val="20"/>
                <w:szCs w:val="20"/>
                <w:color w:val="auto"/>
              </w:rPr>
            </w:pPr>
            <w:r>
              <w:rPr>
                <w:rFonts w:ascii="Arial" w:cs="Arial" w:eastAsia="Arial" w:hAnsi="Arial"/>
                <w:sz w:val="18"/>
                <w:szCs w:val="18"/>
                <w:color w:val="auto"/>
              </w:rPr>
              <w:t>Contracts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5.09.</w:t>
            </w:r>
          </w:p>
        </w:tc>
        <w:tc>
          <w:tcPr>
            <w:tcW w:w="9660" w:type="dxa"/>
            <w:vAlign w:val="bottom"/>
          </w:tcPr>
          <w:p>
            <w:pPr>
              <w:ind w:left="20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5.10.</w:t>
            </w:r>
          </w:p>
        </w:tc>
        <w:tc>
          <w:tcPr>
            <w:tcW w:w="966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5.11.</w:t>
            </w:r>
          </w:p>
        </w:tc>
        <w:tc>
          <w:tcPr>
            <w:tcW w:w="9660" w:type="dxa"/>
            <w:vAlign w:val="bottom"/>
          </w:tcPr>
          <w:p>
            <w:pPr>
              <w:ind w:left="200"/>
              <w:spacing w:after="0"/>
              <w:rPr>
                <w:sz w:val="20"/>
                <w:szCs w:val="20"/>
                <w:color w:val="auto"/>
              </w:rPr>
            </w:pPr>
            <w:r>
              <w:rPr>
                <w:rFonts w:ascii="Arial" w:cs="Arial" w:eastAsia="Arial" w:hAnsi="Arial"/>
                <w:sz w:val="18"/>
                <w:szCs w:val="18"/>
                <w:color w:val="auto"/>
              </w:rPr>
              <w:t>Disclosure of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5.12.</w:t>
            </w:r>
          </w:p>
        </w:tc>
        <w:tc>
          <w:tcPr>
            <w:tcW w:w="9660" w:type="dxa"/>
            <w:vAlign w:val="bottom"/>
          </w:tcPr>
          <w:p>
            <w:pPr>
              <w:ind w:left="200"/>
              <w:spacing w:after="0"/>
              <w:rPr>
                <w:sz w:val="20"/>
                <w:szCs w:val="20"/>
                <w:color w:val="auto"/>
              </w:rPr>
            </w:pPr>
            <w:r>
              <w:rPr>
                <w:rFonts w:ascii="Arial" w:cs="Arial" w:eastAsia="Arial" w:hAnsi="Arial"/>
                <w:sz w:val="18"/>
                <w:szCs w:val="18"/>
                <w:color w:val="auto"/>
              </w:rPr>
              <w:t>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5.13.</w:t>
            </w:r>
          </w:p>
        </w:tc>
        <w:tc>
          <w:tcPr>
            <w:tcW w:w="9660" w:type="dxa"/>
            <w:vAlign w:val="bottom"/>
          </w:tcPr>
          <w:p>
            <w:pPr>
              <w:ind w:left="20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5.14.</w:t>
            </w:r>
          </w:p>
        </w:tc>
        <w:tc>
          <w:tcPr>
            <w:tcW w:w="9660" w:type="dxa"/>
            <w:vAlign w:val="bottom"/>
          </w:tcPr>
          <w:p>
            <w:pPr>
              <w:ind w:left="200"/>
              <w:spacing w:after="0"/>
              <w:rPr>
                <w:sz w:val="20"/>
                <w:szCs w:val="20"/>
                <w:color w:val="auto"/>
              </w:rPr>
            </w:pPr>
            <w:r>
              <w:rPr>
                <w:rFonts w:ascii="Arial" w:cs="Arial" w:eastAsia="Arial" w:hAnsi="Arial"/>
                <w:sz w:val="18"/>
                <w:szCs w:val="18"/>
                <w:color w:val="auto"/>
              </w:rPr>
              <w:t>No Material Adverse Change in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88"/>
              </w:rPr>
              <w:t>Representations and Warranties of</w:t>
            </w:r>
          </w:p>
        </w:tc>
        <w:tc>
          <w:tcPr>
            <w:tcW w:w="28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88"/>
              </w:rPr>
              <w:t>the Seller regarding the Vessel</w:t>
            </w:r>
          </w:p>
        </w:tc>
        <w:tc>
          <w:tcPr>
            <w:tcW w:w="280" w:type="dxa"/>
            <w:vAlign w:val="bottom"/>
          </w:tcPr>
          <w:p>
            <w:pPr>
              <w:spacing w:after="0"/>
              <w:rPr>
                <w:sz w:val="20"/>
                <w:szCs w:val="20"/>
                <w:color w:val="auto"/>
              </w:rPr>
            </w:pPr>
          </w:p>
        </w:tc>
      </w:tr>
      <w:tr>
        <w:trPr>
          <w:trHeight w:val="323"/>
        </w:trPr>
        <w:tc>
          <w:tcPr>
            <w:tcW w:w="1380" w:type="dxa"/>
            <w:vAlign w:val="bottom"/>
          </w:tcPr>
          <w:p>
            <w:pPr>
              <w:spacing w:after="0"/>
              <w:rPr>
                <w:sz w:val="20"/>
                <w:szCs w:val="20"/>
                <w:color w:val="auto"/>
              </w:rPr>
            </w:pPr>
            <w:r>
              <w:rPr>
                <w:rFonts w:ascii="Arial" w:cs="Arial" w:eastAsia="Arial" w:hAnsi="Arial"/>
                <w:sz w:val="18"/>
                <w:szCs w:val="18"/>
                <w:color w:val="auto"/>
              </w:rPr>
              <w:t>SECTION 6.01.</w:t>
            </w:r>
          </w:p>
        </w:tc>
        <w:tc>
          <w:tcPr>
            <w:tcW w:w="9660" w:type="dxa"/>
            <w:vAlign w:val="bottom"/>
          </w:tcPr>
          <w:p>
            <w:pPr>
              <w:ind w:left="200"/>
              <w:spacing w:after="0"/>
              <w:rPr>
                <w:sz w:val="20"/>
                <w:szCs w:val="20"/>
                <w:color w:val="auto"/>
              </w:rPr>
            </w:pPr>
            <w:r>
              <w:rPr>
                <w:rFonts w:ascii="Arial" w:cs="Arial" w:eastAsia="Arial" w:hAnsi="Arial"/>
                <w:sz w:val="18"/>
                <w:szCs w:val="18"/>
                <w:color w:val="auto"/>
              </w:rPr>
              <w:t>Title to Vessel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6.02.</w:t>
            </w:r>
          </w:p>
        </w:tc>
        <w:tc>
          <w:tcPr>
            <w:tcW w:w="9660" w:type="dxa"/>
            <w:vAlign w:val="bottom"/>
          </w:tcPr>
          <w:p>
            <w:pPr>
              <w:ind w:left="200"/>
              <w:spacing w:after="0"/>
              <w:rPr>
                <w:sz w:val="20"/>
                <w:szCs w:val="20"/>
                <w:color w:val="auto"/>
              </w:rPr>
            </w:pPr>
            <w:r>
              <w:rPr>
                <w:rFonts w:ascii="Arial" w:cs="Arial" w:eastAsia="Arial" w:hAnsi="Arial"/>
                <w:sz w:val="18"/>
                <w:szCs w:val="18"/>
                <w:color w:val="auto"/>
              </w:rPr>
              <w:t>No Encumbrances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6.03.</w:t>
            </w:r>
          </w:p>
        </w:tc>
        <w:tc>
          <w:tcPr>
            <w:tcW w:w="9660" w:type="dxa"/>
            <w:vAlign w:val="bottom"/>
          </w:tcPr>
          <w:p>
            <w:pPr>
              <w:ind w:left="200"/>
              <w:spacing w:after="0"/>
              <w:rPr>
                <w:sz w:val="20"/>
                <w:szCs w:val="20"/>
                <w:color w:val="auto"/>
              </w:rPr>
            </w:pPr>
            <w:r>
              <w:rPr>
                <w:rFonts w:ascii="Arial" w:cs="Arial" w:eastAsia="Arial" w:hAnsi="Arial"/>
                <w:sz w:val="18"/>
                <w:szCs w:val="18"/>
                <w:color w:val="auto"/>
              </w:rPr>
              <w:t>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1010"/>
              <w:spacing w:after="0"/>
              <w:rPr>
                <w:sz w:val="20"/>
                <w:szCs w:val="20"/>
                <w:color w:val="auto"/>
              </w:rPr>
            </w:pPr>
            <w:r>
              <w:rPr>
                <w:rFonts w:ascii="Arial" w:cs="Arial" w:eastAsia="Arial" w:hAnsi="Arial"/>
                <w:sz w:val="18"/>
                <w:szCs w:val="18"/>
                <w:color w:val="auto"/>
                <w:w w:val="88"/>
              </w:rPr>
              <w:t>Covenants</w:t>
            </w:r>
          </w:p>
        </w:tc>
        <w:tc>
          <w:tcPr>
            <w:tcW w:w="28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SECTION 7.01.</w:t>
            </w:r>
          </w:p>
        </w:tc>
        <w:tc>
          <w:tcPr>
            <w:tcW w:w="966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7.02.</w:t>
            </w:r>
          </w:p>
        </w:tc>
        <w:tc>
          <w:tcPr>
            <w:tcW w:w="96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660" w:type="dxa"/>
            <w:vAlign w:val="bottom"/>
          </w:tcPr>
          <w:p>
            <w:pPr>
              <w:jc w:val="center"/>
              <w:ind w:right="990"/>
              <w:spacing w:after="0"/>
              <w:rPr>
                <w:sz w:val="20"/>
                <w:szCs w:val="20"/>
                <w:color w:val="auto"/>
              </w:rPr>
            </w:pPr>
            <w:r>
              <w:rPr>
                <w:rFonts w:ascii="Arial" w:cs="Arial" w:eastAsia="Arial" w:hAnsi="Arial"/>
                <w:sz w:val="18"/>
                <w:szCs w:val="18"/>
                <w:color w:val="auto"/>
                <w:w w:val="89"/>
              </w:rPr>
              <w:t>Amendments and Waivers</w:t>
            </w:r>
          </w:p>
        </w:tc>
        <w:tc>
          <w:tcPr>
            <w:tcW w:w="280" w:type="dxa"/>
            <w:vAlign w:val="bottom"/>
          </w:tcPr>
          <w:p>
            <w:pPr>
              <w:spacing w:after="0"/>
              <w:rPr>
                <w:sz w:val="24"/>
                <w:szCs w:val="24"/>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8.01.</w:t>
            </w:r>
          </w:p>
        </w:tc>
        <w:tc>
          <w:tcPr>
            <w:tcW w:w="9660" w:type="dxa"/>
            <w:vAlign w:val="bottom"/>
          </w:tcPr>
          <w:p>
            <w:pPr>
              <w:ind w:left="20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380" w:type="dxa"/>
            <w:vAlign w:val="bottom"/>
          </w:tcPr>
          <w:p>
            <w:pPr>
              <w:spacing w:after="0"/>
              <w:rPr>
                <w:sz w:val="24"/>
                <w:szCs w:val="24"/>
                <w:color w:val="auto"/>
              </w:rPr>
            </w:pPr>
          </w:p>
        </w:tc>
        <w:tc>
          <w:tcPr>
            <w:tcW w:w="9660" w:type="dxa"/>
            <w:vAlign w:val="bottom"/>
          </w:tcPr>
          <w:p>
            <w:pPr>
              <w:ind w:left="42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8" w:name="page369"/>
    <w:bookmarkEnd w:id="368"/>
    <w:tbl>
      <w:tblPr>
        <w:tblLayout w:type="fixed"/>
        <w:tblInd w:w="0" w:type="dxa"/>
        <w:tblCellMar>
          <w:top w:w="0" w:type="dxa"/>
          <w:left w:w="0" w:type="dxa"/>
          <w:bottom w:w="0" w:type="dxa"/>
          <w:right w:w="0" w:type="dxa"/>
        </w:tblCellMar>
      </w:tblPr>
      <w:tr>
        <w:trPr>
          <w:trHeight w:val="167"/>
        </w:trPr>
        <w:tc>
          <w:tcPr>
            <w:tcW w:w="1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4768"/>
              <w:spacing w:after="0"/>
              <w:rPr>
                <w:sz w:val="20"/>
                <w:szCs w:val="20"/>
                <w:color w:val="auto"/>
              </w:rPr>
            </w:pPr>
            <w:r>
              <w:rPr>
                <w:rFonts w:ascii="Arial" w:cs="Arial" w:eastAsia="Arial" w:hAnsi="Arial"/>
                <w:sz w:val="18"/>
                <w:szCs w:val="18"/>
                <w:color w:val="auto"/>
                <w:w w:val="99"/>
              </w:rPr>
              <w:t>ARTICLE IX</w:t>
            </w:r>
          </w:p>
        </w:tc>
      </w:tr>
      <w:tr>
        <w:trPr>
          <w:trHeight w:val="324"/>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4768"/>
              <w:spacing w:after="0"/>
              <w:rPr>
                <w:sz w:val="20"/>
                <w:szCs w:val="20"/>
                <w:color w:val="auto"/>
              </w:rPr>
            </w:pPr>
            <w:r>
              <w:rPr>
                <w:rFonts w:ascii="Arial" w:cs="Arial" w:eastAsia="Arial" w:hAnsi="Arial"/>
                <w:sz w:val="18"/>
                <w:szCs w:val="18"/>
                <w:color w:val="auto"/>
                <w:w w:val="94"/>
              </w:rPr>
              <w:t>Indemnification</w:t>
            </w: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9.01.</w:t>
            </w:r>
          </w:p>
        </w:tc>
        <w:tc>
          <w:tcPr>
            <w:tcW w:w="3440" w:type="dxa"/>
            <w:vAlign w:val="bottom"/>
          </w:tcPr>
          <w:p>
            <w:pPr>
              <w:ind w:left="160"/>
              <w:spacing w:after="0"/>
              <w:rPr>
                <w:sz w:val="20"/>
                <w:szCs w:val="20"/>
                <w:color w:val="auto"/>
              </w:rPr>
            </w:pPr>
            <w:r>
              <w:rPr>
                <w:rFonts w:ascii="Arial" w:cs="Arial" w:eastAsia="Arial" w:hAnsi="Arial"/>
                <w:sz w:val="18"/>
                <w:szCs w:val="18"/>
                <w:color w:val="auto"/>
              </w:rPr>
              <w:t>Indemnity by the Seller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9.02.</w:t>
            </w:r>
          </w:p>
        </w:tc>
        <w:tc>
          <w:tcPr>
            <w:tcW w:w="3440" w:type="dxa"/>
            <w:vAlign w:val="bottom"/>
          </w:tcPr>
          <w:p>
            <w:pPr>
              <w:ind w:left="160"/>
              <w:spacing w:after="0"/>
              <w:rPr>
                <w:sz w:val="20"/>
                <w:szCs w:val="20"/>
                <w:color w:val="auto"/>
              </w:rPr>
            </w:pPr>
            <w:r>
              <w:rPr>
                <w:rFonts w:ascii="Arial" w:cs="Arial" w:eastAsia="Arial" w:hAnsi="Arial"/>
                <w:sz w:val="18"/>
                <w:szCs w:val="18"/>
                <w:color w:val="auto"/>
              </w:rPr>
              <w:t>Indemnity by the Buyer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9.03.</w:t>
            </w:r>
          </w:p>
        </w:tc>
        <w:tc>
          <w:tcPr>
            <w:tcW w:w="3440" w:type="dxa"/>
            <w:vAlign w:val="bottom"/>
          </w:tcPr>
          <w:p>
            <w:pPr>
              <w:ind w:left="160"/>
              <w:spacing w:after="0"/>
              <w:rPr>
                <w:sz w:val="20"/>
                <w:szCs w:val="20"/>
                <w:color w:val="auto"/>
              </w:rPr>
            </w:pPr>
            <w:r>
              <w:rPr>
                <w:rFonts w:ascii="Arial" w:cs="Arial" w:eastAsia="Arial" w:hAnsi="Arial"/>
                <w:sz w:val="18"/>
                <w:szCs w:val="18"/>
                <w:color w:val="auto"/>
              </w:rPr>
              <w:t>Exclusive Post-Closing Remedy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4788"/>
              <w:spacing w:after="0"/>
              <w:rPr>
                <w:sz w:val="20"/>
                <w:szCs w:val="20"/>
                <w:color w:val="auto"/>
              </w:rPr>
            </w:pPr>
            <w:r>
              <w:rPr>
                <w:rFonts w:ascii="Arial" w:cs="Arial" w:eastAsia="Arial" w:hAnsi="Arial"/>
                <w:sz w:val="18"/>
                <w:szCs w:val="18"/>
                <w:color w:val="auto"/>
                <w:w w:val="98"/>
              </w:rPr>
              <w:t>ARTICLE X</w:t>
            </w:r>
          </w:p>
        </w:tc>
      </w:tr>
      <w:tr>
        <w:trPr>
          <w:trHeight w:val="324"/>
        </w:trPr>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4788"/>
              <w:spacing w:after="0"/>
              <w:rPr>
                <w:sz w:val="20"/>
                <w:szCs w:val="20"/>
                <w:color w:val="auto"/>
              </w:rPr>
            </w:pPr>
            <w:r>
              <w:rPr>
                <w:rFonts w:ascii="Arial" w:cs="Arial" w:eastAsia="Arial" w:hAnsi="Arial"/>
                <w:sz w:val="18"/>
                <w:szCs w:val="18"/>
                <w:color w:val="auto"/>
                <w:w w:val="91"/>
              </w:rPr>
              <w:t>Miscellaneous</w:t>
            </w:r>
          </w:p>
        </w:tc>
      </w:tr>
      <w:tr>
        <w:trPr>
          <w:trHeight w:val="310"/>
        </w:trPr>
        <w:tc>
          <w:tcPr>
            <w:tcW w:w="1420" w:type="dxa"/>
            <w:vAlign w:val="bottom"/>
          </w:tcPr>
          <w:p>
            <w:pPr>
              <w:spacing w:after="0"/>
              <w:rPr>
                <w:sz w:val="20"/>
                <w:szCs w:val="20"/>
                <w:color w:val="auto"/>
              </w:rPr>
            </w:pPr>
            <w:r>
              <w:rPr>
                <w:rFonts w:ascii="Arial" w:cs="Arial" w:eastAsia="Arial" w:hAnsi="Arial"/>
                <w:sz w:val="18"/>
                <w:szCs w:val="18"/>
                <w:color w:val="auto"/>
              </w:rPr>
              <w:t>SECTION 10.01.</w:t>
            </w:r>
          </w:p>
        </w:tc>
        <w:tc>
          <w:tcPr>
            <w:tcW w:w="344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10.02.</w:t>
            </w:r>
          </w:p>
        </w:tc>
        <w:tc>
          <w:tcPr>
            <w:tcW w:w="34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10.03.</w:t>
            </w:r>
          </w:p>
        </w:tc>
        <w:tc>
          <w:tcPr>
            <w:tcW w:w="3440" w:type="dxa"/>
            <w:vAlign w:val="bottom"/>
          </w:tcPr>
          <w:p>
            <w:pPr>
              <w:ind w:left="160"/>
              <w:spacing w:after="0"/>
              <w:rPr>
                <w:sz w:val="20"/>
                <w:szCs w:val="20"/>
                <w:color w:val="auto"/>
              </w:rPr>
            </w:pPr>
            <w:r>
              <w:rPr>
                <w:rFonts w:ascii="Arial" w:cs="Arial" w:eastAsia="Arial" w:hAnsi="Arial"/>
                <w:sz w:val="18"/>
                <w:szCs w:val="18"/>
                <w:color w:val="auto"/>
              </w:rPr>
              <w:t>Complete Agreement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10.04.</w:t>
            </w:r>
          </w:p>
        </w:tc>
        <w:tc>
          <w:tcPr>
            <w:tcW w:w="344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10.05.</w:t>
            </w:r>
          </w:p>
        </w:tc>
        <w:tc>
          <w:tcPr>
            <w:tcW w:w="34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10.06.</w:t>
            </w:r>
          </w:p>
        </w:tc>
        <w:tc>
          <w:tcPr>
            <w:tcW w:w="3440" w:type="dxa"/>
            <w:vAlign w:val="bottom"/>
          </w:tcPr>
          <w:p>
            <w:pPr>
              <w:ind w:left="160"/>
              <w:spacing w:after="0"/>
              <w:rPr>
                <w:sz w:val="20"/>
                <w:szCs w:val="20"/>
                <w:color w:val="auto"/>
              </w:rPr>
            </w:pPr>
            <w:r>
              <w:rPr>
                <w:rFonts w:ascii="Arial" w:cs="Arial" w:eastAsia="Arial" w:hAnsi="Arial"/>
                <w:sz w:val="18"/>
                <w:szCs w:val="18"/>
                <w:color w:val="auto"/>
              </w:rPr>
              <w:t>Third Party Rights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10.07.</w:t>
            </w:r>
          </w:p>
        </w:tc>
        <w:tc>
          <w:tcPr>
            <w:tcW w:w="3440" w:type="dxa"/>
            <w:vAlign w:val="bottom"/>
          </w:tcPr>
          <w:p>
            <w:pPr>
              <w:ind w:left="160"/>
              <w:spacing w:after="0"/>
              <w:rPr>
                <w:sz w:val="20"/>
                <w:szCs w:val="20"/>
                <w:color w:val="auto"/>
              </w:rPr>
            </w:pPr>
            <w:r>
              <w:rPr>
                <w:rFonts w:ascii="Arial" w:cs="Arial" w:eastAsia="Arial" w:hAnsi="Arial"/>
                <w:sz w:val="18"/>
                <w:szCs w:val="18"/>
                <w:color w:val="auto"/>
              </w:rPr>
              <w:t>Notices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10.08.</w:t>
            </w:r>
          </w:p>
        </w:tc>
        <w:tc>
          <w:tcPr>
            <w:tcW w:w="3440" w:type="dxa"/>
            <w:vAlign w:val="bottom"/>
          </w:tcPr>
          <w:p>
            <w:pPr>
              <w:ind w:left="160"/>
              <w:spacing w:after="0"/>
              <w:rPr>
                <w:sz w:val="20"/>
                <w:szCs w:val="20"/>
                <w:color w:val="auto"/>
              </w:rPr>
            </w:pPr>
            <w:r>
              <w:rPr>
                <w:rFonts w:ascii="Arial" w:cs="Arial" w:eastAsia="Arial" w:hAnsi="Arial"/>
                <w:sz w:val="18"/>
                <w:szCs w:val="18"/>
                <w:color w:val="auto"/>
                <w:w w:val="94"/>
              </w:rPr>
              <w:t>Representations and Warranties to Survive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10.09.</w:t>
            </w:r>
          </w:p>
        </w:tc>
        <w:tc>
          <w:tcPr>
            <w:tcW w:w="3440" w:type="dxa"/>
            <w:vAlign w:val="bottom"/>
          </w:tcPr>
          <w:p>
            <w:pPr>
              <w:ind w:left="160"/>
              <w:spacing w:after="0"/>
              <w:rPr>
                <w:sz w:val="20"/>
                <w:szCs w:val="20"/>
                <w:color w:val="auto"/>
              </w:rPr>
            </w:pPr>
            <w:r>
              <w:rPr>
                <w:rFonts w:ascii="Arial" w:cs="Arial" w:eastAsia="Arial" w:hAnsi="Arial"/>
                <w:sz w:val="18"/>
                <w:szCs w:val="18"/>
                <w:color w:val="auto"/>
              </w:rPr>
              <w:t>Remedies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10.10.</w:t>
            </w:r>
          </w:p>
        </w:tc>
        <w:tc>
          <w:tcPr>
            <w:tcW w:w="3440" w:type="dxa"/>
            <w:vAlign w:val="bottom"/>
          </w:tcPr>
          <w:p>
            <w:pPr>
              <w:ind w:left="160"/>
              <w:spacing w:after="0"/>
              <w:rPr>
                <w:sz w:val="20"/>
                <w:szCs w:val="20"/>
                <w:color w:val="auto"/>
              </w:rPr>
            </w:pPr>
            <w:r>
              <w:rPr>
                <w:rFonts w:ascii="Arial" w:cs="Arial" w:eastAsia="Arial" w:hAnsi="Arial"/>
                <w:sz w:val="18"/>
                <w:szCs w:val="18"/>
                <w:color w:val="auto"/>
              </w:rPr>
              <w:t>Non-recourse to General Partner</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369" w:name="page370"/>
    <w:bookmarkEnd w:id="369"/>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26</w:t>
      </w:r>
      <w:r>
        <w:rPr>
          <w:rFonts w:ascii="Arial" w:cs="Arial" w:eastAsia="Arial" w:hAnsi="Arial"/>
          <w:sz w:val="15"/>
          <w:szCs w:val="15"/>
          <w:color w:val="auto"/>
        </w:rPr>
        <w:t>th</w:t>
      </w:r>
      <w:r>
        <w:rPr>
          <w:rFonts w:ascii="Arial" w:cs="Arial" w:eastAsia="Arial" w:hAnsi="Arial"/>
          <w:sz w:val="18"/>
          <w:szCs w:val="18"/>
          <w:color w:val="auto"/>
        </w:rPr>
        <w:t xml:space="preserve"> day of February 2016,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one hundred (100)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capital stock of Atrotos Container Carrier S.A., a corporation organized under the laws of both the Republic of Liberia, with its registered office at 80 Broad Street, Monrovia, Liberia and the Republic of the Marshall Islands (the “</w:t>
      </w:r>
      <w:r>
        <w:rPr>
          <w:rFonts w:ascii="Arial" w:cs="Arial" w:eastAsia="Arial" w:hAnsi="Arial"/>
          <w:sz w:val="18"/>
          <w:szCs w:val="18"/>
          <w:u w:val="single" w:color="auto"/>
          <w:color w:val="auto"/>
        </w:rPr>
        <w:t>Vessel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Owning Subsidiary</w:t>
      </w:r>
      <w:r>
        <w:rPr>
          <w:rFonts w:ascii="Arial" w:cs="Arial" w:eastAsia="Arial" w:hAnsi="Arial"/>
          <w:sz w:val="18"/>
          <w:szCs w:val="18"/>
          <w:color w:val="auto"/>
        </w:rPr>
        <w:t>”).</w:t>
      </w:r>
    </w:p>
    <w:p>
      <w:pPr>
        <w:spacing w:after="0" w:line="187" w:lineRule="exact"/>
        <w:rPr>
          <w:sz w:val="20"/>
          <w:szCs w:val="20"/>
          <w:color w:val="auto"/>
        </w:rPr>
      </w:pPr>
    </w:p>
    <w:p>
      <w:pPr>
        <w:ind w:right="340" w:firstLine="913"/>
        <w:spacing w:after="0" w:line="302" w:lineRule="auto"/>
        <w:rPr>
          <w:sz w:val="20"/>
          <w:szCs w:val="20"/>
          <w:color w:val="auto"/>
        </w:rPr>
      </w:pPr>
      <w:r>
        <w:rPr>
          <w:rFonts w:ascii="Arial" w:cs="Arial" w:eastAsia="Arial" w:hAnsi="Arial"/>
          <w:sz w:val="16"/>
          <w:szCs w:val="16"/>
          <w:color w:val="auto"/>
        </w:rPr>
        <w:t>WHEREAS, the Vessel Owning Subsidiary has entered into a certain shipbuilding contract, dated as of 29 October 2013, by and between the Vessel Owning Subsidiary as buyer and (i) Daewoo Shipbuilding and Marine Engineering Co., Ltd. and (ii) Daewoo-Mangalia Heavy Industries S.A., as co-sellers (together the “</w:t>
      </w:r>
      <w:r>
        <w:rPr>
          <w:rFonts w:ascii="Arial" w:cs="Arial" w:eastAsia="Arial" w:hAnsi="Arial"/>
          <w:sz w:val="16"/>
          <w:szCs w:val="16"/>
          <w:u w:val="single" w:color="auto"/>
          <w:color w:val="auto"/>
        </w:rPr>
        <w:t>Builder</w:t>
      </w:r>
      <w:r>
        <w:rPr>
          <w:rFonts w:ascii="Arial" w:cs="Arial" w:eastAsia="Arial" w:hAnsi="Arial"/>
          <w:sz w:val="16"/>
          <w:szCs w:val="16"/>
          <w:color w:val="auto"/>
        </w:rPr>
        <w:t>”) as amended and supplemented by such parties (the “</w:t>
      </w:r>
      <w:r>
        <w:rPr>
          <w:rFonts w:ascii="Arial" w:cs="Arial" w:eastAsia="Arial" w:hAnsi="Arial"/>
          <w:sz w:val="16"/>
          <w:szCs w:val="16"/>
          <w:u w:val="single" w:color="auto"/>
          <w:color w:val="auto"/>
        </w:rPr>
        <w:t>Shipbuilding Contract</w:t>
      </w:r>
      <w:r>
        <w:rPr>
          <w:rFonts w:ascii="Arial" w:cs="Arial" w:eastAsia="Arial" w:hAnsi="Arial"/>
          <w:sz w:val="16"/>
          <w:szCs w:val="16"/>
          <w:color w:val="auto"/>
        </w:rPr>
        <w:t>”) for the construction and sale of one (1) container carrier of approximately 9,100 TEU / 89,300 DWT under hull no. 4097 tbr “CMA CGM MAGDALENA” (the “</w:t>
      </w:r>
      <w:r>
        <w:rPr>
          <w:rFonts w:ascii="Arial" w:cs="Arial" w:eastAsia="Arial" w:hAnsi="Arial"/>
          <w:sz w:val="16"/>
          <w:szCs w:val="16"/>
          <w:u w:val="single" w:color="auto"/>
          <w:color w:val="auto"/>
        </w:rPr>
        <w:t>Vessel</w:t>
      </w:r>
      <w:r>
        <w:rPr>
          <w:rFonts w:ascii="Arial" w:cs="Arial" w:eastAsia="Arial" w:hAnsi="Arial"/>
          <w:sz w:val="16"/>
          <w:szCs w:val="16"/>
          <w:color w:val="auto"/>
        </w:rPr>
        <w:t>”).</w:t>
      </w:r>
    </w:p>
    <w:p>
      <w:pPr>
        <w:spacing w:after="0" w:line="154"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under the terms of the Shipbuilding Contract a Letter of Refundment Guarantee No. M076Q1310XD00025 has been issued by SHINHAN BANK, Seoul, Korea, in favor of the Vessel Owning Subsidiary (the “</w:t>
      </w:r>
      <w:r>
        <w:rPr>
          <w:rFonts w:ascii="Arial" w:cs="Arial" w:eastAsia="Arial" w:hAnsi="Arial"/>
          <w:sz w:val="18"/>
          <w:szCs w:val="18"/>
          <w:u w:val="single" w:color="auto"/>
          <w:color w:val="auto"/>
        </w:rPr>
        <w:t>Refund Guarantee</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the Vessel is employed under a charter time charter dated 19 December 2013 by CMA CGM, a company incorporated in France and whose business address is at 4, Quai d’Arenc, 13002, Marseille, France, as charterer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duration of 5 years (with 30 days less, 90 days more, exact period in Charterer’s option) commencing on delivery from the Builder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Vessel has been delivered to the Vessel Owning Subsidiary and the Vessel Owning Subsidiary is the registered owner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370" w:name="page371"/>
    <w:bookmarkEnd w:id="3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71" w:name="page372"/>
    <w:bookmarkEnd w:id="3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has the meaning given to it in Section 7.03;</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72" w:name="page373"/>
    <w:bookmarkEnd w:id="37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81"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On the terms of this Agreement, the sale and transfer of the Shares and payment of the Purchase Price shall take place on the date hereof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the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Purchase Price for Shares</w:t>
      </w:r>
      <w:r>
        <w:rPr>
          <w:rFonts w:ascii="Arial" w:cs="Arial" w:eastAsia="Arial" w:hAnsi="Arial"/>
          <w:sz w:val="16"/>
          <w:szCs w:val="16"/>
          <w:color w:val="auto"/>
        </w:rPr>
        <w:t>. On the Closing Date, the Buyer shall pay to the Seller (to such account as the Seller shall nominate) the amount of US Dollars Eighty One Million Five Hundred Thousand (USD 81,500,000.00)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in exchange for the Shares, less any amounts paid as a deposit for the Shares under that certain Master Vessel Acquisition Agreement between the Buyer and Seller, dated as of July 24, 2014. The Buyer shall have no responsibility or liability hereunder for the Seller’s allocation and distribution of the Purchase Price among the Seller Entities.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73" w:name="page374"/>
    <w:bookmarkEnd w:id="373"/>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The Purchase Price (to the extent paid in US Dollars) will be paid by the Buyer to the Seller of the Shares by wire transfer of immediately available funds to an account designated in writing by the Seller.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74" w:name="page375"/>
    <w:bookmarkEnd w:id="374"/>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75" w:name="page376"/>
    <w:bookmarkEnd w:id="375"/>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7"/>
          <w:szCs w:val="17"/>
          <w:u w:val="single" w:color="auto"/>
          <w:color w:val="auto"/>
        </w:rPr>
        <w:t>The Shares</w:t>
      </w:r>
      <w:r>
        <w:rPr>
          <w:rFonts w:ascii="Arial" w:cs="Arial" w:eastAsia="Arial" w:hAnsi="Arial"/>
          <w:sz w:val="17"/>
          <w:szCs w:val="17"/>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Liberia and the Republic of the Marshall Islands.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76" w:name="page377"/>
    <w:bookmarkEnd w:id="37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20" w:firstLine="921"/>
        <w:spacing w:after="0" w:line="277" w:lineRule="auto"/>
        <w:tabs>
          <w:tab w:leader="none" w:pos="1158"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Shipbuilding Contract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left="1160" w:hanging="239"/>
        <w:spacing w:after="0"/>
        <w:tabs>
          <w:tab w:leader="none" w:pos="1160" w:val="left"/>
        </w:tabs>
        <w:numPr>
          <w:ilvl w:val="0"/>
          <w:numId w:val="570"/>
        </w:numPr>
        <w:rPr>
          <w:rFonts w:ascii="Arial" w:cs="Arial" w:eastAsia="Arial" w:hAnsi="Arial"/>
          <w:sz w:val="16"/>
          <w:szCs w:val="16"/>
          <w:color w:val="auto"/>
        </w:rPr>
      </w:pPr>
      <w:r>
        <w:rPr>
          <w:rFonts w:ascii="Arial" w:cs="Arial" w:eastAsia="Arial" w:hAnsi="Arial"/>
          <w:sz w:val="16"/>
          <w:szCs w:val="16"/>
          <w:color w:val="auto"/>
        </w:rPr>
        <w:t>Each of the Contracts is a valid and binding agreement of the Vessel Owning Subsidiary, and to the best knowledge of the Seller, of all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thereto;</w:t>
      </w:r>
    </w:p>
    <w:p>
      <w:pPr>
        <w:spacing w:after="0" w:line="210" w:lineRule="exact"/>
        <w:rPr>
          <w:rFonts w:ascii="Arial" w:cs="Arial" w:eastAsia="Arial" w:hAnsi="Arial"/>
          <w:sz w:val="16"/>
          <w:szCs w:val="16"/>
          <w:color w:val="auto"/>
        </w:rPr>
      </w:pPr>
    </w:p>
    <w:p>
      <w:pPr>
        <w:ind w:right="180" w:firstLine="921"/>
        <w:spacing w:after="0" w:line="264" w:lineRule="auto"/>
        <w:tabs>
          <w:tab w:leader="none" w:pos="11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 and</w:t>
      </w:r>
    </w:p>
    <w:p>
      <w:pPr>
        <w:spacing w:after="0" w:line="181"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377" w:name="page378"/>
    <w:bookmarkEnd w:id="37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including under the Shipbuilding Contract).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78" w:name="page379"/>
    <w:bookmarkEnd w:id="378"/>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6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26 February , 2015,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Buyer pursuant to applicable securities laws. The Seller will (A) direct its auditors to provide the Buyer’s auditors access to the auditors’ work papers and</w:t>
      </w:r>
    </w:p>
    <w:p>
      <w:pPr>
        <w:spacing w:after="0" w:line="46" w:lineRule="exact"/>
        <w:rPr>
          <w:sz w:val="20"/>
          <w:szCs w:val="20"/>
          <w:color w:val="auto"/>
        </w:rPr>
      </w:pPr>
    </w:p>
    <w:p>
      <w:pPr>
        <w:ind w:firstLine="8"/>
        <w:spacing w:after="0" w:line="255" w:lineRule="auto"/>
        <w:tabs>
          <w:tab w:leader="none" w:pos="28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90"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right="100" w:firstLine="443"/>
        <w:spacing w:after="0" w:line="259" w:lineRule="auto"/>
        <w:tabs>
          <w:tab w:leader="none" w:pos="1143" w:val="left"/>
        </w:tabs>
        <w:numPr>
          <w:ilvl w:val="0"/>
          <w:numId w:val="572"/>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right="320" w:firstLine="443"/>
        <w:spacing w:after="0" w:line="308" w:lineRule="auto"/>
        <w:tabs>
          <w:tab w:leader="none" w:pos="1153" w:val="left"/>
        </w:tabs>
        <w:numPr>
          <w:ilvl w:val="0"/>
          <w:numId w:val="572"/>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80" w:name="page381"/>
    <w:bookmarkEnd w:id="380"/>
    <w:p>
      <w:pPr>
        <w:ind w:left="460" w:right="140" w:firstLine="443"/>
        <w:spacing w:after="0" w:line="259" w:lineRule="auto"/>
        <w:tabs>
          <w:tab w:leader="none" w:pos="1143" w:val="left"/>
        </w:tabs>
        <w:numPr>
          <w:ilvl w:val="0"/>
          <w:numId w:val="5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70"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81" w:name="page382"/>
    <w:bookmarkEnd w:id="381"/>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Capital Maritime &amp; Trading Corp., as follows: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Iassonos Street, Piraeus, Greece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Gerasimos Kalogiratos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+30 210 428 4286</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if to Capital Product Partners L.P., as follows: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Iassonos Street, Piraeus, Greece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CEO/CFO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82" w:name="page383"/>
    <w:bookmarkEnd w:id="382"/>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383" w:name="page384"/>
    <w:bookmarkEnd w:id="38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MARITIME &amp; TRADING CORP.,</w:t>
      </w:r>
    </w:p>
    <w:p>
      <w:pPr>
        <w:spacing w:after="0" w:line="225"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14605</wp:posOffset>
            </wp:positionV>
            <wp:extent cx="23412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Gerasimos Kalogiratos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Chief Executive Officer and Chief</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Financial Officer of Capital GP, L.L.C.</w:t>
            </w:r>
          </w:p>
        </w:tc>
      </w:tr>
    </w:tbl>
    <w:p>
      <w:pPr>
        <w:sectPr>
          <w:pgSz w:w="11900" w:h="16838" w:orient="portrait"/>
          <w:cols w:equalWidth="0" w:num="1">
            <w:col w:w="10220"/>
          </w:cols>
          <w:pgMar w:left="1440" w:top="274"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October 24,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CAPITAL MARITIME &amp; TRADING CORP.</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one hundred (100)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560" w:type="dxa"/>
            <w:vAlign w:val="bottom"/>
            <w:gridSpan w:val="2"/>
          </w:tcPr>
          <w:p>
            <w:pPr>
              <w:jc w:val="right"/>
              <w:ind w:right="4628"/>
              <w:spacing w:after="0"/>
              <w:rPr>
                <w:sz w:val="20"/>
                <w:szCs w:val="20"/>
                <w:color w:val="auto"/>
              </w:rPr>
            </w:pPr>
            <w:r>
              <w:rPr>
                <w:rFonts w:ascii="Arial" w:cs="Arial" w:eastAsia="Arial" w:hAnsi="Arial"/>
                <w:sz w:val="18"/>
                <w:szCs w:val="18"/>
                <w:color w:val="auto"/>
              </w:rPr>
              <w:t>TABLE OF CONTENTS</w:t>
            </w:r>
          </w:p>
        </w:tc>
      </w:tr>
      <w:tr>
        <w:trPr>
          <w:trHeight w:val="392"/>
        </w:trPr>
        <w:tc>
          <w:tcPr>
            <w:tcW w:w="37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3760" w:type="dxa"/>
            <w:vAlign w:val="bottom"/>
          </w:tcPr>
          <w:p>
            <w:pPr>
              <w:spacing w:after="0"/>
              <w:rPr>
                <w:sz w:val="24"/>
                <w:szCs w:val="24"/>
                <w:color w:val="auto"/>
              </w:rPr>
            </w:pPr>
          </w:p>
        </w:tc>
        <w:tc>
          <w:tcPr>
            <w:tcW w:w="7560" w:type="dxa"/>
            <w:vAlign w:val="bottom"/>
            <w:gridSpan w:val="2"/>
          </w:tcPr>
          <w:p>
            <w:pPr>
              <w:jc w:val="center"/>
              <w:ind w:right="3668"/>
              <w:spacing w:after="0"/>
              <w:rPr>
                <w:sz w:val="20"/>
                <w:szCs w:val="20"/>
                <w:color w:val="auto"/>
              </w:rPr>
            </w:pPr>
            <w:r>
              <w:rPr>
                <w:rFonts w:ascii="Arial" w:cs="Arial" w:eastAsia="Arial" w:hAnsi="Arial"/>
                <w:sz w:val="18"/>
                <w:szCs w:val="18"/>
                <w:color w:val="auto"/>
                <w:w w:val="99"/>
              </w:rPr>
              <w:t>ARTICLE I</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68"/>
              <w:spacing w:after="0"/>
              <w:rPr>
                <w:sz w:val="20"/>
                <w:szCs w:val="20"/>
                <w:color w:val="auto"/>
              </w:rPr>
            </w:pPr>
            <w:r>
              <w:rPr>
                <w:rFonts w:ascii="Arial" w:cs="Arial" w:eastAsia="Arial" w:hAnsi="Arial"/>
                <w:sz w:val="18"/>
                <w:szCs w:val="18"/>
                <w:color w:val="auto"/>
                <w:w w:val="92"/>
              </w:rPr>
              <w:t>Interpretation</w:t>
            </w: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Definitions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88"/>
              <w:spacing w:after="0"/>
              <w:rPr>
                <w:sz w:val="20"/>
                <w:szCs w:val="20"/>
                <w:color w:val="auto"/>
              </w:rPr>
            </w:pPr>
            <w:r>
              <w:rPr>
                <w:rFonts w:ascii="Arial" w:cs="Arial" w:eastAsia="Arial" w:hAnsi="Arial"/>
                <w:sz w:val="18"/>
                <w:szCs w:val="18"/>
                <w:color w:val="auto"/>
              </w:rPr>
              <w:t>ARTICLE II</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88"/>
              <w:spacing w:after="0"/>
              <w:rPr>
                <w:sz w:val="20"/>
                <w:szCs w:val="20"/>
                <w:color w:val="auto"/>
              </w:rPr>
            </w:pPr>
            <w:r>
              <w:rPr>
                <w:rFonts w:ascii="Arial" w:cs="Arial" w:eastAsia="Arial" w:hAnsi="Arial"/>
                <w:sz w:val="18"/>
                <w:szCs w:val="18"/>
                <w:color w:val="auto"/>
                <w:w w:val="88"/>
              </w:rPr>
              <w:t>Purchase and Sale of Shares; Closing</w:t>
            </w:r>
          </w:p>
        </w:tc>
      </w:tr>
      <w:tr>
        <w:trPr>
          <w:trHeight w:val="310"/>
        </w:trPr>
        <w:tc>
          <w:tcPr>
            <w:tcW w:w="3760" w:type="dxa"/>
            <w:vAlign w:val="bottom"/>
          </w:tcPr>
          <w:p>
            <w:pPr>
              <w:spacing w:after="0"/>
              <w:rPr>
                <w:sz w:val="20"/>
                <w:szCs w:val="20"/>
                <w:color w:val="auto"/>
              </w:rPr>
            </w:pPr>
            <w:r>
              <w:rPr>
                <w:rFonts w:ascii="Arial" w:cs="Arial" w:eastAsia="Arial" w:hAnsi="Arial"/>
                <w:sz w:val="18"/>
                <w:szCs w:val="18"/>
                <w:color w:val="auto"/>
              </w:rPr>
              <w:t>Purchase and Sale of Shares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Closing</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Place of Closing</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Purchase Price for Shares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Payment of the Purchase Price</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68"/>
              <w:spacing w:after="0"/>
              <w:rPr>
                <w:sz w:val="20"/>
                <w:szCs w:val="20"/>
                <w:color w:val="auto"/>
              </w:rPr>
            </w:pPr>
            <w:r>
              <w:rPr>
                <w:rFonts w:ascii="Arial" w:cs="Arial" w:eastAsia="Arial" w:hAnsi="Arial"/>
                <w:sz w:val="18"/>
                <w:szCs w:val="18"/>
                <w:color w:val="auto"/>
              </w:rPr>
              <w:t>ARTICLE III</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68"/>
              <w:spacing w:after="0"/>
              <w:rPr>
                <w:sz w:val="20"/>
                <w:szCs w:val="20"/>
                <w:color w:val="auto"/>
              </w:rPr>
            </w:pPr>
            <w:r>
              <w:rPr>
                <w:rFonts w:ascii="Arial" w:cs="Arial" w:eastAsia="Arial" w:hAnsi="Arial"/>
                <w:sz w:val="18"/>
                <w:szCs w:val="18"/>
                <w:color w:val="auto"/>
                <w:w w:val="89"/>
              </w:rPr>
              <w:t>Representations and Warranties of the Buyer</w:t>
            </w:r>
          </w:p>
        </w:tc>
      </w:tr>
      <w:tr>
        <w:trPr>
          <w:trHeight w:val="310"/>
        </w:trPr>
        <w:tc>
          <w:tcPr>
            <w:tcW w:w="3760" w:type="dxa"/>
            <w:vAlign w:val="bottom"/>
          </w:tcPr>
          <w:p>
            <w:pPr>
              <w:spacing w:after="0"/>
              <w:rPr>
                <w:sz w:val="20"/>
                <w:szCs w:val="20"/>
                <w:color w:val="auto"/>
              </w:rPr>
            </w:pPr>
            <w:r>
              <w:rPr>
                <w:rFonts w:ascii="Arial" w:cs="Arial" w:eastAsia="Arial" w:hAnsi="Arial"/>
                <w:sz w:val="18"/>
                <w:szCs w:val="18"/>
                <w:color w:val="auto"/>
              </w:rPr>
              <w:t>Organization and Limited Partnership Authority</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Agreement Not in Breach of Other Instruments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 Legal Bar</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Issuance of Transferred Common Units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The Transferred Common Units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Securities Act</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Private Offering</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Independent Investigation</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68"/>
              <w:spacing w:after="0"/>
              <w:rPr>
                <w:sz w:val="20"/>
                <w:szCs w:val="20"/>
                <w:color w:val="auto"/>
              </w:rPr>
            </w:pPr>
            <w:r>
              <w:rPr>
                <w:rFonts w:ascii="Arial" w:cs="Arial" w:eastAsia="Arial" w:hAnsi="Arial"/>
                <w:sz w:val="18"/>
                <w:szCs w:val="18"/>
                <w:color w:val="auto"/>
                <w:w w:val="99"/>
              </w:rPr>
              <w:t>ARTICLE IV</w:t>
            </w:r>
          </w:p>
        </w:tc>
      </w:tr>
      <w:tr>
        <w:trPr>
          <w:trHeight w:val="324"/>
        </w:trPr>
        <w:tc>
          <w:tcPr>
            <w:tcW w:w="3760" w:type="dxa"/>
            <w:vAlign w:val="bottom"/>
          </w:tcPr>
          <w:p>
            <w:pPr>
              <w:spacing w:after="0"/>
              <w:rPr>
                <w:sz w:val="24"/>
                <w:szCs w:val="24"/>
                <w:color w:val="auto"/>
              </w:rPr>
            </w:pPr>
          </w:p>
        </w:tc>
        <w:tc>
          <w:tcPr>
            <w:tcW w:w="7560" w:type="dxa"/>
            <w:vAlign w:val="bottom"/>
            <w:gridSpan w:val="2"/>
          </w:tcPr>
          <w:p>
            <w:pPr>
              <w:jc w:val="center"/>
              <w:ind w:right="3688"/>
              <w:spacing w:after="0"/>
              <w:rPr>
                <w:sz w:val="20"/>
                <w:szCs w:val="20"/>
                <w:color w:val="auto"/>
              </w:rPr>
            </w:pPr>
            <w:r>
              <w:rPr>
                <w:rFonts w:ascii="Arial" w:cs="Arial" w:eastAsia="Arial" w:hAnsi="Arial"/>
                <w:sz w:val="18"/>
                <w:szCs w:val="18"/>
                <w:color w:val="auto"/>
                <w:w w:val="89"/>
              </w:rPr>
              <w:t>Representations and Warranties of the Seller</w:t>
            </w:r>
          </w:p>
        </w:tc>
      </w:tr>
      <w:tr>
        <w:trPr>
          <w:trHeight w:val="310"/>
        </w:trPr>
        <w:tc>
          <w:tcPr>
            <w:tcW w:w="3760" w:type="dxa"/>
            <w:vAlign w:val="bottom"/>
          </w:tcPr>
          <w:p>
            <w:pPr>
              <w:spacing w:after="0"/>
              <w:rPr>
                <w:sz w:val="20"/>
                <w:szCs w:val="20"/>
                <w:color w:val="auto"/>
              </w:rPr>
            </w:pPr>
            <w:r>
              <w:rPr>
                <w:rFonts w:ascii="Arial" w:cs="Arial" w:eastAsia="Arial" w:hAnsi="Arial"/>
                <w:sz w:val="18"/>
                <w:szCs w:val="18"/>
                <w:color w:val="auto"/>
              </w:rPr>
              <w:t>Organization and Corporate Authority</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Agreement Not in Breach</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 Legal Bar</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Good and Marketable Title to Shares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The Shares</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Securities Act</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Independent Investigation</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3" w:right="3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3480" w:type="dxa"/>
            <w:vAlign w:val="bottom"/>
          </w:tcPr>
          <w:p>
            <w:pPr>
              <w:spacing w:after="0"/>
              <w:rPr>
                <w:sz w:val="24"/>
                <w:szCs w:val="24"/>
                <w:color w:val="auto"/>
              </w:rPr>
            </w:pPr>
          </w:p>
        </w:tc>
        <w:tc>
          <w:tcPr>
            <w:tcW w:w="7840" w:type="dxa"/>
            <w:vAlign w:val="bottom"/>
            <w:gridSpan w:val="2"/>
          </w:tcPr>
          <w:p>
            <w:pPr>
              <w:jc w:val="center"/>
              <w:ind w:right="3408"/>
              <w:spacing w:after="0"/>
              <w:rPr>
                <w:sz w:val="20"/>
                <w:szCs w:val="20"/>
                <w:color w:val="auto"/>
              </w:rPr>
            </w:pPr>
            <w:r>
              <w:rPr>
                <w:rFonts w:ascii="Arial" w:cs="Arial" w:eastAsia="Arial" w:hAnsi="Arial"/>
                <w:sz w:val="18"/>
                <w:szCs w:val="18"/>
                <w:color w:val="auto"/>
                <w:w w:val="98"/>
              </w:rPr>
              <w:t>ARTICLE V</w:t>
            </w:r>
          </w:p>
        </w:tc>
      </w:tr>
      <w:tr>
        <w:trPr>
          <w:trHeight w:val="310"/>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88"/>
              </w:rPr>
              <w:t>Representations and Warranties of</w:t>
            </w:r>
          </w:p>
        </w:tc>
      </w:tr>
      <w:tr>
        <w:trPr>
          <w:trHeight w:val="230"/>
        </w:trPr>
        <w:tc>
          <w:tcPr>
            <w:tcW w:w="3480" w:type="dxa"/>
            <w:vAlign w:val="bottom"/>
          </w:tcPr>
          <w:p>
            <w:pPr>
              <w:spacing w:after="0"/>
              <w:rPr>
                <w:sz w:val="20"/>
                <w:szCs w:val="20"/>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90"/>
              </w:rPr>
              <w:t>the Seller Regarding the Vessel Owning Subsidiary</w:t>
            </w:r>
          </w:p>
        </w:tc>
      </w:tr>
      <w:tr>
        <w:trPr>
          <w:trHeight w:val="323"/>
        </w:trPr>
        <w:tc>
          <w:tcPr>
            <w:tcW w:w="3480" w:type="dxa"/>
            <w:vAlign w:val="bottom"/>
          </w:tcPr>
          <w:p>
            <w:pPr>
              <w:spacing w:after="0"/>
              <w:rPr>
                <w:sz w:val="20"/>
                <w:szCs w:val="20"/>
                <w:color w:val="auto"/>
              </w:rPr>
            </w:pPr>
            <w:r>
              <w:rPr>
                <w:rFonts w:ascii="Arial" w:cs="Arial" w:eastAsia="Arial" w:hAnsi="Arial"/>
                <w:sz w:val="18"/>
                <w:szCs w:val="18"/>
                <w:color w:val="auto"/>
              </w:rPr>
              <w:t>Organization Good Standing and Authority</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Capitalization; Title to Shares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Organizational Documents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Agreement Not in Breach</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Litigation</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Indebtedness to and from Officers, etc.</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Personnel</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Contracts and Agreements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Compliance with Law</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 Undisclosed Liabilities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Disclosure of Information</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Payment of Taxes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Permits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No Material Adverse Change in Business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99"/>
              </w:rPr>
              <w:t>ARTICLE VI</w:t>
            </w:r>
          </w:p>
        </w:tc>
      </w:tr>
      <w:tr>
        <w:trPr>
          <w:trHeight w:val="310"/>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88"/>
              </w:rPr>
              <w:t>Representations and Warranties of</w:t>
            </w:r>
          </w:p>
        </w:tc>
      </w:tr>
      <w:tr>
        <w:trPr>
          <w:trHeight w:val="230"/>
        </w:trPr>
        <w:tc>
          <w:tcPr>
            <w:tcW w:w="3480" w:type="dxa"/>
            <w:vAlign w:val="bottom"/>
          </w:tcPr>
          <w:p>
            <w:pPr>
              <w:spacing w:after="0"/>
              <w:rPr>
                <w:sz w:val="20"/>
                <w:szCs w:val="20"/>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88"/>
              </w:rPr>
              <w:t>the Seller regarding the Vessel</w:t>
            </w:r>
          </w:p>
        </w:tc>
      </w:tr>
      <w:tr>
        <w:trPr>
          <w:trHeight w:val="323"/>
        </w:trPr>
        <w:tc>
          <w:tcPr>
            <w:tcW w:w="3480" w:type="dxa"/>
            <w:vAlign w:val="bottom"/>
          </w:tcPr>
          <w:p>
            <w:pPr>
              <w:spacing w:after="0"/>
              <w:rPr>
                <w:sz w:val="20"/>
                <w:szCs w:val="20"/>
                <w:color w:val="auto"/>
              </w:rPr>
            </w:pPr>
            <w:r>
              <w:rPr>
                <w:rFonts w:ascii="Arial" w:cs="Arial" w:eastAsia="Arial" w:hAnsi="Arial"/>
                <w:sz w:val="18"/>
                <w:szCs w:val="18"/>
                <w:color w:val="auto"/>
              </w:rPr>
              <w:t>Title to Vessel</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 Encumbrances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Condition</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408"/>
              <w:spacing w:after="0"/>
              <w:rPr>
                <w:sz w:val="20"/>
                <w:szCs w:val="20"/>
                <w:color w:val="auto"/>
              </w:rPr>
            </w:pPr>
            <w:r>
              <w:rPr>
                <w:rFonts w:ascii="Arial" w:cs="Arial" w:eastAsia="Arial" w:hAnsi="Arial"/>
                <w:sz w:val="18"/>
                <w:szCs w:val="18"/>
                <w:color w:val="auto"/>
              </w:rPr>
              <w:t>ARTICLE VII</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408"/>
              <w:spacing w:after="0"/>
              <w:rPr>
                <w:sz w:val="20"/>
                <w:szCs w:val="20"/>
                <w:color w:val="auto"/>
              </w:rPr>
            </w:pPr>
            <w:r>
              <w:rPr>
                <w:rFonts w:ascii="Arial" w:cs="Arial" w:eastAsia="Arial" w:hAnsi="Arial"/>
                <w:sz w:val="18"/>
                <w:szCs w:val="18"/>
                <w:color w:val="auto"/>
                <w:w w:val="88"/>
              </w:rPr>
              <w:t>Covenants</w:t>
            </w: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Financial Statements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Expenses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Subsequent Share Purchase Agreement.</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rPr>
              <w:t>ARTICLE VIII</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89"/>
              </w:rPr>
              <w:t>Amendments and Waivers</w:t>
            </w:r>
          </w:p>
        </w:tc>
      </w:tr>
      <w:tr>
        <w:trPr>
          <w:trHeight w:val="324"/>
        </w:trPr>
        <w:tc>
          <w:tcPr>
            <w:tcW w:w="3480" w:type="dxa"/>
            <w:vAlign w:val="bottom"/>
          </w:tcPr>
          <w:p>
            <w:pPr>
              <w:spacing w:after="0"/>
              <w:rPr>
                <w:sz w:val="20"/>
                <w:szCs w:val="20"/>
                <w:color w:val="auto"/>
              </w:rPr>
            </w:pPr>
            <w:r>
              <w:rPr>
                <w:rFonts w:ascii="Arial" w:cs="Arial" w:eastAsia="Arial" w:hAnsi="Arial"/>
                <w:sz w:val="18"/>
                <w:szCs w:val="18"/>
                <w:color w:val="auto"/>
              </w:rPr>
              <w:t>Amendments and Waivers</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99"/>
              </w:rPr>
              <w:t>ARTICLE IX</w:t>
            </w:r>
          </w:p>
        </w:tc>
      </w:tr>
      <w:tr>
        <w:trPr>
          <w:trHeight w:val="324"/>
        </w:trPr>
        <w:tc>
          <w:tcPr>
            <w:tcW w:w="3480" w:type="dxa"/>
            <w:vAlign w:val="bottom"/>
          </w:tcPr>
          <w:p>
            <w:pPr>
              <w:spacing w:after="0"/>
              <w:rPr>
                <w:sz w:val="24"/>
                <w:szCs w:val="24"/>
                <w:color w:val="auto"/>
              </w:rPr>
            </w:pPr>
          </w:p>
        </w:tc>
        <w:tc>
          <w:tcPr>
            <w:tcW w:w="7840" w:type="dxa"/>
            <w:vAlign w:val="bottom"/>
            <w:gridSpan w:val="2"/>
          </w:tcPr>
          <w:p>
            <w:pPr>
              <w:jc w:val="center"/>
              <w:ind w:right="3388"/>
              <w:spacing w:after="0"/>
              <w:rPr>
                <w:sz w:val="20"/>
                <w:szCs w:val="20"/>
                <w:color w:val="auto"/>
              </w:rPr>
            </w:pPr>
            <w:r>
              <w:rPr>
                <w:rFonts w:ascii="Arial" w:cs="Arial" w:eastAsia="Arial" w:hAnsi="Arial"/>
                <w:sz w:val="18"/>
                <w:szCs w:val="18"/>
                <w:color w:val="auto"/>
                <w:w w:val="94"/>
              </w:rPr>
              <w:t>Indemnification</w:t>
            </w: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Indemnity by the Seller</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Indemnity by the Buyer</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Exclusive Post-Closing Remedy</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4100" w:type="dxa"/>
            <w:vAlign w:val="bottom"/>
          </w:tcPr>
          <w:p>
            <w:pPr>
              <w:spacing w:after="0"/>
              <w:rPr>
                <w:sz w:val="24"/>
                <w:szCs w:val="24"/>
                <w:color w:val="auto"/>
              </w:rPr>
            </w:pPr>
          </w:p>
        </w:tc>
        <w:tc>
          <w:tcPr>
            <w:tcW w:w="7220" w:type="dxa"/>
            <w:vAlign w:val="bottom"/>
            <w:gridSpan w:val="2"/>
          </w:tcPr>
          <w:p>
            <w:pPr>
              <w:jc w:val="right"/>
              <w:ind w:right="5128"/>
              <w:spacing w:after="0"/>
              <w:rPr>
                <w:sz w:val="20"/>
                <w:szCs w:val="20"/>
                <w:color w:val="auto"/>
              </w:rPr>
            </w:pPr>
            <w:r>
              <w:rPr>
                <w:rFonts w:ascii="Arial" w:cs="Arial" w:eastAsia="Arial" w:hAnsi="Arial"/>
                <w:sz w:val="18"/>
                <w:szCs w:val="18"/>
                <w:color w:val="auto"/>
              </w:rPr>
              <w:t>ARTICLE X</w:t>
            </w:r>
          </w:p>
        </w:tc>
      </w:tr>
      <w:tr>
        <w:trPr>
          <w:trHeight w:val="324"/>
        </w:trPr>
        <w:tc>
          <w:tcPr>
            <w:tcW w:w="4100" w:type="dxa"/>
            <w:vAlign w:val="bottom"/>
          </w:tcPr>
          <w:p>
            <w:pPr>
              <w:spacing w:after="0"/>
              <w:rPr>
                <w:sz w:val="24"/>
                <w:szCs w:val="24"/>
                <w:color w:val="auto"/>
              </w:rPr>
            </w:pPr>
          </w:p>
        </w:tc>
        <w:tc>
          <w:tcPr>
            <w:tcW w:w="7220" w:type="dxa"/>
            <w:vAlign w:val="bottom"/>
            <w:gridSpan w:val="2"/>
          </w:tcPr>
          <w:p>
            <w:pPr>
              <w:jc w:val="right"/>
              <w:ind w:right="5068"/>
              <w:spacing w:after="0"/>
              <w:rPr>
                <w:sz w:val="20"/>
                <w:szCs w:val="20"/>
                <w:color w:val="auto"/>
              </w:rPr>
            </w:pPr>
            <w:r>
              <w:rPr>
                <w:rFonts w:ascii="Arial" w:cs="Arial" w:eastAsia="Arial" w:hAnsi="Arial"/>
                <w:sz w:val="18"/>
                <w:szCs w:val="18"/>
                <w:color w:val="auto"/>
              </w:rPr>
              <w:t>Miscellaneous</w:t>
            </w:r>
          </w:p>
        </w:tc>
      </w:tr>
      <w:tr>
        <w:trPr>
          <w:trHeight w:val="310"/>
        </w:trPr>
        <w:tc>
          <w:tcPr>
            <w:tcW w:w="4100" w:type="dxa"/>
            <w:vAlign w:val="bottom"/>
          </w:tcPr>
          <w:p>
            <w:pPr>
              <w:spacing w:after="0"/>
              <w:rPr>
                <w:sz w:val="20"/>
                <w:szCs w:val="20"/>
                <w:color w:val="auto"/>
              </w:rPr>
            </w:pPr>
            <w:r>
              <w:rPr>
                <w:rFonts w:ascii="Arial" w:cs="Arial" w:eastAsia="Arial" w:hAnsi="Arial"/>
                <w:sz w:val="18"/>
                <w:szCs w:val="18"/>
                <w:color w:val="auto"/>
              </w:rPr>
              <w:t>Governing Law</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Counterparts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Complete Agreement</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Interpretation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Severability</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Third Party Rights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Notices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Representations and Warranties to Survive</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Remedies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Non-recourse to General Partner</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9" w:right="339" w:bottom="1440" w:gutter="0" w:footer="0" w:header="0"/>
        </w:sectPr>
      </w:pPr>
    </w:p>
    <w:bookmarkStart w:id="388" w:name="page389"/>
    <w:bookmarkEnd w:id="388"/>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24, 2016, by and between CAPITAL MARITIME &amp; TRADING CORP. (the “</w:t>
      </w:r>
      <w:r>
        <w:rPr>
          <w:rFonts w:ascii="Arial" w:cs="Arial" w:eastAsia="Arial" w:hAnsi="Arial"/>
          <w:sz w:val="18"/>
          <w:szCs w:val="18"/>
          <w:u w:val="single" w:color="auto"/>
          <w:color w:val="auto"/>
        </w:rPr>
        <w:t>Seller</w:t>
      </w:r>
      <w:r>
        <w:rPr>
          <w:rFonts w:ascii="Arial" w:cs="Arial" w:eastAsia="Arial" w:hAnsi="Arial"/>
          <w:sz w:val="18"/>
          <w:szCs w:val="18"/>
          <w:color w:val="auto"/>
        </w:rPr>
        <w:t>”), a corporation organized under the laws of the Republic of the Marshall Islands, and CAPITAL PRODUCT PARTNERS L.P. (the “</w:t>
      </w:r>
      <w:r>
        <w:rPr>
          <w:rFonts w:ascii="Arial" w:cs="Arial" w:eastAsia="Arial" w:hAnsi="Arial"/>
          <w:sz w:val="18"/>
          <w:szCs w:val="18"/>
          <w:u w:val="single" w:color="auto"/>
          <w:color w:val="auto"/>
        </w:rPr>
        <w:t>Buyer</w:t>
      </w:r>
      <w:r>
        <w:rPr>
          <w:rFonts w:ascii="Arial" w:cs="Arial" w:eastAsia="Arial" w:hAnsi="Arial"/>
          <w:sz w:val="18"/>
          <w:szCs w:val="18"/>
          <w:color w:val="auto"/>
        </w:rPr>
        <w:t>”), a limited partnership organized under the laws of the Republic of the Marshall Islands.</w:t>
      </w:r>
    </w:p>
    <w:p>
      <w:pPr>
        <w:spacing w:after="0" w:line="18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WHEREAS, the Buyer wishes to purchase from the Seller, and the Seller wishes to sell to the Buyer, the one hundred (100) shares of capital stock (the “</w:t>
      </w:r>
      <w:r>
        <w:rPr>
          <w:rFonts w:ascii="Arial" w:cs="Arial" w:eastAsia="Arial" w:hAnsi="Arial"/>
          <w:sz w:val="16"/>
          <w:szCs w:val="16"/>
          <w:u w:val="single" w:color="auto"/>
          <w:color w:val="auto"/>
        </w:rPr>
        <w:t>Shares</w:t>
      </w:r>
      <w:r>
        <w:rPr>
          <w:rFonts w:ascii="Arial" w:cs="Arial" w:eastAsia="Arial" w:hAnsi="Arial"/>
          <w:sz w:val="16"/>
          <w:szCs w:val="16"/>
          <w:color w:val="auto"/>
        </w:rPr>
        <w:t>”) representing all of the issued and outstanding shares of capital stock of Filonikis Product Carrier S.A., a corporation organized under the laws of Liberia with its registered office at 80 Broad Street, Monrovia, Liberia (the “</w:t>
      </w:r>
      <w:r>
        <w:rPr>
          <w:rFonts w:ascii="Arial" w:cs="Arial" w:eastAsia="Arial" w:hAnsi="Arial"/>
          <w:sz w:val="16"/>
          <w:szCs w:val="16"/>
          <w:u w:val="single" w:color="auto"/>
          <w:color w:val="auto"/>
        </w:rPr>
        <w:t>Vessel Owning Subsidiary</w:t>
      </w:r>
      <w:r>
        <w:rPr>
          <w:rFonts w:ascii="Arial" w:cs="Arial" w:eastAsia="Arial" w:hAnsi="Arial"/>
          <w:sz w:val="16"/>
          <w:szCs w:val="16"/>
          <w:color w:val="auto"/>
        </w:rPr>
        <w:t>”), for a purchase price of approximately $32.75 million, consisting of: (i) $16,000,000 in cash consideration, as referenced in Section 2.04, (ii) 283,696 Common Units (as defined below), as referenced in Section 2.04 (resulting in consideration from such Common Units of approximately $1,000,000, valuing the Common Units at a price per Common Unit of $3.5429, which is the volume weighted average price per Common Unit on the NASDAQ Global Market for the trading day period beginning on July 14, 2016 and ending on October 14, 2016), and (iii) assumption of approximately $15,750,000 in debt owed by the Vessel Owning Subsidiary under the Loan Agreement (as defined below) to which the Vessel Owning Subsidiary is a party, as referenced in Section 5.10.</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Vessel Owning Subsidiary is the registered owner of the Liberian flagged 50,072 DWT MR Tanker “AMOR” (the “</w:t>
      </w:r>
      <w:r>
        <w:rPr>
          <w:rFonts w:ascii="Arial" w:cs="Arial" w:eastAsia="Arial" w:hAnsi="Arial"/>
          <w:sz w:val="17"/>
          <w:szCs w:val="17"/>
          <w:u w:val="single" w:color="auto"/>
          <w:color w:val="auto"/>
        </w:rPr>
        <w:t>Vessel</w:t>
      </w:r>
      <w:r>
        <w:rPr>
          <w:rFonts w:ascii="Arial" w:cs="Arial" w:eastAsia="Arial" w:hAnsi="Arial"/>
          <w:sz w:val="17"/>
          <w:szCs w:val="17"/>
          <w:color w:val="auto"/>
        </w:rPr>
        <w:t>”).</w:t>
      </w:r>
    </w:p>
    <w:p>
      <w:pPr>
        <w:spacing w:after="0" w:line="237"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WHEREAS, the Vessel is employed under a charter time charter dated December 18, 2015 by Cargill International S.A., a corporation organized under the laws of Switzerland with its registered office at Chemin De-Normandie 14 1206 Geneva, Switzerland, as charterer (the “</w:t>
      </w:r>
      <w:r>
        <w:rPr>
          <w:rFonts w:ascii="Arial" w:cs="Arial" w:eastAsia="Arial" w:hAnsi="Arial"/>
          <w:sz w:val="16"/>
          <w:szCs w:val="16"/>
          <w:u w:val="single" w:color="auto"/>
          <w:color w:val="auto"/>
        </w:rPr>
        <w:t>Charterer</w:t>
      </w:r>
      <w:r>
        <w:rPr>
          <w:rFonts w:ascii="Arial" w:cs="Arial" w:eastAsia="Arial" w:hAnsi="Arial"/>
          <w:sz w:val="16"/>
          <w:szCs w:val="16"/>
          <w:color w:val="auto"/>
        </w:rPr>
        <w:t>”), for a duration of 24 months (with 30 days less or more, exact period in Charterer’s option) commencing in October 2015 (the “</w:t>
      </w:r>
      <w:r>
        <w:rPr>
          <w:rFonts w:ascii="Arial" w:cs="Arial" w:eastAsia="Arial" w:hAnsi="Arial"/>
          <w:sz w:val="16"/>
          <w:szCs w:val="16"/>
          <w:u w:val="single" w:color="auto"/>
          <w:color w:val="auto"/>
        </w:rPr>
        <w:t>Initial Charter</w:t>
      </w:r>
      <w:r>
        <w:rPr>
          <w:rFonts w:ascii="Arial" w:cs="Arial" w:eastAsia="Arial" w:hAnsi="Arial"/>
          <w:sz w:val="16"/>
          <w:szCs w:val="16"/>
          <w:color w:val="auto"/>
        </w:rPr>
        <w: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WHEREAS, the Vessel Owning Subsidiary has entered into a time charter dated October 20, 2016 with Product &amp; Crude Tanker Chartering Inc., a corporation organized under the laws of the Republic of the Marshall Islands with its registered office at Trust Company Complex, Ajeltake Road, Ajeltake Island, Majuro, Marshall Islands and a wholly-owned subsidiary of the Seller, as charterer, for a duration of two months commencing upon completion of the Initial Charter, at a rate of US$14,000 per day with a 50/50 profit sharing component above such daily rate (the “</w:t>
      </w:r>
      <w:r>
        <w:rPr>
          <w:rFonts w:ascii="Arial" w:cs="Arial" w:eastAsia="Arial" w:hAnsi="Arial"/>
          <w:sz w:val="18"/>
          <w:szCs w:val="18"/>
          <w:u w:val="single" w:color="auto"/>
          <w:color w:val="auto"/>
        </w:rPr>
        <w:t>Second Charter</w:t>
      </w:r>
      <w:r>
        <w:rPr>
          <w:rFonts w:ascii="Arial" w:cs="Arial" w:eastAsia="Arial" w:hAnsi="Arial"/>
          <w:sz w:val="18"/>
          <w:szCs w:val="18"/>
          <w:color w:val="auto"/>
        </w:rPr>
        <w:t>” and, together with the Initial Charter,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WHEREAS, contemporaneously with the Closing (as defined below),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w:t>
      </w:r>
      <w:r>
        <w:rPr>
          <w:rFonts w:ascii="Arial" w:cs="Arial" w:eastAsia="Arial" w:hAnsi="Arial"/>
          <w:sz w:val="15"/>
          <w:szCs w:val="15"/>
          <w:color w:val="auto"/>
        </w:rPr>
        <w:t>th</w:t>
      </w:r>
      <w:r>
        <w:rPr>
          <w:rFonts w:ascii="Arial" w:cs="Arial" w:eastAsia="Arial" w:hAnsi="Arial"/>
          <w:sz w:val="18"/>
          <w:szCs w:val="18"/>
          <w:color w:val="auto"/>
        </w:rPr>
        <w:t xml:space="preserve"> day of June 2011 and entered into between the Buyer and CSM as same has been amended and/or supplemented from time to time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bookmarkStart w:id="389" w:name="page390"/>
    <w:bookmarkEnd w:id="3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Agreement, including its recitals and schedules, as amended, supplemented, restated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has the meaning ascribed to such term in the Partnership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90" w:name="page391"/>
    <w:bookmarkEnd w:id="3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Agreement</w:t>
      </w:r>
      <w:r>
        <w:rPr>
          <w:rFonts w:ascii="Arial" w:cs="Arial" w:eastAsia="Arial" w:hAnsi="Arial"/>
          <w:sz w:val="16"/>
          <w:szCs w:val="16"/>
          <w:color w:val="auto"/>
        </w:rPr>
        <w:t>” means that certain Loan Agreement, dated 19 November 2015, among the Vessel Owning Subsidiary, Helios Product Carrier S.A., Hercules Product Carrier S.A., Iason Product Carrier S.A. and Archon Product Carrier S.A., as joint and several borrowers, the Banks and Financial Institutions listed on Schedule 1 thereto, ING Bank N.V., London Brach, as Facility Agent and Security Trustee, and ING Bank N.V., as Swap Bank.</w:t>
      </w:r>
    </w:p>
    <w:p>
      <w:pPr>
        <w:spacing w:after="0" w:line="147"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w:t>
      </w:r>
      <w:r>
        <w:rPr>
          <w:rFonts w:ascii="Arial" w:cs="Arial" w:eastAsia="Arial" w:hAnsi="Arial"/>
          <w:sz w:val="18"/>
          <w:szCs w:val="18"/>
          <w:color w:val="auto"/>
        </w:rPr>
        <w:t>y” means any one of them;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91" w:name="page392"/>
    <w:bookmarkEnd w:id="391"/>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the Buyer dated February 22, 2010, as amended from time to time.</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Documents</w:t>
      </w:r>
      <w:r>
        <w:rPr>
          <w:rFonts w:ascii="Arial" w:cs="Arial" w:eastAsia="Arial" w:hAnsi="Arial"/>
          <w:sz w:val="16"/>
          <w:szCs w:val="16"/>
          <w:color w:val="auto"/>
        </w:rPr>
        <w:t>” means all filings the Buyer is required to make pursuant to the Securities Act and the Exchange Act,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Charter</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Common Units</w:t>
      </w:r>
      <w:r>
        <w:rPr>
          <w:rFonts w:ascii="Arial" w:cs="Arial" w:eastAsia="Arial" w:hAnsi="Arial"/>
          <w:sz w:val="18"/>
          <w:szCs w:val="18"/>
          <w:color w:val="auto"/>
        </w:rPr>
        <w:t>” has the meaning given to it in Section 2.04;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92" w:name="page393"/>
    <w:bookmarkEnd w:id="392"/>
    <w:p>
      <w:pPr>
        <w:jc w:val="both"/>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The Closing shall take place at the premises of CSM at 3 Iassonos Street, Piraeus, Greece.</w:t>
      </w:r>
    </w:p>
    <w:p>
      <w:pPr>
        <w:spacing w:after="0" w:line="225"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$16,000,000 US Dollars and shall issue to the Seller 283,696 Common Units (the “</w:t>
      </w:r>
      <w:r>
        <w:rPr>
          <w:rFonts w:ascii="Arial" w:cs="Arial" w:eastAsia="Arial" w:hAnsi="Arial"/>
          <w:sz w:val="18"/>
          <w:szCs w:val="18"/>
          <w:u w:val="single" w:color="auto"/>
          <w:color w:val="auto"/>
        </w:rPr>
        <w:t>Transferred Common Units</w:t>
      </w:r>
      <w:r>
        <w:rPr>
          <w:rFonts w:ascii="Arial" w:cs="Arial" w:eastAsia="Arial" w:hAnsi="Arial"/>
          <w:sz w:val="18"/>
          <w:szCs w:val="18"/>
          <w:color w:val="auto"/>
        </w:rPr>
        <w:t>” and, together with such cash consideration, the “</w:t>
      </w:r>
      <w:r>
        <w:rPr>
          <w:rFonts w:ascii="Arial" w:cs="Arial" w:eastAsia="Arial" w:hAnsi="Arial"/>
          <w:sz w:val="18"/>
          <w:szCs w:val="18"/>
          <w:u w:val="single" w:color="auto"/>
          <w:color w:val="auto"/>
        </w:rPr>
        <w:t>Purchase Price</w:t>
      </w:r>
      <w:r>
        <w:rPr>
          <w:rFonts w:ascii="Arial" w:cs="Arial" w:eastAsia="Arial" w:hAnsi="Arial"/>
          <w:sz w:val="18"/>
          <w:szCs w:val="18"/>
          <w:color w:val="auto"/>
        </w:rPr>
        <w:t>”). The Buyer shall have no responsibility or liability hereunder for the Seller’s allocation and distribution of the Purchase Price among the Seller Entities.</w:t>
      </w:r>
    </w:p>
    <w:p>
      <w:pPr>
        <w:spacing w:after="0" w:line="187"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Payment of the Purchase Price</w:t>
      </w:r>
      <w:r>
        <w:rPr>
          <w:rFonts w:ascii="Arial" w:cs="Arial" w:eastAsia="Arial" w:hAnsi="Arial"/>
          <w:sz w:val="17"/>
          <w:szCs w:val="17"/>
          <w:color w:val="auto"/>
        </w:rPr>
        <w:t>. The Purchase Price (i) (to the extent paid in US Dollars) will be paid by the Buyer to the Seller of the Shares by wire transfer of immediately available funds to an account designated in writing by the Seller and (ii) (to the extent paid in Common Units) will be paid by the Buyer to the Seller of the Shares by delivery of certificates representing the Transferred Common Units.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73"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93" w:name="page394"/>
    <w:bookmarkEnd w:id="393"/>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147"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Issuance of Transferred Common Units</w:t>
      </w:r>
      <w:r>
        <w:rPr>
          <w:rFonts w:ascii="Arial" w:cs="Arial" w:eastAsia="Arial" w:hAnsi="Arial"/>
          <w:sz w:val="17"/>
          <w:szCs w:val="17"/>
          <w:color w:val="auto"/>
        </w:rPr>
        <w:t>. The Transferred Common Units have been duly authorized and validly issued and are fully paid and non-assessable. The Transferred Common Units shall have been approved for listing on Nasdaq Global Select Market.</w:t>
      </w:r>
    </w:p>
    <w:p>
      <w:pPr>
        <w:spacing w:after="0" w:line="14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The Transferred Common Units</w:t>
      </w:r>
      <w:r>
        <w:rPr>
          <w:rFonts w:ascii="Arial" w:cs="Arial" w:eastAsia="Arial" w:hAnsi="Arial"/>
          <w:sz w:val="17"/>
          <w:szCs w:val="17"/>
          <w:color w:val="auto"/>
        </w:rPr>
        <w:t>. Assuming the Seller has the requisite power and authority to be the lawful owner of the Transferred Common Units, upon delivery to the Seller at the Closing of certificates representing the Transferred Common Units, or delivery of such Transferred Common Units by electronic means, and upon the consummation of the purchase contemplated hereby, the Seller shall own good and valid title to the Transferred Common Units, free and clear of any Encumbrances, other than those arising from acts of the Seller Entities. Other than those created by or described in this Agreement and the related transaction documents, the Buyer’s organizational documents, restrictions imposed by Applicable Law or as disclosed in the SEC Documents, at the Closing, the Transferred Common Units will not be subject to any voting trust agreement or other contract, agreement, arrangement, commitment or understanding restricting or otherwise relating to the voting, dividend rights or disposition of the Transferred Common Units other than any agreement to which any Seller Entity is a party.</w:t>
      </w:r>
    </w:p>
    <w:p>
      <w:pPr>
        <w:spacing w:after="0" w:line="179"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Securities Act</w:t>
      </w:r>
      <w:r>
        <w:rPr>
          <w:rFonts w:ascii="Arial" w:cs="Arial" w:eastAsia="Arial" w:hAnsi="Arial"/>
          <w:sz w:val="17"/>
          <w:szCs w:val="17"/>
          <w:color w:val="auto"/>
        </w:rPr>
        <w:t>.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178"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Private Offering</w:t>
      </w:r>
      <w:r>
        <w:rPr>
          <w:rFonts w:ascii="Arial" w:cs="Arial" w:eastAsia="Arial" w:hAnsi="Arial"/>
          <w:sz w:val="17"/>
          <w:szCs w:val="17"/>
          <w:color w:val="auto"/>
        </w:rPr>
        <w:t>. None of the Buyer, its affiliates and its representatives has issued, sold or offered any security of the Buyer to any person under circumstances that would cause the issuance and delivery of the Transferred Common Units as contemplated by this Agreement to be subject to the registration requirements of the Securities Act. None of the Buyer, its affiliates and its representatives will offer the Transferred Common Units or any part thereof or any similar securities for issuance or sale to, or solicit any offer to acquire any of the same from, any person so as to make the issuance and sale of the Transferred Common Units subject to the registration requirements of the Securities Act. Assuming the representations of the Seller contained in Section 4.06 are true and correct, the issuance and delivery of the Transferred Common Units on or prior to the Closing Date will be exempt from the registration and prospectus delivery requirements of the Securities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94" w:name="page395"/>
    <w:bookmarkEnd w:id="394"/>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other than under the Loan Agreement. The Shares constitute 100% of the issued and outstanding Equity Interests of the Vessel Owning Subsidiary.</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The Shares</w:t>
      </w:r>
      <w:r>
        <w:rPr>
          <w:rFonts w:ascii="Arial" w:cs="Arial" w:eastAsia="Arial" w:hAnsi="Arial"/>
          <w:sz w:val="18"/>
          <w:szCs w:val="18"/>
          <w:color w:val="auto"/>
        </w:rPr>
        <w:t>.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95" w:name="page396"/>
    <w:bookmarkEnd w:id="3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or arising under the Loan Agreement.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9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Securities Act</w:t>
      </w:r>
      <w:r>
        <w:rPr>
          <w:rFonts w:ascii="Arial" w:cs="Arial" w:eastAsia="Arial" w:hAnsi="Arial"/>
          <w:sz w:val="18"/>
          <w:szCs w:val="18"/>
          <w:color w:val="auto"/>
        </w:rPr>
        <w:t>. The Transferred Common Units transferred to the Seller pursuant to this Agreement are being acquired for investment purposes only and not with a view to any public distribution thereof, and the Seller shall not offer to sell or otherwise dispose of the Transferred Common Units so acquired by it in violation of any of the registration requirements of the Securities Act. The Seller acknowledges that it is able to fend for itself, can bear the economic risk of its investment in the Transferred Common Units, and has such knowledge and experience in financial and business matters that it is capable of evaluating the merits and risks of an investment in all of the Transferred Common Units. The Seller is an “accredited investor” as such term is defined in Regulation D under the Securities Act. The Seller understands that, when issued to the Seller at the Closing, none of the Transferred Common Units will be registered pursuant to the Securities Act and that all of the Transferred Common Units will constitute “restricted securities” under the federal securities laws of the United States.</w:t>
      </w:r>
    </w:p>
    <w:p>
      <w:pPr>
        <w:spacing w:after="0" w:line="192"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96" w:name="page397"/>
    <w:bookmarkEnd w:id="396"/>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Capitalization; Title to Shares</w:t>
      </w:r>
      <w:r>
        <w:rPr>
          <w:rFonts w:ascii="Arial" w:cs="Arial" w:eastAsia="Arial" w:hAnsi="Arial"/>
          <w:sz w:val="18"/>
          <w:szCs w:val="18"/>
          <w:color w:val="auto"/>
        </w:rPr>
        <w:t>. The Shares consist of the 100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equity interests of the Vessel Owning Subsidiary, (ii) any securities convertible into or exchangeable for shares of such equity interests of the Vessel Owning Subsidiary or (iii) any other commitments of any kind for the issuance of additional shares of equity interests or options, warrants or other securities of the Vessel Owning Subsidiary.</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4" w:lineRule="auto"/>
        <w:tabs>
          <w:tab w:leader="none" w:pos="1154"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81"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81" w:lineRule="exact"/>
        <w:rPr>
          <w:rFonts w:ascii="Arial" w:cs="Arial" w:eastAsia="Arial" w:hAnsi="Arial"/>
          <w:sz w:val="18"/>
          <w:szCs w:val="18"/>
          <w:color w:val="auto"/>
        </w:rPr>
      </w:pPr>
    </w:p>
    <w:p>
      <w:pPr>
        <w:ind w:right="520" w:firstLine="921"/>
        <w:spacing w:after="0" w:line="277" w:lineRule="auto"/>
        <w:tabs>
          <w:tab w:leader="none" w:pos="115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There is not in existence any order, judgment or decree of any court or other tribunal or other agency enjoining or requiring the Vessel Owning Subsidiary to take any action of any kind with respect to its business, assets or properties.</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397" w:name="page398"/>
    <w:bookmarkEnd w:id="397"/>
    <w:p>
      <w:pPr>
        <w:ind w:right="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the Amendment to the Management Agreement and the Loan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its assets are bound.</w:t>
      </w:r>
    </w:p>
    <w:p>
      <w:pPr>
        <w:spacing w:after="0" w:line="181" w:lineRule="exact"/>
        <w:rPr>
          <w:sz w:val="20"/>
          <w:szCs w:val="20"/>
          <w:color w:val="auto"/>
        </w:rPr>
      </w:pPr>
    </w:p>
    <w:p>
      <w:pPr>
        <w:ind w:right="120" w:firstLine="921"/>
        <w:spacing w:after="0" w:line="277" w:lineRule="auto"/>
        <w:tabs>
          <w:tab w:leader="none" w:pos="1158" w:val="left"/>
        </w:tabs>
        <w:numPr>
          <w:ilvl w:val="0"/>
          <w:numId w:val="575"/>
        </w:numPr>
        <w:rPr>
          <w:rFonts w:ascii="Arial" w:cs="Arial" w:eastAsia="Arial" w:hAnsi="Arial"/>
          <w:sz w:val="18"/>
          <w:szCs w:val="18"/>
          <w:color w:val="auto"/>
        </w:rPr>
      </w:pPr>
      <w:r>
        <w:rPr>
          <w:rFonts w:ascii="Arial" w:cs="Arial" w:eastAsia="Arial" w:hAnsi="Arial"/>
          <w:sz w:val="18"/>
          <w:szCs w:val="18"/>
          <w:color w:val="auto"/>
        </w:rPr>
        <w:t>Each of the Contracts is (or, in the case of the Amendment to the Management Agreement, will be at Closing) a valid and binding agreement of the Vessel Owning Subsidiary, and to the best knowledge of the Seller, of all other parties thereto;</w:t>
      </w:r>
    </w:p>
    <w:p>
      <w:pPr>
        <w:spacing w:after="0" w:line="170"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Vessel Owning Subsidiary has fulfilled all material obligations required pursuant to its Contracts to have been performed by it prior to the date hereof and has not waived any material rights thereunder, including payment in full of the purchase price for the Vessel, together with any other payments of the Vessel Owning Subsidiary due thereunder;</w:t>
      </w:r>
    </w:p>
    <w:p>
      <w:pPr>
        <w:spacing w:after="0" w:line="181" w:lineRule="exact"/>
        <w:rPr>
          <w:rFonts w:ascii="Arial" w:cs="Arial" w:eastAsia="Arial" w:hAnsi="Arial"/>
          <w:sz w:val="18"/>
          <w:szCs w:val="18"/>
          <w:color w:val="auto"/>
        </w:rPr>
      </w:pPr>
    </w:p>
    <w:p>
      <w:pPr>
        <w:ind w:firstLine="921"/>
        <w:spacing w:after="0" w:line="254" w:lineRule="auto"/>
        <w:tabs>
          <w:tab w:leader="none" w:pos="1158"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Vessel Owning Subsidiary and the Buyer Loan Parties (as defined below) have no obligations with respect to, or any liability for any breach or default of the Loan Agreement by, any of the other borrowers or other party under the Loan Agreement (other than with respect to obligations, breaches or defaults of the Buyer or any such borrowers that are wholly owned subsidiaries of the Buyer (collectively, “</w:t>
      </w:r>
      <w:r>
        <w:rPr>
          <w:rFonts w:ascii="Arial" w:cs="Arial" w:eastAsia="Arial" w:hAnsi="Arial"/>
          <w:sz w:val="18"/>
          <w:szCs w:val="18"/>
          <w:u w:val="single" w:color="auto"/>
          <w:color w:val="auto"/>
        </w:rPr>
        <w:t>Buyer Loan Parties</w:t>
      </w:r>
      <w:r>
        <w:rPr>
          <w:rFonts w:ascii="Arial" w:cs="Arial" w:eastAsia="Arial" w:hAnsi="Arial"/>
          <w:sz w:val="18"/>
          <w:szCs w:val="18"/>
          <w:color w:val="auto"/>
        </w:rPr>
        <w:t>”))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Agreement Breaches</w:t>
      </w:r>
      <w:r>
        <w:rPr>
          <w:rFonts w:ascii="Arial" w:cs="Arial" w:eastAsia="Arial" w:hAnsi="Arial"/>
          <w:sz w:val="18"/>
          <w:szCs w:val="18"/>
          <w:color w:val="auto"/>
        </w:rPr>
        <w:t>”); no Third Party Loan Agreement Breaches shall result in a breach or default of the Loan Agreement by the Vessel Owning Subsidiary or the Buyer Loan Parties, result in any payment obligation of the Vessel Owning Subsidiary or the Buyer Loan Parties under the Loan Agreement, or otherwise affect the rights and obligations of the Vessel Owning Subsidiary or the Buyer Loan Parties under the Loan Agreement; and the Vessel Owning Subsidiary and the Buyer Loan Parties are not jointly liable for any obligations under the Loan Agreement other than in respect of the Vessel Owning Subsidiary or the Buyer Loan Parties.</w:t>
      </w:r>
    </w:p>
    <w:p>
      <w:pPr>
        <w:spacing w:after="0" w:line="192" w:lineRule="exact"/>
        <w:rPr>
          <w:rFonts w:ascii="Arial" w:cs="Arial" w:eastAsia="Arial" w:hAnsi="Arial"/>
          <w:sz w:val="18"/>
          <w:szCs w:val="18"/>
          <w:color w:val="auto"/>
        </w:rPr>
      </w:pPr>
    </w:p>
    <w:p>
      <w:pPr>
        <w:ind w:right="80" w:firstLine="921"/>
        <w:spacing w:after="0" w:line="302" w:lineRule="auto"/>
        <w:tabs>
          <w:tab w:leader="none" w:pos="1168" w:val="left"/>
        </w:tabs>
        <w:numPr>
          <w:ilvl w:val="0"/>
          <w:numId w:val="575"/>
        </w:numPr>
        <w:rPr>
          <w:rFonts w:ascii="Arial" w:cs="Arial" w:eastAsia="Arial" w:hAnsi="Arial"/>
          <w:sz w:val="16"/>
          <w:szCs w:val="16"/>
          <w:color w:val="auto"/>
        </w:rPr>
      </w:pPr>
      <w:r>
        <w:rPr>
          <w:rFonts w:ascii="Arial" w:cs="Arial" w:eastAsia="Arial" w:hAnsi="Arial"/>
          <w:sz w:val="16"/>
          <w:szCs w:val="16"/>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5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9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398" w:name="page399"/>
    <w:bookmarkEnd w:id="39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or otherwise, and whether due or to become due (including, without limitation, any liability for Taxes and interest, penalties and other charges payable with respect to any such liability or obligation, including under the Loan Agreement), other than under the Loan Agreement solely with respect to the approximately $15,750,000 aggregate principal amount borrowed and outstanding thereunder to fund the purchase of the Vessel, plus accrued interest thereon, if any, from the last payment date.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15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2014,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99" w:name="page400"/>
    <w:bookmarkEnd w:id="39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assets of the Vessel Owning Subsidiary and the Vessel are free of all Encumbrances other than the Encumbrances arising under the Charter or the Loan Agreement.</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Expenses</w:t>
      </w:r>
      <w:r>
        <w:rPr>
          <w:rFonts w:ascii="Arial" w:cs="Arial" w:eastAsia="Arial" w:hAnsi="Arial"/>
          <w:sz w:val="18"/>
          <w:szCs w:val="18"/>
          <w:color w:val="auto"/>
        </w:rPr>
        <w:t>.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400" w:name="page401"/>
    <w:bookmarkEnd w:id="400"/>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6"/>
          <w:szCs w:val="16"/>
          <w:u w:val="single" w:color="auto"/>
          <w:color w:val="auto"/>
        </w:rPr>
        <w:t>Subsequent Share Purchase Agreements</w:t>
      </w:r>
      <w:r>
        <w:rPr>
          <w:rFonts w:ascii="Arial" w:cs="Arial" w:eastAsia="Arial" w:hAnsi="Arial"/>
          <w:sz w:val="16"/>
          <w:szCs w:val="16"/>
          <w:color w:val="auto"/>
        </w:rPr>
        <w:t>. Seller agrees to negotiate in good faith mutually agreeable terms (including a “market” based price) upon which the Parties potentially could agree to execute (i) a purchase agreement pursuant to which Seller would sell (directly or indirectly) to Buyer (on or shortly after completion) the Aristaios, a 115,000 DWT Aframax tanker currently being constructed and expected to be delivered in November/December 2016 and (ii) a purchase agreement pursuant to which Seller would sell (directly or indirectly) to Buyer (on or shortly after completion) the Aristoklis, a 115,000 DWT Aframax tanker currently being constructed and expected to be delivered in January 2017. Other than the obligation to negotiate in good faith, this Section does not create any obligations on either Party with respect to the Aristaios or Aristoklis, and neither Party would have any additional obligations unless and until each Party (in its sole discretion) is satisfied with the terms of any applicable definitive agreements and has obtained any necessary or desirable approvals, including, without limitation, approvals of any management group, board of directors or similar authority and the Conflicts Committee of Buyer, which approvals or rejections would be within the sole discretion of each applicable individual, entity or authority.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73" w:lineRule="exact"/>
        <w:rPr>
          <w:sz w:val="20"/>
          <w:szCs w:val="20"/>
          <w:color w:val="auto"/>
        </w:rPr>
      </w:pPr>
    </w:p>
    <w:p>
      <w:pPr>
        <w:ind w:left="460" w:right="60" w:firstLine="443"/>
        <w:spacing w:after="0" w:line="259" w:lineRule="auto"/>
        <w:tabs>
          <w:tab w:leader="none" w:pos="1143" w:val="left"/>
        </w:tabs>
        <w:numPr>
          <w:ilvl w:val="0"/>
          <w:numId w:val="576"/>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78" w:lineRule="exact"/>
        <w:rPr>
          <w:rFonts w:ascii="Arial" w:cs="Arial" w:eastAsia="Arial" w:hAnsi="Arial"/>
          <w:sz w:val="18"/>
          <w:szCs w:val="18"/>
          <w:color w:val="auto"/>
        </w:rPr>
      </w:pPr>
    </w:p>
    <w:p>
      <w:pPr>
        <w:ind w:left="460" w:right="280" w:firstLine="443"/>
        <w:spacing w:after="0" w:line="308" w:lineRule="auto"/>
        <w:tabs>
          <w:tab w:leader="none" w:pos="1153" w:val="left"/>
        </w:tabs>
        <w:numPr>
          <w:ilvl w:val="0"/>
          <w:numId w:val="576"/>
        </w:numPr>
        <w:rPr>
          <w:rFonts w:ascii="Arial" w:cs="Arial" w:eastAsia="Arial" w:hAnsi="Arial"/>
          <w:sz w:val="17"/>
          <w:szCs w:val="17"/>
          <w:color w:val="auto"/>
        </w:rPr>
      </w:pPr>
      <w:r>
        <w:rPr>
          <w:rFonts w:ascii="Arial" w:cs="Arial" w:eastAsia="Arial" w:hAnsi="Arial"/>
          <w:sz w:val="17"/>
          <w:szCs w:val="17"/>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38" w:lineRule="exact"/>
        <w:rPr>
          <w:rFonts w:ascii="Arial" w:cs="Arial" w:eastAsia="Arial" w:hAnsi="Arial"/>
          <w:sz w:val="17"/>
          <w:szCs w:val="17"/>
          <w:color w:val="auto"/>
        </w:rPr>
      </w:pPr>
    </w:p>
    <w:p>
      <w:pPr>
        <w:ind w:left="460" w:right="180" w:firstLine="443"/>
        <w:spacing w:after="0" w:line="273" w:lineRule="auto"/>
        <w:tabs>
          <w:tab w:leader="none" w:pos="1143" w:val="left"/>
        </w:tabs>
        <w:numPr>
          <w:ilvl w:val="0"/>
          <w:numId w:val="576"/>
        </w:numPr>
        <w:rPr>
          <w:rFonts w:ascii="Arial" w:cs="Arial" w:eastAsia="Arial" w:hAnsi="Arial"/>
          <w:sz w:val="17"/>
          <w:szCs w:val="17"/>
          <w:color w:val="auto"/>
        </w:rPr>
      </w:pPr>
      <w:r>
        <w:rPr>
          <w:rFonts w:ascii="Arial" w:cs="Arial" w:eastAsia="Arial" w:hAnsi="Arial"/>
          <w:sz w:val="17"/>
          <w:szCs w:val="17"/>
          <w:color w:val="auto"/>
        </w:rPr>
        <w:t>by reason of, arising out of or otherwise in respect of (i) Third Party Loan Agreement Breaches or (ii) obligations, liabilities, expenses, cost and claims relating to, arising from or otherwise attributable to (x) the Loan Agreement (other than those attributable to the Buyer Loan Parties, excluding any resulting from joint liability (or similar concepts) thereunder), including with respect to any amounts borrowed or otherwise owing thereunder other than the aggregate principal amount specified in Section 5.10) or (y) assets owned by the Vessel Owning Subsidiary or the assets, operations, and obligations of the Vessel Owning Subsidiary or the businesses thereof, in each case under clause (y), to the extent relating to, arising from, or otherwise attributable to facts, circumstances or events occurring prior to the Closing Date.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01" w:name="page402"/>
    <w:bookmarkEnd w:id="401"/>
    <w:p>
      <w:pPr>
        <w:ind w:right="4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02" w:name="page403"/>
    <w:bookmarkEnd w:id="402"/>
    <w:p>
      <w:pPr>
        <w:ind w:right="4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8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Except to the extent provided in Article X, a Person who is not a party to this Agreement has no right to enforce or to enjoy the benefit of any term of this Agreement.</w:t>
      </w:r>
    </w:p>
    <w:p>
      <w:pPr>
        <w:spacing w:after="0" w:line="170"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Capital Maritime &amp; Trading Corp.,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 Piraeus,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Gerassimos Kalogiratos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+30 210 428 4286</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Capital Product Partners L.P.,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Capital Ship Management Corp.,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Iassonos Street, Piraeus, Greece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CEO/CFO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+30 210 428 4285</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3" w:right="259" w:bottom="1440" w:gutter="0" w:footer="0" w:header="0"/>
        </w:sectPr>
      </w:pPr>
    </w:p>
    <w:bookmarkStart w:id="403" w:name="page404"/>
    <w:bookmarkEnd w:id="403"/>
    <w:p>
      <w:pPr>
        <w:ind w:right="2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each of the parties hereto has caused this Agreement to be signed as of the date first above written.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404" w:name="page405"/>
    <w:bookmarkEnd w:id="40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MARITIME &amp; TRADING CORP.,</w:t>
      </w:r>
    </w:p>
    <w:p>
      <w:pPr>
        <w:spacing w:after="0" w:line="225" w:lineRule="exact"/>
        <w:rPr>
          <w:sz w:val="20"/>
          <w:szCs w:val="20"/>
          <w:color w:val="auto"/>
        </w:rPr>
      </w:pPr>
    </w:p>
    <w:p>
      <w:pPr>
        <w:ind w:left="60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14605</wp:posOffset>
            </wp:positionV>
            <wp:extent cx="23755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  Gerasimos Kalogiratos</w:t>
      </w:r>
    </w:p>
    <w:p>
      <w:pPr>
        <w:spacing w:after="0" w:line="23" w:lineRule="exact"/>
        <w:rPr>
          <w:sz w:val="20"/>
          <w:szCs w:val="20"/>
          <w:color w:val="auto"/>
        </w:rPr>
      </w:pPr>
    </w:p>
    <w:p>
      <w:pPr>
        <w:ind w:left="6480"/>
        <w:spacing w:after="0"/>
        <w:tabs>
          <w:tab w:leader="none" w:pos="70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tbl>
      <w:tblPr>
        <w:tblLayout w:type="fixed"/>
        <w:tblInd w:w="64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Kalogiratos</w:t>
            </w:r>
          </w:p>
        </w:tc>
      </w:tr>
      <w:tr>
        <w:trPr>
          <w:trHeight w:val="209"/>
        </w:trPr>
        <w:tc>
          <w:tcPr>
            <w:tcW w:w="6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Name:  Gerasimos Kalogiratos</w:t>
            </w:r>
          </w:p>
        </w:tc>
      </w:tr>
      <w:tr>
        <w:trPr>
          <w:trHeight w:val="216"/>
        </w:trPr>
        <w:tc>
          <w:tcPr>
            <w:tcW w:w="6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7"/>
              </w:rPr>
              <w:t>Title:   Chief Executive Officer and Chief</w:t>
            </w:r>
          </w:p>
        </w:tc>
      </w:tr>
      <w:tr>
        <w:trPr>
          <w:trHeight w:val="216"/>
        </w:trPr>
        <w:tc>
          <w:tcPr>
            <w:tcW w:w="600" w:type="dxa"/>
            <w:vAlign w:val="bottom"/>
          </w:tcPr>
          <w:p>
            <w:pPr>
              <w:spacing w:after="0"/>
              <w:rPr>
                <w:sz w:val="18"/>
                <w:szCs w:val="18"/>
                <w:color w:val="auto"/>
              </w:rPr>
            </w:pPr>
          </w:p>
        </w:tc>
        <w:tc>
          <w:tcPr>
            <w:tcW w:w="3140" w:type="dxa"/>
            <w:vAlign w:val="bottom"/>
          </w:tcPr>
          <w:p>
            <w:pPr>
              <w:ind w:left="580"/>
              <w:spacing w:after="0"/>
              <w:rPr>
                <w:sz w:val="20"/>
                <w:szCs w:val="20"/>
                <w:color w:val="auto"/>
              </w:rPr>
            </w:pPr>
            <w:r>
              <w:rPr>
                <w:rFonts w:ascii="Arial" w:cs="Arial" w:eastAsia="Arial" w:hAnsi="Arial"/>
                <w:sz w:val="18"/>
                <w:szCs w:val="18"/>
                <w:color w:val="auto"/>
              </w:rPr>
              <w:t>Financial Officer of Capital GP,</w:t>
            </w:r>
          </w:p>
        </w:tc>
      </w:tr>
      <w:tr>
        <w:trPr>
          <w:trHeight w:val="230"/>
        </w:trPr>
        <w:tc>
          <w:tcPr>
            <w:tcW w:w="600" w:type="dxa"/>
            <w:vAlign w:val="bottom"/>
          </w:tcPr>
          <w:p>
            <w:pPr>
              <w:spacing w:after="0"/>
              <w:rPr>
                <w:sz w:val="20"/>
                <w:szCs w:val="20"/>
                <w:color w:val="auto"/>
              </w:rPr>
            </w:pPr>
          </w:p>
        </w:tc>
        <w:tc>
          <w:tcPr>
            <w:tcW w:w="3140" w:type="dxa"/>
            <w:vAlign w:val="bottom"/>
          </w:tcPr>
          <w:p>
            <w:pPr>
              <w:ind w:left="580"/>
              <w:spacing w:after="0"/>
              <w:rPr>
                <w:sz w:val="20"/>
                <w:szCs w:val="20"/>
                <w:color w:val="auto"/>
              </w:rPr>
            </w:pPr>
            <w:r>
              <w:rPr>
                <w:rFonts w:ascii="Arial" w:cs="Arial" w:eastAsia="Arial" w:hAnsi="Arial"/>
                <w:sz w:val="18"/>
                <w:szCs w:val="18"/>
                <w:color w:val="auto"/>
              </w:rPr>
              <w:t>L.L.C.</w:t>
            </w:r>
          </w:p>
        </w:tc>
      </w:tr>
    </w:tbl>
    <w:p>
      <w:pPr>
        <w:sectPr>
          <w:pgSz w:w="11900" w:h="16838" w:orient="portrait"/>
          <w:cols w:equalWidth="0" w:num="1">
            <w:col w:w="10220"/>
          </w:cols>
          <w:pgMar w:left="1440" w:top="274"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list of Capital Product Partners L.P.’s significant subsidiaries as at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Jurisdiction of Incorporation</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Proportion of Ownership Interest</w:t>
            </w: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03"/>
        </w:trPr>
        <w:tc>
          <w:tcPr>
            <w:tcW w:w="4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Product Operating L.L.C.</w:t>
            </w:r>
          </w:p>
        </w:tc>
        <w:tc>
          <w:tcPr>
            <w:tcW w:w="3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Republic of The Marshall Islands</w:t>
            </w: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100%</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Republic of the Marshall Islands</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420"/>
          </w:cols>
          <w:pgMar w:left="240" w:top="121"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Gerasimos (Jerry) Kalogiratos, certify that:</w:t>
      </w:r>
    </w:p>
    <w:p>
      <w:pPr>
        <w:spacing w:after="0" w:line="117" w:lineRule="exact"/>
        <w:rPr>
          <w:sz w:val="20"/>
          <w:szCs w:val="20"/>
          <w:color w:val="auto"/>
        </w:rPr>
      </w:pPr>
    </w:p>
    <w:p>
      <w:pPr>
        <w:ind w:left="640" w:hanging="176"/>
        <w:spacing w:after="0"/>
        <w:tabs>
          <w:tab w:leader="none" w:pos="6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5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5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57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57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420"/>
          </w:cols>
          <w:pgMar w:left="240" w:top="121" w:right="239" w:bottom="1440" w:gutter="0" w:footer="0" w:header="0"/>
        </w:sectPr>
      </w:pPr>
    </w:p>
    <w:bookmarkStart w:id="407" w:name="page408"/>
    <w:bookmarkEnd w:id="407"/>
    <w:p>
      <w:pPr>
        <w:ind w:left="460" w:firstLine="4"/>
        <w:spacing w:after="0" w:line="308" w:lineRule="auto"/>
        <w:tabs>
          <w:tab w:leader="none" w:pos="6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620" w:firstLine="1"/>
        <w:spacing w:after="0" w:line="308" w:lineRule="auto"/>
        <w:tabs>
          <w:tab w:leader="none" w:pos="1165" w:val="left"/>
        </w:tabs>
        <w:numPr>
          <w:ilvl w:val="1"/>
          <w:numId w:val="5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340" w:firstLine="1"/>
        <w:spacing w:after="0" w:line="277" w:lineRule="auto"/>
        <w:tabs>
          <w:tab w:leader="none" w:pos="1165"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2017</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80"/>
          </w:cols>
          <w:pgMar w:left="240" w:top="273" w:right="37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Gerasimos (Jerry) Kalogiratos, certify that:</w:t>
      </w:r>
    </w:p>
    <w:p>
      <w:pPr>
        <w:spacing w:after="0" w:line="117" w:lineRule="exact"/>
        <w:rPr>
          <w:sz w:val="20"/>
          <w:szCs w:val="20"/>
          <w:color w:val="auto"/>
        </w:rPr>
      </w:pPr>
    </w:p>
    <w:p>
      <w:pPr>
        <w:ind w:left="640" w:hanging="176"/>
        <w:spacing w:after="0"/>
        <w:tabs>
          <w:tab w:leader="none" w:pos="6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117" w:lineRule="exact"/>
        <w:rPr>
          <w:rFonts w:ascii="Arial" w:cs="Arial" w:eastAsia="Arial" w:hAnsi="Arial"/>
          <w:sz w:val="18"/>
          <w:szCs w:val="18"/>
          <w:color w:val="auto"/>
        </w:rPr>
      </w:pPr>
    </w:p>
    <w:p>
      <w:pPr>
        <w:ind w:left="460" w:right="300" w:firstLine="4"/>
        <w:spacing w:after="0" w:line="264" w:lineRule="auto"/>
        <w:tabs>
          <w:tab w:leader="none" w:pos="6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60" w:firstLine="4"/>
        <w:spacing w:after="0" w:line="308" w:lineRule="auto"/>
        <w:tabs>
          <w:tab w:leader="none" w:pos="64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60" w:right="60" w:firstLine="4"/>
        <w:spacing w:after="0" w:line="264" w:lineRule="auto"/>
        <w:tabs>
          <w:tab w:leader="none" w:pos="6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5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5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57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342" w:lineRule="auto"/>
        <w:tabs>
          <w:tab w:leader="none" w:pos="1175" w:val="left"/>
        </w:tabs>
        <w:numPr>
          <w:ilvl w:val="1"/>
          <w:numId w:val="57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420"/>
          </w:cols>
          <w:pgMar w:left="240" w:top="121" w:right="239" w:bottom="1440" w:gutter="0" w:footer="0" w:header="0"/>
        </w:sectPr>
      </w:pPr>
    </w:p>
    <w:bookmarkStart w:id="409" w:name="page410"/>
    <w:bookmarkEnd w:id="409"/>
    <w:p>
      <w:pPr>
        <w:ind w:left="460" w:firstLine="4"/>
        <w:spacing w:after="0" w:line="308" w:lineRule="auto"/>
        <w:tabs>
          <w:tab w:leader="none" w:pos="640" w:val="left"/>
        </w:tabs>
        <w:numPr>
          <w:ilvl w:val="0"/>
          <w:numId w:val="5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620" w:firstLine="1"/>
        <w:spacing w:after="0" w:line="308" w:lineRule="auto"/>
        <w:tabs>
          <w:tab w:leader="none" w:pos="1165" w:val="left"/>
        </w:tabs>
        <w:numPr>
          <w:ilvl w:val="1"/>
          <w:numId w:val="5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340" w:firstLine="1"/>
        <w:spacing w:after="0" w:line="277" w:lineRule="auto"/>
        <w:tabs>
          <w:tab w:leader="none" w:pos="1165" w:val="left"/>
        </w:tabs>
        <w:numPr>
          <w:ilvl w:val="1"/>
          <w:numId w:val="5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2017</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80"/>
          </w:cols>
          <w:pgMar w:left="240" w:top="274" w:right="37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2016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16" w:lineRule="auto"/>
        <w:tabs>
          <w:tab w:leader="none" w:pos="1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3, 2017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2016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40" w:firstLine="8"/>
        <w:spacing w:after="0" w:line="516" w:lineRule="auto"/>
        <w:tabs>
          <w:tab w:leader="none" w:pos="18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3, 2017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333-210394 on Form F-3 of our reports dated February 3, 2017, relating to the consolidated financial statements of Capital Product Partners L.P. (the “Partnership”) and the effectiveness of the Partnership’s internal control over financial reporting, appearing in this Annual Report on Form 20-F of the Partnership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F0D62F"/>
    <w:multiLevelType w:val="hybridMultilevel"/>
    <w:lvl w:ilvl="0">
      <w:lvlJc w:val="left"/>
      <w:lvlText w:val="☐"/>
      <w:numFmt w:val="bullet"/>
      <w:start w:val="1"/>
    </w:lvl>
  </w:abstractNum>
  <w:abstractNum w:abstractNumId="1">
    <w:nsid w:val="7975E8EE"/>
    <w:multiLevelType w:val="hybridMultilevel"/>
    <w:lvl w:ilvl="0">
      <w:lvlJc w:val="left"/>
      <w:lvlText w:val="☒"/>
      <w:numFmt w:val="bullet"/>
      <w:start w:val="1"/>
    </w:lvl>
  </w:abstractNum>
  <w:abstractNum w:abstractNumId="2">
    <w:nsid w:val="73154115"/>
    <w:multiLevelType w:val="hybridMultilevel"/>
    <w:lvl w:ilvl="0">
      <w:lvlJc w:val="left"/>
      <w:lvlText w:val="☐"/>
      <w:numFmt w:val="bullet"/>
      <w:start w:val="1"/>
    </w:lvl>
  </w:abstractNum>
  <w:abstractNum w:abstractNumId="3">
    <w:nsid w:val="622D8102"/>
    <w:multiLevelType w:val="hybridMultilevel"/>
    <w:lvl w:ilvl="0">
      <w:lvlJc w:val="left"/>
      <w:lvlText w:val="☐"/>
      <w:numFmt w:val="bullet"/>
      <w:start w:val="1"/>
    </w:lvl>
  </w:abstractNum>
  <w:abstractNum w:abstractNumId="4">
    <w:nsid w:val="2AB26587"/>
    <w:multiLevelType w:val="hybridMultilevel"/>
    <w:lvl w:ilvl="0">
      <w:lvlJc w:val="left"/>
      <w:lvlText w:val="•"/>
      <w:numFmt w:val="bullet"/>
      <w:start w:val="1"/>
    </w:lvl>
  </w:abstractNum>
  <w:abstractNum w:abstractNumId="5">
    <w:nsid w:val="44B3FA61"/>
    <w:multiLevelType w:val="hybridMultilevel"/>
    <w:lvl w:ilvl="0">
      <w:lvlJc w:val="left"/>
      <w:lvlText w:val="•"/>
      <w:numFmt w:val="bullet"/>
      <w:start w:val="1"/>
    </w:lvl>
  </w:abstractNum>
  <w:abstractNum w:abstractNumId="6">
    <w:nsid w:val="1C0CA67C"/>
    <w:multiLevelType w:val="hybridMultilevel"/>
    <w:lvl w:ilvl="0">
      <w:lvlJc w:val="left"/>
      <w:lvlText w:val="•"/>
      <w:numFmt w:val="bullet"/>
      <w:start w:val="1"/>
    </w:lvl>
  </w:abstractNum>
  <w:abstractNum w:abstractNumId="7">
    <w:nsid w:val="3D206613"/>
    <w:multiLevelType w:val="hybridMultilevel"/>
    <w:lvl w:ilvl="0">
      <w:lvlJc w:val="left"/>
      <w:lvlText w:val="%1."/>
      <w:numFmt w:val="upperLetter"/>
      <w:start w:val="1"/>
    </w:lvl>
  </w:abstractNum>
  <w:abstractNum w:abstractNumId="8">
    <w:nsid w:val="7993B662"/>
    <w:multiLevelType w:val="hybridMultilevel"/>
    <w:lvl w:ilvl="0">
      <w:lvlJc w:val="left"/>
      <w:lvlText w:val="(%1)"/>
      <w:numFmt w:val="decimal"/>
      <w:start w:val="1"/>
    </w:lvl>
  </w:abstractNum>
  <w:abstractNum w:abstractNumId="9">
    <w:nsid w:val="3BAB699E"/>
    <w:multiLevelType w:val="hybridMultilevel"/>
    <w:lvl w:ilvl="0">
      <w:lvlJc w:val="left"/>
      <w:lvlText w:val="(%1)"/>
      <w:numFmt w:val="decimal"/>
      <w:start w:val="5"/>
    </w:lvl>
  </w:abstractNum>
  <w:abstractNum w:abstractNumId="10">
    <w:nsid w:val="71315369"/>
    <w:multiLevelType w:val="hybridMultilevel"/>
    <w:lvl w:ilvl="0">
      <w:lvlJc w:val="left"/>
      <w:lvlText w:val="%1."/>
      <w:numFmt w:val="upperLetter"/>
      <w:start w:val="2"/>
    </w:lvl>
  </w:abstractNum>
  <w:abstractNum w:abstractNumId="11">
    <w:nsid w:val="7BCFBAFC"/>
    <w:multiLevelType w:val="hybridMultilevel"/>
    <w:lvl w:ilvl="0">
      <w:lvlJc w:val="left"/>
      <w:lvlText w:val="%1."/>
      <w:numFmt w:val="upperLetter"/>
      <w:start w:val="3"/>
    </w:lvl>
  </w:abstractNum>
  <w:abstractNum w:abstractNumId="12">
    <w:nsid w:val="17859F72"/>
    <w:multiLevelType w:val="hybridMultilevel"/>
    <w:lvl w:ilvl="0">
      <w:lvlJc w:val="left"/>
      <w:lvlText w:val="%1."/>
      <w:numFmt w:val="upperLetter"/>
      <w:start w:val="4"/>
    </w:lvl>
  </w:abstractNum>
  <w:abstractNum w:abstractNumId="13">
    <w:nsid w:val="3AA10581"/>
    <w:multiLevelType w:val="hybridMultilevel"/>
    <w:lvl w:ilvl="0">
      <w:lvlJc w:val="left"/>
      <w:lvlText w:val="•"/>
      <w:numFmt w:val="bullet"/>
      <w:start w:val="1"/>
    </w:lvl>
  </w:abstractNum>
  <w:abstractNum w:abstractNumId="14">
    <w:nsid w:val="63DE60CD"/>
    <w:multiLevelType w:val="hybridMultilevel"/>
    <w:lvl w:ilvl="0">
      <w:lvlJc w:val="left"/>
      <w:lvlText w:val="•"/>
      <w:numFmt w:val="bullet"/>
      <w:start w:val="1"/>
    </w:lvl>
  </w:abstractNum>
  <w:abstractNum w:abstractNumId="15">
    <w:nsid w:val="621AF471"/>
    <w:multiLevelType w:val="hybridMultilevel"/>
    <w:lvl w:ilvl="0">
      <w:lvlJc w:val="left"/>
      <w:lvlText w:val="•"/>
      <w:numFmt w:val="bullet"/>
      <w:start w:val="1"/>
    </w:lvl>
  </w:abstractNum>
  <w:abstractNum w:abstractNumId="16">
    <w:nsid w:val="73CFE165"/>
    <w:multiLevelType w:val="hybridMultilevel"/>
    <w:lvl w:ilvl="0">
      <w:lvlJc w:val="left"/>
      <w:lvlText w:val="•"/>
      <w:numFmt w:val="bullet"/>
      <w:start w:val="1"/>
    </w:lvl>
  </w:abstractNum>
  <w:abstractNum w:abstractNumId="17">
    <w:nsid w:val="20F88EA6"/>
    <w:multiLevelType w:val="hybridMultilevel"/>
    <w:lvl w:ilvl="0">
      <w:lvlJc w:val="left"/>
      <w:lvlText w:val="•"/>
      <w:numFmt w:val="bullet"/>
      <w:start w:val="1"/>
    </w:lvl>
  </w:abstractNum>
  <w:abstractNum w:abstractNumId="18">
    <w:nsid w:val="617C843E"/>
    <w:multiLevelType w:val="hybridMultilevel"/>
    <w:lvl w:ilvl="0">
      <w:lvlJc w:val="left"/>
      <w:lvlText w:val="•"/>
      <w:numFmt w:val="bullet"/>
      <w:start w:val="1"/>
    </w:lvl>
  </w:abstractNum>
  <w:abstractNum w:abstractNumId="19">
    <w:nsid w:val="7B541FAB"/>
    <w:multiLevelType w:val="hybridMultilevel"/>
    <w:lvl w:ilvl="0">
      <w:lvlJc w:val="left"/>
      <w:lvlText w:val="•"/>
      <w:numFmt w:val="bullet"/>
      <w:start w:val="1"/>
    </w:lvl>
  </w:abstractNum>
  <w:abstractNum w:abstractNumId="20">
    <w:nsid w:val="2A79EC49"/>
    <w:multiLevelType w:val="hybridMultilevel"/>
    <w:lvl w:ilvl="0">
      <w:lvlJc w:val="left"/>
      <w:lvlText w:val="•"/>
      <w:numFmt w:val="bullet"/>
      <w:start w:val="1"/>
    </w:lvl>
  </w:abstractNum>
  <w:abstractNum w:abstractNumId="21">
    <w:nsid w:val="338125CF"/>
    <w:multiLevelType w:val="hybridMultilevel"/>
    <w:lvl w:ilvl="0">
      <w:lvlJc w:val="left"/>
      <w:lvlText w:val="•"/>
      <w:numFmt w:val="bullet"/>
      <w:start w:val="1"/>
    </w:lvl>
  </w:abstractNum>
  <w:abstractNum w:abstractNumId="22">
    <w:nsid w:val="47C7C971"/>
    <w:multiLevelType w:val="hybridMultilevel"/>
    <w:lvl w:ilvl="0">
      <w:lvlJc w:val="left"/>
      <w:lvlText w:val="•"/>
      <w:numFmt w:val="bullet"/>
      <w:start w:val="1"/>
    </w:lvl>
  </w:abstractNum>
  <w:abstractNum w:abstractNumId="23">
    <w:nsid w:val="46F8284B"/>
    <w:multiLevelType w:val="hybridMultilevel"/>
    <w:lvl w:ilvl="0">
      <w:lvlJc w:val="left"/>
      <w:lvlText w:val="•"/>
      <w:numFmt w:val="bullet"/>
      <w:start w:val="1"/>
    </w:lvl>
  </w:abstractNum>
  <w:abstractNum w:abstractNumId="24">
    <w:nsid w:val="4FA327CE"/>
    <w:multiLevelType w:val="hybridMultilevel"/>
    <w:lvl w:ilvl="0">
      <w:lvlJc w:val="left"/>
      <w:lvlText w:val="•"/>
      <w:numFmt w:val="bullet"/>
      <w:start w:val="1"/>
    </w:lvl>
  </w:abstractNum>
  <w:abstractNum w:abstractNumId="25">
    <w:nsid w:val="1873983A"/>
    <w:multiLevelType w:val="hybridMultilevel"/>
    <w:lvl w:ilvl="0">
      <w:lvlJc w:val="left"/>
      <w:lvlText w:val="•"/>
      <w:numFmt w:val="bullet"/>
      <w:start w:val="1"/>
    </w:lvl>
  </w:abstractNum>
  <w:abstractNum w:abstractNumId="26">
    <w:nsid w:val="3D2DD275"/>
    <w:multiLevelType w:val="hybridMultilevel"/>
    <w:lvl w:ilvl="0">
      <w:lvlJc w:val="left"/>
      <w:lvlText w:val="•"/>
      <w:numFmt w:val="bullet"/>
      <w:start w:val="1"/>
    </w:lvl>
  </w:abstractNum>
  <w:abstractNum w:abstractNumId="27">
    <w:nsid w:val="2E17ECA7"/>
    <w:multiLevelType w:val="hybridMultilevel"/>
    <w:lvl w:ilvl="0">
      <w:lvlJc w:val="left"/>
      <w:lvlText w:val="•"/>
      <w:numFmt w:val="bullet"/>
      <w:start w:val="1"/>
    </w:lvl>
  </w:abstractNum>
  <w:abstractNum w:abstractNumId="28">
    <w:nsid w:val="53B2564F"/>
    <w:multiLevelType w:val="hybridMultilevel"/>
    <w:lvl w:ilvl="0">
      <w:lvlJc w:val="left"/>
      <w:lvlText w:val="•"/>
      <w:numFmt w:val="bullet"/>
      <w:start w:val="1"/>
    </w:lvl>
  </w:abstractNum>
  <w:abstractNum w:abstractNumId="29">
    <w:nsid w:val="75509D76"/>
    <w:multiLevelType w:val="hybridMultilevel"/>
    <w:lvl w:ilvl="0">
      <w:lvlJc w:val="left"/>
      <w:lvlText w:val="•"/>
      <w:numFmt w:val="bullet"/>
      <w:start w:val="1"/>
    </w:lvl>
  </w:abstractNum>
  <w:abstractNum w:abstractNumId="30">
    <w:nsid w:val="1AF7F0EA"/>
    <w:multiLevelType w:val="hybridMultilevel"/>
    <w:lvl w:ilvl="0">
      <w:lvlJc w:val="left"/>
      <w:lvlText w:val="•"/>
      <w:numFmt w:val="bullet"/>
      <w:start w:val="1"/>
    </w:lvl>
  </w:abstractNum>
  <w:abstractNum w:abstractNumId="31">
    <w:nsid w:val="4DA32C7E"/>
    <w:multiLevelType w:val="hybridMultilevel"/>
    <w:lvl w:ilvl="0">
      <w:lvlJc w:val="left"/>
      <w:lvlText w:val="•"/>
      <w:numFmt w:val="bullet"/>
      <w:start w:val="1"/>
    </w:lvl>
  </w:abstractNum>
  <w:abstractNum w:abstractNumId="32">
    <w:nsid w:val="6EC68664"/>
    <w:multiLevelType w:val="hybridMultilevel"/>
    <w:lvl w:ilvl="0">
      <w:lvlJc w:val="left"/>
      <w:lvlText w:val="•"/>
      <w:numFmt w:val="bullet"/>
      <w:start w:val="1"/>
    </w:lvl>
  </w:abstractNum>
  <w:abstractNum w:abstractNumId="33">
    <w:nsid w:val="E0D31FF"/>
    <w:multiLevelType w:val="hybridMultilevel"/>
    <w:lvl w:ilvl="0">
      <w:lvlJc w:val="left"/>
      <w:lvlText w:val="•"/>
      <w:numFmt w:val="bullet"/>
      <w:start w:val="1"/>
    </w:lvl>
  </w:abstractNum>
  <w:abstractNum w:abstractNumId="34">
    <w:nsid w:val="2FD0AD81"/>
    <w:multiLevelType w:val="hybridMultilevel"/>
    <w:lvl w:ilvl="0">
      <w:lvlJc w:val="left"/>
      <w:lvlText w:val="•"/>
      <w:numFmt w:val="bullet"/>
      <w:start w:val="1"/>
    </w:lvl>
  </w:abstractNum>
  <w:abstractNum w:abstractNumId="35">
    <w:nsid w:val="1978EBEB"/>
    <w:multiLevelType w:val="hybridMultilevel"/>
    <w:lvl w:ilvl="0">
      <w:lvlJc w:val="left"/>
      <w:lvlText w:val="•"/>
      <w:numFmt w:val="bullet"/>
      <w:start w:val="1"/>
    </w:lvl>
  </w:abstractNum>
  <w:abstractNum w:abstractNumId="36">
    <w:nsid w:val="52C12C61"/>
    <w:multiLevelType w:val="hybridMultilevel"/>
    <w:lvl w:ilvl="0">
      <w:lvlJc w:val="left"/>
      <w:lvlText w:val="•"/>
      <w:numFmt w:val="bullet"/>
      <w:start w:val="1"/>
    </w:lvl>
  </w:abstractNum>
  <w:abstractNum w:abstractNumId="37">
    <w:nsid w:val="4BDD53FD"/>
    <w:multiLevelType w:val="hybridMultilevel"/>
    <w:lvl w:ilvl="0">
      <w:lvlJc w:val="left"/>
      <w:lvlText w:val="•"/>
      <w:numFmt w:val="bullet"/>
      <w:start w:val="1"/>
    </w:lvl>
  </w:abstractNum>
  <w:abstractNum w:abstractNumId="38">
    <w:nsid w:val="569951FE"/>
    <w:multiLevelType w:val="hybridMultilevel"/>
    <w:lvl w:ilvl="0">
      <w:lvlJc w:val="left"/>
      <w:lvlText w:val="•"/>
      <w:numFmt w:val="bullet"/>
      <w:start w:val="1"/>
    </w:lvl>
  </w:abstractNum>
  <w:abstractNum w:abstractNumId="39">
    <w:nsid w:val="4C54E2C3"/>
    <w:multiLevelType w:val="hybridMultilevel"/>
    <w:lvl w:ilvl="0">
      <w:lvlJc w:val="left"/>
      <w:lvlText w:val="•"/>
      <w:numFmt w:val="bullet"/>
      <w:start w:val="1"/>
    </w:lvl>
  </w:abstractNum>
  <w:abstractNum w:abstractNumId="40">
    <w:nsid w:val="788BD9B"/>
    <w:multiLevelType w:val="hybridMultilevel"/>
    <w:lvl w:ilvl="0">
      <w:lvlJc w:val="left"/>
      <w:lvlText w:val="•"/>
      <w:numFmt w:val="bullet"/>
      <w:start w:val="1"/>
    </w:lvl>
  </w:abstractNum>
  <w:abstractNum w:abstractNumId="41">
    <w:nsid w:val="47CAA567"/>
    <w:multiLevelType w:val="hybridMultilevel"/>
    <w:lvl w:ilvl="0">
      <w:lvlJc w:val="left"/>
      <w:lvlText w:val="•"/>
      <w:numFmt w:val="bullet"/>
      <w:start w:val="1"/>
    </w:lvl>
  </w:abstractNum>
  <w:abstractNum w:abstractNumId="42">
    <w:nsid w:val="48249DBF"/>
    <w:multiLevelType w:val="hybridMultilevel"/>
    <w:lvl w:ilvl="0">
      <w:lvlJc w:val="left"/>
      <w:lvlText w:val="•"/>
      <w:numFmt w:val="bullet"/>
      <w:start w:val="1"/>
    </w:lvl>
  </w:abstractNum>
  <w:abstractNum w:abstractNumId="43">
    <w:nsid w:val="1F0E5D0D"/>
    <w:multiLevelType w:val="hybridMultilevel"/>
    <w:lvl w:ilvl="0">
      <w:lvlJc w:val="left"/>
      <w:lvlText w:val="•"/>
      <w:numFmt w:val="bullet"/>
      <w:start w:val="1"/>
    </w:lvl>
  </w:abstractNum>
  <w:abstractNum w:abstractNumId="44">
    <w:nsid w:val="26BAAE9"/>
    <w:multiLevelType w:val="hybridMultilevel"/>
    <w:lvl w:ilvl="0">
      <w:lvlJc w:val="left"/>
      <w:lvlText w:val="•"/>
      <w:numFmt w:val="bullet"/>
      <w:start w:val="1"/>
    </w:lvl>
  </w:abstractNum>
  <w:abstractNum w:abstractNumId="45">
    <w:nsid w:val="2C02FE8C"/>
    <w:multiLevelType w:val="hybridMultilevel"/>
    <w:lvl w:ilvl="0">
      <w:lvlJc w:val="left"/>
      <w:lvlText w:val="•"/>
      <w:numFmt w:val="bullet"/>
      <w:start w:val="1"/>
    </w:lvl>
  </w:abstractNum>
  <w:abstractNum w:abstractNumId="46">
    <w:nsid w:val="129517E"/>
    <w:multiLevelType w:val="hybridMultilevel"/>
    <w:lvl w:ilvl="0">
      <w:lvlJc w:val="left"/>
      <w:lvlText w:val="•"/>
      <w:numFmt w:val="bullet"/>
      <w:start w:val="1"/>
    </w:lvl>
  </w:abstractNum>
  <w:abstractNum w:abstractNumId="47">
    <w:nsid w:val="763B8C4E"/>
    <w:multiLevelType w:val="hybridMultilevel"/>
    <w:lvl w:ilvl="0">
      <w:lvlJc w:val="left"/>
      <w:lvlText w:val="•"/>
      <w:numFmt w:val="bullet"/>
      <w:start w:val="1"/>
    </w:lvl>
  </w:abstractNum>
  <w:abstractNum w:abstractNumId="48">
    <w:nsid w:val="4CFB8D32"/>
    <w:multiLevelType w:val="hybridMultilevel"/>
    <w:lvl w:ilvl="0">
      <w:lvlJc w:val="left"/>
      <w:lvlText w:val="•"/>
      <w:numFmt w:val="bullet"/>
      <w:start w:val="1"/>
    </w:lvl>
  </w:abstractNum>
  <w:abstractNum w:abstractNumId="49">
    <w:nsid w:val="62A5D5BD"/>
    <w:multiLevelType w:val="hybridMultilevel"/>
    <w:lvl w:ilvl="0">
      <w:lvlJc w:val="left"/>
      <w:lvlText w:val="(%1)"/>
      <w:numFmt w:val="lowerLetter"/>
      <w:start w:val="25"/>
    </w:lvl>
  </w:abstractNum>
  <w:abstractNum w:abstractNumId="50">
    <w:nsid w:val="718FABF9"/>
    <w:multiLevelType w:val="hybridMultilevel"/>
    <w:lvl w:ilvl="0">
      <w:lvlJc w:val="left"/>
      <w:lvlText w:val="%1."/>
      <w:numFmt w:val="upperLetter"/>
      <w:start w:val="1"/>
    </w:lvl>
  </w:abstractNum>
  <w:abstractNum w:abstractNumId="51">
    <w:nsid w:val="7775797C"/>
    <w:multiLevelType w:val="hybridMultilevel"/>
    <w:lvl w:ilvl="0">
      <w:lvlJc w:val="left"/>
      <w:lvlText w:val="%1)"/>
      <w:numFmt w:val="upperLetter"/>
      <w:start w:val="35"/>
    </w:lvl>
  </w:abstractNum>
  <w:abstractNum w:abstractNumId="52">
    <w:nsid w:val="1626FB8C"/>
    <w:multiLevelType w:val="hybridMultilevel"/>
    <w:lvl w:ilvl="0">
      <w:lvlJc w:val="left"/>
      <w:lvlText w:val="•"/>
      <w:numFmt w:val="bullet"/>
      <w:start w:val="1"/>
    </w:lvl>
  </w:abstractNum>
  <w:abstractNum w:abstractNumId="53">
    <w:nsid w:val="3957756A"/>
    <w:multiLevelType w:val="hybridMultilevel"/>
    <w:lvl w:ilvl="0">
      <w:lvlJc w:val="left"/>
      <w:lvlText w:val="•"/>
      <w:numFmt w:val="bullet"/>
      <w:start w:val="1"/>
    </w:lvl>
  </w:abstractNum>
  <w:abstractNum w:abstractNumId="54">
    <w:nsid w:val="3E6DA1C7"/>
    <w:multiLevelType w:val="hybridMultilevel"/>
    <w:lvl w:ilvl="0">
      <w:lvlJc w:val="left"/>
      <w:lvlText w:val="%1."/>
      <w:numFmt w:val="upperLetter"/>
      <w:start w:val="2"/>
    </w:lvl>
  </w:abstractNum>
  <w:abstractNum w:abstractNumId="55">
    <w:nsid w:val="65CA235B"/>
    <w:multiLevelType w:val="hybridMultilevel"/>
    <w:lvl w:ilvl="0">
      <w:lvlJc w:val="left"/>
      <w:lvlText w:val="•"/>
      <w:numFmt w:val="bullet"/>
      <w:start w:val="1"/>
    </w:lvl>
  </w:abstractNum>
  <w:abstractNum w:abstractNumId="56">
    <w:nsid w:val="51CB0DA4"/>
    <w:multiLevelType w:val="hybridMultilevel"/>
    <w:lvl w:ilvl="0">
      <w:lvlJc w:val="left"/>
      <w:lvlText w:val="•"/>
      <w:numFmt w:val="bullet"/>
      <w:start w:val="1"/>
    </w:lvl>
  </w:abstractNum>
  <w:abstractNum w:abstractNumId="57">
    <w:nsid w:val="7B9B743C"/>
    <w:multiLevelType w:val="hybridMultilevel"/>
    <w:lvl w:ilvl="0">
      <w:lvlJc w:val="left"/>
      <w:lvlText w:val="•"/>
      <w:numFmt w:val="bullet"/>
      <w:start w:val="1"/>
    </w:lvl>
  </w:abstractNum>
  <w:abstractNum w:abstractNumId="58">
    <w:nsid w:val="13E21002"/>
    <w:multiLevelType w:val="hybridMultilevel"/>
    <w:lvl w:ilvl="0">
      <w:lvlJc w:val="left"/>
      <w:lvlText w:val="•"/>
      <w:numFmt w:val="bullet"/>
      <w:start w:val="1"/>
    </w:lvl>
  </w:abstractNum>
  <w:abstractNum w:abstractNumId="59">
    <w:nsid w:val="257D63F4"/>
    <w:multiLevelType w:val="hybridMultilevel"/>
    <w:lvl w:ilvl="0">
      <w:lvlJc w:val="left"/>
      <w:lvlText w:val="•"/>
      <w:numFmt w:val="bullet"/>
      <w:start w:val="1"/>
    </w:lvl>
  </w:abstractNum>
  <w:abstractNum w:abstractNumId="60">
    <w:nsid w:val="70EC11B2"/>
    <w:multiLevelType w:val="hybridMultilevel"/>
    <w:lvl w:ilvl="0">
      <w:lvlJc w:val="left"/>
      <w:lvlText w:val="•"/>
      <w:numFmt w:val="bullet"/>
      <w:start w:val="1"/>
    </w:lvl>
  </w:abstractNum>
  <w:abstractNum w:abstractNumId="61">
    <w:nsid w:val="2EDA00ED"/>
    <w:multiLevelType w:val="hybridMultilevel"/>
    <w:lvl w:ilvl="0">
      <w:lvlJc w:val="left"/>
      <w:lvlText w:val="•"/>
      <w:numFmt w:val="bullet"/>
      <w:start w:val="1"/>
    </w:lvl>
  </w:abstractNum>
  <w:abstractNum w:abstractNumId="62">
    <w:nsid w:val="73209072"/>
    <w:multiLevelType w:val="hybridMultilevel"/>
    <w:lvl w:ilvl="0">
      <w:lvlJc w:val="left"/>
      <w:lvlText w:val="1"/>
      <w:numFmt w:val="bullet"/>
      <w:start w:val="1"/>
    </w:lvl>
  </w:abstractNum>
  <w:abstractNum w:abstractNumId="63">
    <w:nsid w:val="5FB29816"/>
    <w:multiLevelType w:val="hybridMultilevel"/>
    <w:lvl w:ilvl="0">
      <w:lvlJc w:val="left"/>
      <w:lvlText w:val="2"/>
      <w:numFmt w:val="bullet"/>
      <w:start w:val="1"/>
    </w:lvl>
  </w:abstractNum>
  <w:abstractNum w:abstractNumId="64">
    <w:nsid w:val="3CE732EC"/>
    <w:multiLevelType w:val="hybridMultilevel"/>
    <w:lvl w:ilvl="0">
      <w:lvlJc w:val="left"/>
      <w:lvlText w:val="3"/>
      <w:numFmt w:val="bullet"/>
      <w:start w:val="1"/>
    </w:lvl>
  </w:abstractNum>
  <w:abstractNum w:abstractNumId="65">
    <w:nsid w:val="22F13DF3"/>
    <w:multiLevelType w:val="hybridMultilevel"/>
    <w:lvl w:ilvl="0">
      <w:lvlJc w:val="left"/>
      <w:lvlText w:val="9"/>
      <w:numFmt w:val="bullet"/>
      <w:start w:val="1"/>
    </w:lvl>
  </w:abstractNum>
  <w:abstractNum w:abstractNumId="66">
    <w:nsid w:val="792B8401"/>
    <w:multiLevelType w:val="hybridMultilevel"/>
    <w:lvl w:ilvl="0">
      <w:lvlJc w:val="left"/>
      <w:lvlText w:val="%1"/>
      <w:numFmt w:val="decimal"/>
      <w:start w:val="10"/>
    </w:lvl>
  </w:abstractNum>
  <w:abstractNum w:abstractNumId="67">
    <w:nsid w:val="FA85F4D"/>
    <w:multiLevelType w:val="hybridMultilevel"/>
    <w:lvl w:ilvl="0">
      <w:lvlJc w:val="left"/>
      <w:lvlText w:val="*"/>
      <w:numFmt w:val="bullet"/>
      <w:start w:val="1"/>
    </w:lvl>
  </w:abstractNum>
  <w:abstractNum w:abstractNumId="68">
    <w:nsid w:val="6ECE91F0"/>
    <w:multiLevelType w:val="hybridMultilevel"/>
    <w:lvl w:ilvl="0">
      <w:lvlJc w:val="left"/>
      <w:lvlText w:val="•"/>
      <w:numFmt w:val="bullet"/>
      <w:start w:val="1"/>
    </w:lvl>
  </w:abstractNum>
  <w:abstractNum w:abstractNumId="69">
    <w:nsid w:val="4FC4D600"/>
    <w:multiLevelType w:val="hybridMultilevel"/>
    <w:lvl w:ilvl="0">
      <w:lvlJc w:val="left"/>
      <w:lvlText w:val="*"/>
      <w:numFmt w:val="bullet"/>
      <w:start w:val="1"/>
    </w:lvl>
  </w:abstractNum>
  <w:abstractNum w:abstractNumId="70">
    <w:nsid w:val="5BFD4210"/>
    <w:multiLevelType w:val="hybridMultilevel"/>
    <w:lvl w:ilvl="0">
      <w:lvlJc w:val="left"/>
      <w:lvlText w:val="%1."/>
      <w:numFmt w:val="upperLetter"/>
      <w:start w:val="3"/>
    </w:lvl>
  </w:abstractNum>
  <w:abstractNum w:abstractNumId="71">
    <w:nsid w:val="76574F8B"/>
    <w:multiLevelType w:val="hybridMultilevel"/>
    <w:lvl w:ilvl="0">
      <w:lvlJc w:val="left"/>
      <w:lvlText w:val="%1."/>
      <w:numFmt w:val="upperLetter"/>
      <w:start w:val="4"/>
    </w:lvl>
  </w:abstractNum>
  <w:abstractNum w:abstractNumId="72">
    <w:nsid w:val="178F7B67"/>
    <w:multiLevelType w:val="hybridMultilevel"/>
    <w:lvl w:ilvl="0">
      <w:lvlJc w:val="left"/>
      <w:lvlText w:val="%1."/>
      <w:numFmt w:val="upperLetter"/>
      <w:start w:val="1"/>
    </w:lvl>
  </w:abstractNum>
  <w:abstractNum w:abstractNumId="73">
    <w:nsid w:val="2421DFCF"/>
    <w:multiLevelType w:val="hybridMultilevel"/>
    <w:lvl w:ilvl="0">
      <w:lvlJc w:val="left"/>
      <w:lvlText w:val="•"/>
      <w:numFmt w:val="bullet"/>
      <w:start w:val="1"/>
    </w:lvl>
  </w:abstractNum>
  <w:abstractNum w:abstractNumId="74">
    <w:nsid w:val="1565AC99"/>
    <w:multiLevelType w:val="hybridMultilevel"/>
    <w:lvl w:ilvl="0">
      <w:lvlJc w:val="left"/>
      <w:lvlText w:val="•"/>
      <w:numFmt w:val="bullet"/>
      <w:start w:val="1"/>
    </w:lvl>
  </w:abstractNum>
  <w:abstractNum w:abstractNumId="75">
    <w:nsid w:val="19FB2650"/>
    <w:multiLevelType w:val="hybridMultilevel"/>
    <w:lvl w:ilvl="0">
      <w:lvlJc w:val="left"/>
      <w:lvlText w:val="•"/>
      <w:numFmt w:val="bullet"/>
      <w:start w:val="1"/>
    </w:lvl>
  </w:abstractNum>
  <w:abstractNum w:abstractNumId="76">
    <w:nsid w:val="5024DE5B"/>
    <w:multiLevelType w:val="hybridMultilevel"/>
    <w:lvl w:ilvl="0">
      <w:lvlJc w:val="left"/>
      <w:lvlText w:val="•"/>
      <w:numFmt w:val="bullet"/>
      <w:start w:val="1"/>
    </w:lvl>
  </w:abstractNum>
  <w:abstractNum w:abstractNumId="77">
    <w:nsid w:val="168EFE17"/>
    <w:multiLevelType w:val="hybridMultilevel"/>
    <w:lvl w:ilvl="0">
      <w:lvlJc w:val="left"/>
      <w:lvlText w:val="%1."/>
      <w:numFmt w:val="upperLetter"/>
      <w:start w:val="2"/>
    </w:lvl>
  </w:abstractNum>
  <w:abstractNum w:abstractNumId="78">
    <w:nsid w:val="1036B29F"/>
    <w:multiLevelType w:val="hybridMultilevel"/>
    <w:lvl w:ilvl="0">
      <w:lvlJc w:val="left"/>
      <w:lvlText w:val="(%1)"/>
      <w:numFmt w:val="lowerRoman"/>
      <w:start w:val="2"/>
    </w:lvl>
  </w:abstractNum>
  <w:abstractNum w:abstractNumId="79">
    <w:nsid w:val="1D206B8E"/>
    <w:multiLevelType w:val="hybridMultilevel"/>
    <w:lvl w:ilvl="0">
      <w:lvlJc w:val="left"/>
      <w:lvlText w:val="(%1)"/>
      <w:numFmt w:val="lowerRoman"/>
      <w:start w:val="2"/>
    </w:lvl>
  </w:abstractNum>
  <w:abstractNum w:abstractNumId="80">
    <w:nsid w:val="7934D3D4"/>
    <w:multiLevelType w:val="hybridMultilevel"/>
    <w:lvl w:ilvl="0">
      <w:lvlJc w:val="left"/>
      <w:lvlText w:val="%1."/>
      <w:numFmt w:val="upperLetter"/>
      <w:start w:val="5"/>
    </w:lvl>
  </w:abstractNum>
  <w:abstractNum w:abstractNumId="81">
    <w:nsid w:val="1C65E98"/>
    <w:multiLevelType w:val="hybridMultilevel"/>
    <w:lvl w:ilvl="0">
      <w:lvlJc w:val="left"/>
      <w:lvlText w:val="%1."/>
      <w:numFmt w:val="upperLetter"/>
      <w:start w:val="6"/>
    </w:lvl>
  </w:abstractNum>
  <w:abstractNum w:abstractNumId="82">
    <w:nsid w:val="1495E50A"/>
    <w:multiLevelType w:val="hybridMultilevel"/>
    <w:lvl w:ilvl="0">
      <w:lvlJc w:val="left"/>
      <w:lvlText w:val="(%1)"/>
      <w:numFmt w:val="decimal"/>
      <w:start w:val="1"/>
    </w:lvl>
  </w:abstractNum>
  <w:abstractNum w:abstractNumId="83">
    <w:nsid w:val="F5BCF61"/>
    <w:multiLevelType w:val="hybridMultilevel"/>
    <w:lvl w:ilvl="0">
      <w:lvlJc w:val="left"/>
      <w:lvlText w:val="•"/>
      <w:numFmt w:val="bullet"/>
      <w:start w:val="1"/>
    </w:lvl>
  </w:abstractNum>
  <w:abstractNum w:abstractNumId="84">
    <w:nsid w:val="3B1DD403"/>
    <w:multiLevelType w:val="hybridMultilevel"/>
    <w:lvl w:ilvl="0">
      <w:lvlJc w:val="left"/>
      <w:lvlText w:val="•"/>
      <w:numFmt w:val="bullet"/>
      <w:start w:val="1"/>
    </w:lvl>
    <w:lvl w:ilvl="1">
      <w:lvlJc w:val="left"/>
      <w:lvlText w:val="•"/>
      <w:numFmt w:val="bullet"/>
      <w:start w:val="1"/>
    </w:lvl>
  </w:abstractNum>
  <w:abstractNum w:abstractNumId="85">
    <w:nsid w:val="530386D1"/>
    <w:multiLevelType w:val="hybridMultilevel"/>
    <w:lvl w:ilvl="0">
      <w:lvlJc w:val="left"/>
      <w:lvlText w:val="%1."/>
      <w:numFmt w:val="upperLetter"/>
      <w:start w:val="1"/>
    </w:lvl>
  </w:abstractNum>
  <w:abstractNum w:abstractNumId="86">
    <w:nsid w:val="7525F2BC"/>
    <w:multiLevelType w:val="hybridMultilevel"/>
    <w:lvl w:ilvl="0">
      <w:lvlJc w:val="left"/>
      <w:lvlText w:val="(%1)"/>
      <w:numFmt w:val="decimal"/>
      <w:start w:val="1"/>
    </w:lvl>
  </w:abstractNum>
  <w:abstractNum w:abstractNumId="87">
    <w:nsid w:val="CE8E1A7"/>
    <w:multiLevelType w:val="hybridMultilevel"/>
    <w:lvl w:ilvl="0">
      <w:lvlJc w:val="left"/>
      <w:lvlText w:val="(%1)"/>
      <w:numFmt w:val="decimal"/>
      <w:start w:val="3"/>
    </w:lvl>
  </w:abstractNum>
  <w:abstractNum w:abstractNumId="88">
    <w:nsid w:val="4E9EFB0D"/>
    <w:multiLevelType w:val="hybridMultilevel"/>
    <w:lvl w:ilvl="0">
      <w:lvlJc w:val="left"/>
      <w:lvlText w:val="%1."/>
      <w:numFmt w:val="upperLetter"/>
      <w:start w:val="2"/>
    </w:lvl>
  </w:abstractNum>
  <w:abstractNum w:abstractNumId="89">
    <w:nsid w:val="90802BE"/>
    <w:multiLevelType w:val="hybridMultilevel"/>
    <w:lvl w:ilvl="0">
      <w:lvlJc w:val="left"/>
      <w:lvlText w:val="%1."/>
      <w:numFmt w:val="upperLetter"/>
      <w:start w:val="3"/>
    </w:lvl>
  </w:abstractNum>
  <w:abstractNum w:abstractNumId="90">
    <w:nsid w:val="3266459B"/>
    <w:multiLevelType w:val="hybridMultilevel"/>
    <w:lvl w:ilvl="0">
      <w:lvlJc w:val="left"/>
      <w:lvlText w:val="%1."/>
      <w:numFmt w:val="upperLetter"/>
      <w:start w:val="4"/>
    </w:lvl>
  </w:abstractNum>
  <w:abstractNum w:abstractNumId="91">
    <w:nsid w:val="3F8B0CBF"/>
    <w:multiLevelType w:val="hybridMultilevel"/>
    <w:lvl w:ilvl="0">
      <w:lvlJc w:val="left"/>
      <w:lvlText w:val="%1."/>
      <w:numFmt w:val="upperLetter"/>
      <w:start w:val="5"/>
    </w:lvl>
  </w:abstractNum>
  <w:abstractNum w:abstractNumId="92">
    <w:nsid w:val="37E203AB"/>
    <w:multiLevelType w:val="hybridMultilevel"/>
    <w:lvl w:ilvl="0">
      <w:lvlJc w:val="left"/>
      <w:lvlText w:val="•"/>
      <w:numFmt w:val="bullet"/>
      <w:start w:val="1"/>
    </w:lvl>
  </w:abstractNum>
  <w:abstractNum w:abstractNumId="93">
    <w:nsid w:val="2586D60E"/>
    <w:multiLevelType w:val="hybridMultilevel"/>
    <w:lvl w:ilvl="0">
      <w:lvlJc w:val="left"/>
      <w:lvlText w:val="%1."/>
      <w:numFmt w:val="upperLetter"/>
      <w:start w:val="1"/>
    </w:lvl>
  </w:abstractNum>
  <w:abstractNum w:abstractNumId="94">
    <w:nsid w:val="1F3DA4D5"/>
    <w:multiLevelType w:val="hybridMultilevel"/>
    <w:lvl w:ilvl="0">
      <w:lvlJc w:val="left"/>
      <w:lvlText w:val="(%1)"/>
      <w:numFmt w:val="decimal"/>
      <w:start w:val="1"/>
    </w:lvl>
  </w:abstractNum>
  <w:abstractNum w:abstractNumId="95">
    <w:nsid w:val="74C93698"/>
    <w:multiLevelType w:val="hybridMultilevel"/>
    <w:lvl w:ilvl="0">
      <w:lvlJc w:val="left"/>
      <w:lvlText w:val="%1."/>
      <w:numFmt w:val="upperLetter"/>
      <w:start w:val="2"/>
    </w:lvl>
  </w:abstractNum>
  <w:abstractNum w:abstractNumId="96">
    <w:nsid w:val="48781401"/>
    <w:multiLevelType w:val="hybridMultilevel"/>
    <w:lvl w:ilvl="0">
      <w:lvlJc w:val="left"/>
      <w:lvlText w:val="%1."/>
      <w:numFmt w:val="decimal"/>
      <w:start w:val="1"/>
    </w:lvl>
  </w:abstractNum>
  <w:abstractNum w:abstractNumId="97">
    <w:nsid w:val="186928D6"/>
    <w:multiLevelType w:val="hybridMultilevel"/>
    <w:lvl w:ilvl="0">
      <w:lvlJc w:val="left"/>
      <w:lvlText w:val="%1."/>
      <w:numFmt w:val="decimal"/>
      <w:start w:val="2"/>
    </w:lvl>
  </w:abstractNum>
  <w:abstractNum w:abstractNumId="98">
    <w:nsid w:val="47195E5"/>
    <w:multiLevelType w:val="hybridMultilevel"/>
    <w:lvl w:ilvl="0">
      <w:lvlJc w:val="left"/>
      <w:lvlText w:val="%1."/>
      <w:numFmt w:val="decimal"/>
      <w:start w:val="1"/>
    </w:lvl>
  </w:abstractNum>
  <w:abstractNum w:abstractNumId="99">
    <w:nsid w:val="3746A5F2"/>
    <w:multiLevelType w:val="hybridMultilevel"/>
    <w:lvl w:ilvl="0">
      <w:lvlJc w:val="left"/>
      <w:lvlText w:val="%1."/>
      <w:numFmt w:val="decimal"/>
      <w:start w:val="4"/>
    </w:lvl>
  </w:abstractNum>
  <w:abstractNum w:abstractNumId="100">
    <w:nsid w:val="682DFED6"/>
    <w:multiLevelType w:val="hybridMultilevel"/>
    <w:lvl w:ilvl="0">
      <w:lvlJc w:val="left"/>
      <w:lvlText w:val="%1."/>
      <w:numFmt w:val="decimal"/>
      <w:start w:val="1"/>
    </w:lvl>
  </w:abstractNum>
  <w:abstractNum w:abstractNumId="101">
    <w:nsid w:val="606ED7F6"/>
    <w:multiLevelType w:val="hybridMultilevel"/>
    <w:lvl w:ilvl="0">
      <w:lvlJc w:val="left"/>
      <w:lvlText w:val="•"/>
      <w:numFmt w:val="bullet"/>
      <w:start w:val="1"/>
    </w:lvl>
  </w:abstractNum>
  <w:abstractNum w:abstractNumId="102">
    <w:nsid w:val="2D9DF57D"/>
    <w:multiLevelType w:val="hybridMultilevel"/>
    <w:lvl w:ilvl="0">
      <w:lvlJc w:val="left"/>
      <w:lvlText w:val="•"/>
      <w:numFmt w:val="bullet"/>
      <w:start w:val="1"/>
    </w:lvl>
  </w:abstractNum>
  <w:abstractNum w:abstractNumId="103">
    <w:nsid w:val="7FBD7A3E"/>
    <w:multiLevelType w:val="hybridMultilevel"/>
    <w:lvl w:ilvl="0">
      <w:lvlJc w:val="left"/>
      <w:lvlText w:val="•"/>
      <w:numFmt w:val="bullet"/>
      <w:start w:val="1"/>
    </w:lvl>
  </w:abstractNum>
  <w:abstractNum w:abstractNumId="104">
    <w:nsid w:val="490B7C5"/>
    <w:multiLevelType w:val="hybridMultilevel"/>
    <w:lvl w:ilvl="0">
      <w:lvlJc w:val="left"/>
      <w:lvlText w:val="•"/>
      <w:numFmt w:val="bullet"/>
      <w:start w:val="1"/>
    </w:lvl>
  </w:abstractNum>
  <w:abstractNum w:abstractNumId="105">
    <w:nsid w:val="4303A216"/>
    <w:multiLevelType w:val="hybridMultilevel"/>
    <w:lvl w:ilvl="0">
      <w:lvlJc w:val="left"/>
      <w:lvlText w:val="%1."/>
      <w:numFmt w:val="upperLetter"/>
      <w:start w:val="3"/>
    </w:lvl>
  </w:abstractNum>
  <w:abstractNum w:abstractNumId="106">
    <w:nsid w:val="19B8A08E"/>
    <w:multiLevelType w:val="hybridMultilevel"/>
    <w:lvl w:ilvl="0">
      <w:lvlJc w:val="left"/>
      <w:lvlText w:val="%1."/>
      <w:numFmt w:val="upperLetter"/>
      <w:start w:val="1"/>
    </w:lvl>
  </w:abstractNum>
  <w:abstractNum w:abstractNumId="107">
    <w:nsid w:val="54B59621"/>
    <w:multiLevelType w:val="hybridMultilevel"/>
    <w:lvl w:ilvl="0">
      <w:lvlJc w:val="left"/>
      <w:lvlText w:val="•"/>
      <w:numFmt w:val="bullet"/>
      <w:start w:val="1"/>
    </w:lvl>
  </w:abstractNum>
  <w:abstractNum w:abstractNumId="108">
    <w:nsid w:val="5992A02E"/>
    <w:multiLevelType w:val="hybridMultilevel"/>
    <w:lvl w:ilvl="0">
      <w:lvlJc w:val="left"/>
      <w:lvlText w:val="•"/>
      <w:numFmt w:val="bullet"/>
      <w:start w:val="1"/>
    </w:lvl>
  </w:abstractNum>
  <w:abstractNum w:abstractNumId="109">
    <w:nsid w:val="29EF532D"/>
    <w:multiLevelType w:val="hybridMultilevel"/>
    <w:lvl w:ilvl="0">
      <w:lvlJc w:val="left"/>
      <w:lvlText w:val="•"/>
      <w:numFmt w:val="bullet"/>
      <w:start w:val="1"/>
    </w:lvl>
  </w:abstractNum>
  <w:abstractNum w:abstractNumId="110">
    <w:nsid w:val="71D601AF"/>
    <w:multiLevelType w:val="hybridMultilevel"/>
    <w:lvl w:ilvl="0">
      <w:lvlJc w:val="left"/>
      <w:lvlText w:val="•"/>
      <w:numFmt w:val="bullet"/>
      <w:start w:val="1"/>
    </w:lvl>
  </w:abstractNum>
  <w:abstractNum w:abstractNumId="111">
    <w:nsid w:val="52C77402"/>
    <w:multiLevelType w:val="hybridMultilevel"/>
    <w:lvl w:ilvl="0">
      <w:lvlJc w:val="left"/>
      <w:lvlText w:val="•"/>
      <w:numFmt w:val="bullet"/>
      <w:start w:val="1"/>
    </w:lvl>
  </w:abstractNum>
  <w:abstractNum w:abstractNumId="112">
    <w:nsid w:val="2BB5B1C6"/>
    <w:multiLevelType w:val="hybridMultilevel"/>
    <w:lvl w:ilvl="0">
      <w:lvlJc w:val="left"/>
      <w:lvlText w:val="•"/>
      <w:numFmt w:val="bullet"/>
      <w:start w:val="1"/>
    </w:lvl>
    <w:lvl w:ilvl="1">
      <w:lvlJc w:val="left"/>
      <w:lvlText w:val="(%2)"/>
      <w:numFmt w:val="decimal"/>
      <w:start w:val="2"/>
    </w:lvl>
  </w:abstractNum>
  <w:abstractNum w:abstractNumId="113">
    <w:nsid w:val="66BE6B9"/>
    <w:multiLevelType w:val="hybridMultilevel"/>
    <w:lvl w:ilvl="0">
      <w:lvlJc w:val="left"/>
      <w:lvlText w:val="•"/>
      <w:numFmt w:val="bullet"/>
      <w:start w:val="1"/>
    </w:lvl>
  </w:abstractNum>
  <w:abstractNum w:abstractNumId="114">
    <w:nsid w:val="62234363"/>
    <w:multiLevelType w:val="hybridMultilevel"/>
    <w:lvl w:ilvl="0">
      <w:lvlJc w:val="left"/>
      <w:lvlText w:val="•"/>
      <w:numFmt w:val="bullet"/>
      <w:start w:val="1"/>
    </w:lvl>
  </w:abstractNum>
  <w:abstractNum w:abstractNumId="115">
    <w:nsid w:val="66D385C9"/>
    <w:multiLevelType w:val="hybridMultilevel"/>
    <w:lvl w:ilvl="0">
      <w:lvlJc w:val="left"/>
      <w:lvlText w:val="•"/>
      <w:numFmt w:val="bullet"/>
      <w:start w:val="1"/>
    </w:lvl>
  </w:abstractNum>
  <w:abstractNum w:abstractNumId="116">
    <w:nsid w:val="596F6D8A"/>
    <w:multiLevelType w:val="hybridMultilevel"/>
    <w:lvl w:ilvl="0">
      <w:lvlJc w:val="left"/>
      <w:lvlText w:val="•"/>
      <w:numFmt w:val="bullet"/>
      <w:start w:val="1"/>
    </w:lvl>
  </w:abstractNum>
  <w:abstractNum w:abstractNumId="117">
    <w:nsid w:val="5749361F"/>
    <w:multiLevelType w:val="hybridMultilevel"/>
    <w:lvl w:ilvl="0">
      <w:lvlJc w:val="left"/>
      <w:lvlText w:val="(%1)"/>
      <w:numFmt w:val="decimal"/>
      <w:start w:val="1"/>
    </w:lvl>
  </w:abstractNum>
  <w:abstractNum w:abstractNumId="118">
    <w:nsid w:val="73BC6770"/>
    <w:multiLevelType w:val="hybridMultilevel"/>
    <w:lvl w:ilvl="0">
      <w:lvlJc w:val="left"/>
      <w:lvlText w:val="•"/>
      <w:numFmt w:val="bullet"/>
      <w:start w:val="1"/>
    </w:lvl>
  </w:abstractNum>
  <w:abstractNum w:abstractNumId="119">
    <w:nsid w:val="280E6897"/>
    <w:multiLevelType w:val="hybridMultilevel"/>
    <w:lvl w:ilvl="0">
      <w:lvlJc w:val="left"/>
      <w:lvlText w:val="•"/>
      <w:numFmt w:val="bullet"/>
      <w:start w:val="1"/>
    </w:lvl>
  </w:abstractNum>
  <w:abstractNum w:abstractNumId="120">
    <w:nsid w:val="605138DE"/>
    <w:multiLevelType w:val="hybridMultilevel"/>
    <w:lvl w:ilvl="0">
      <w:lvlJc w:val="left"/>
      <w:lvlText w:val="•"/>
      <w:numFmt w:val="bullet"/>
      <w:start w:val="1"/>
    </w:lvl>
  </w:abstractNum>
  <w:abstractNum w:abstractNumId="121">
    <w:nsid w:val="2622AD0C"/>
    <w:multiLevelType w:val="hybridMultilevel"/>
    <w:lvl w:ilvl="0">
      <w:lvlJc w:val="left"/>
      <w:lvlText w:val="•"/>
      <w:numFmt w:val="bullet"/>
      <w:start w:val="1"/>
    </w:lvl>
  </w:abstractNum>
  <w:abstractNum w:abstractNumId="122">
    <w:nsid w:val="67997556"/>
    <w:multiLevelType w:val="hybridMultilevel"/>
    <w:lvl w:ilvl="0">
      <w:lvlJc w:val="left"/>
      <w:lvlText w:val="•"/>
      <w:numFmt w:val="bullet"/>
      <w:start w:val="1"/>
    </w:lvl>
  </w:abstractNum>
  <w:abstractNum w:abstractNumId="123">
    <w:nsid w:val="18333C89"/>
    <w:multiLevelType w:val="hybridMultilevel"/>
    <w:lvl w:ilvl="0">
      <w:lvlJc w:val="left"/>
      <w:lvlText w:val="•"/>
      <w:numFmt w:val="bullet"/>
      <w:start w:val="1"/>
    </w:lvl>
  </w:abstractNum>
  <w:abstractNum w:abstractNumId="124">
    <w:nsid w:val="4BA9831A"/>
    <w:multiLevelType w:val="hybridMultilevel"/>
    <w:lvl w:ilvl="0">
      <w:lvlJc w:val="left"/>
      <w:lvlText w:val="%1."/>
      <w:numFmt w:val="upperLetter"/>
      <w:start w:val="2"/>
    </w:lvl>
  </w:abstractNum>
  <w:abstractNum w:abstractNumId="125">
    <w:nsid w:val="6D71A2B"/>
    <w:multiLevelType w:val="hybridMultilevel"/>
    <w:lvl w:ilvl="0">
      <w:lvlJc w:val="left"/>
      <w:lvlText w:val="%1."/>
      <w:numFmt w:val="upperLetter"/>
      <w:start w:val="1"/>
    </w:lvl>
  </w:abstractNum>
  <w:abstractNum w:abstractNumId="126">
    <w:nsid w:val="CFC7321"/>
    <w:multiLevelType w:val="hybridMultilevel"/>
    <w:lvl w:ilvl="0">
      <w:lvlJc w:val="left"/>
      <w:lvlText w:val="%1."/>
      <w:numFmt w:val="upperLetter"/>
      <w:start w:val="2"/>
    </w:lvl>
  </w:abstractNum>
  <w:abstractNum w:abstractNumId="127">
    <w:nsid w:val="1421971B"/>
    <w:multiLevelType w:val="hybridMultilevel"/>
    <w:lvl w:ilvl="0">
      <w:lvlJc w:val="left"/>
      <w:lvlText w:val="•"/>
      <w:numFmt w:val="bullet"/>
      <w:start w:val="1"/>
    </w:lvl>
  </w:abstractNum>
  <w:abstractNum w:abstractNumId="128">
    <w:nsid w:val="1F404301"/>
    <w:multiLevelType w:val="hybridMultilevel"/>
    <w:lvl w:ilvl="0">
      <w:lvlJc w:val="left"/>
      <w:lvlText w:val="•"/>
      <w:numFmt w:val="bullet"/>
      <w:start w:val="1"/>
    </w:lvl>
  </w:abstractNum>
  <w:abstractNum w:abstractNumId="129">
    <w:nsid w:val="116E0907"/>
    <w:multiLevelType w:val="hybridMultilevel"/>
    <w:lvl w:ilvl="0">
      <w:lvlJc w:val="left"/>
      <w:lvlText w:val="•"/>
      <w:numFmt w:val="bullet"/>
      <w:start w:val="1"/>
    </w:lvl>
  </w:abstractNum>
  <w:abstractNum w:abstractNumId="130">
    <w:nsid w:val="4B683D0D"/>
    <w:multiLevelType w:val="hybridMultilevel"/>
    <w:lvl w:ilvl="0">
      <w:lvlJc w:val="left"/>
      <w:lvlText w:val="•"/>
      <w:numFmt w:val="bullet"/>
      <w:start w:val="1"/>
    </w:lvl>
  </w:abstractNum>
  <w:abstractNum w:abstractNumId="131">
    <w:nsid w:val="76E41D8"/>
    <w:multiLevelType w:val="hybridMultilevel"/>
    <w:lvl w:ilvl="0">
      <w:lvlJc w:val="left"/>
      <w:lvlText w:val="•"/>
      <w:numFmt w:val="bullet"/>
      <w:start w:val="1"/>
    </w:lvl>
  </w:abstractNum>
  <w:abstractNum w:abstractNumId="132">
    <w:nsid w:val="71DCE0FD"/>
    <w:multiLevelType w:val="hybridMultilevel"/>
    <w:lvl w:ilvl="0">
      <w:lvlJc w:val="left"/>
      <w:lvlText w:val="•"/>
      <w:numFmt w:val="bullet"/>
      <w:start w:val="1"/>
    </w:lvl>
  </w:abstractNum>
  <w:abstractNum w:abstractNumId="133">
    <w:nsid w:val="7906328B"/>
    <w:multiLevelType w:val="hybridMultilevel"/>
    <w:lvl w:ilvl="0">
      <w:lvlJc w:val="left"/>
      <w:lvlText w:val="•"/>
      <w:numFmt w:val="bullet"/>
      <w:start w:val="1"/>
    </w:lvl>
  </w:abstractNum>
  <w:abstractNum w:abstractNumId="134">
    <w:nsid w:val="72BBC16"/>
    <w:multiLevelType w:val="hybridMultilevel"/>
    <w:lvl w:ilvl="0">
      <w:lvlJc w:val="left"/>
      <w:lvlText w:val="•"/>
      <w:numFmt w:val="bullet"/>
      <w:start w:val="1"/>
    </w:lvl>
  </w:abstractNum>
  <w:abstractNum w:abstractNumId="135">
    <w:nsid w:val="766D98C2"/>
    <w:multiLevelType w:val="hybridMultilevel"/>
    <w:lvl w:ilvl="0">
      <w:lvlJc w:val="left"/>
      <w:lvlText w:val="•"/>
      <w:numFmt w:val="bullet"/>
      <w:start w:val="1"/>
    </w:lvl>
  </w:abstractNum>
  <w:abstractNum w:abstractNumId="136">
    <w:nsid w:val="3C09D4A1"/>
    <w:multiLevelType w:val="hybridMultilevel"/>
    <w:lvl w:ilvl="0">
      <w:lvlJc w:val="left"/>
      <w:lvlText w:val="•"/>
      <w:numFmt w:val="bullet"/>
      <w:start w:val="1"/>
    </w:lvl>
  </w:abstractNum>
  <w:abstractNum w:abstractNumId="137">
    <w:nsid w:val="20E45CA4"/>
    <w:multiLevelType w:val="hybridMultilevel"/>
    <w:lvl w:ilvl="0">
      <w:lvlJc w:val="left"/>
      <w:lvlText w:val="•"/>
      <w:numFmt w:val="bullet"/>
      <w:start w:val="1"/>
    </w:lvl>
  </w:abstractNum>
  <w:abstractNum w:abstractNumId="138">
    <w:nsid w:val="4B232EE3"/>
    <w:multiLevelType w:val="hybridMultilevel"/>
    <w:lvl w:ilvl="0">
      <w:lvlJc w:val="left"/>
      <w:lvlText w:val="•"/>
      <w:numFmt w:val="bullet"/>
      <w:start w:val="1"/>
    </w:lvl>
  </w:abstractNum>
  <w:abstractNum w:abstractNumId="139">
    <w:nsid w:val="159C74CF"/>
    <w:multiLevelType w:val="hybridMultilevel"/>
    <w:lvl w:ilvl="0">
      <w:lvlJc w:val="left"/>
      <w:lvlText w:val="•"/>
      <w:numFmt w:val="bullet"/>
      <w:start w:val="1"/>
    </w:lvl>
  </w:abstractNum>
  <w:abstractNum w:abstractNumId="140">
    <w:nsid w:val="4AD3AFD2"/>
    <w:multiLevelType w:val="hybridMultilevel"/>
    <w:lvl w:ilvl="0">
      <w:lvlJc w:val="left"/>
      <w:lvlText w:val="•"/>
      <w:numFmt w:val="bullet"/>
      <w:start w:val="1"/>
    </w:lvl>
  </w:abstractNum>
  <w:abstractNum w:abstractNumId="141">
    <w:nsid w:val="3CF93092"/>
    <w:multiLevelType w:val="hybridMultilevel"/>
    <w:lvl w:ilvl="0">
      <w:lvlJc w:val="left"/>
      <w:lvlText w:val="%1."/>
      <w:numFmt w:val="upperLetter"/>
      <w:start w:val="3"/>
    </w:lvl>
  </w:abstractNum>
  <w:abstractNum w:abstractNumId="142">
    <w:nsid w:val="6863E8D2"/>
    <w:multiLevelType w:val="hybridMultilevel"/>
    <w:lvl w:ilvl="0">
      <w:lvlJc w:val="left"/>
      <w:lvlText w:val="•"/>
      <w:numFmt w:val="bullet"/>
      <w:start w:val="1"/>
    </w:lvl>
  </w:abstractNum>
  <w:abstractNum w:abstractNumId="143">
    <w:nsid w:val="76896198"/>
    <w:multiLevelType w:val="hybridMultilevel"/>
    <w:lvl w:ilvl="0">
      <w:lvlJc w:val="left"/>
      <w:lvlText w:val="•"/>
      <w:numFmt w:val="bullet"/>
      <w:start w:val="1"/>
    </w:lvl>
  </w:abstractNum>
  <w:abstractNum w:abstractNumId="144">
    <w:nsid w:val="4365174B"/>
    <w:multiLevelType w:val="hybridMultilevel"/>
    <w:lvl w:ilvl="0">
      <w:lvlJc w:val="left"/>
      <w:lvlText w:val="%1."/>
      <w:numFmt w:val="upperLetter"/>
      <w:start w:val="4"/>
    </w:lvl>
  </w:abstractNum>
  <w:abstractNum w:abstractNumId="145">
    <w:nsid w:val="4A872C35"/>
    <w:multiLevelType w:val="hybridMultilevel"/>
    <w:lvl w:ilvl="0">
      <w:lvlJc w:val="left"/>
      <w:lvlText w:val="%1."/>
      <w:numFmt w:val="upperLetter"/>
      <w:start w:val="5"/>
    </w:lvl>
  </w:abstractNum>
  <w:abstractNum w:abstractNumId="146">
    <w:nsid w:val="5D5CE761"/>
    <w:multiLevelType w:val="hybridMultilevel"/>
    <w:lvl w:ilvl="0">
      <w:lvlJc w:val="left"/>
      <w:lvlText w:val="•"/>
      <w:numFmt w:val="bullet"/>
      <w:start w:val="1"/>
    </w:lvl>
  </w:abstractNum>
  <w:abstractNum w:abstractNumId="147">
    <w:nsid w:val="1CD484D5"/>
    <w:multiLevelType w:val="hybridMultilevel"/>
    <w:lvl w:ilvl="0">
      <w:lvlJc w:val="left"/>
      <w:lvlText w:val="•"/>
      <w:numFmt w:val="bullet"/>
      <w:start w:val="1"/>
    </w:lvl>
  </w:abstractNum>
  <w:abstractNum w:abstractNumId="148">
    <w:nsid w:val="21D06255"/>
    <w:multiLevelType w:val="hybridMultilevel"/>
    <w:lvl w:ilvl="0">
      <w:lvlJc w:val="left"/>
      <w:lvlText w:val="•"/>
      <w:numFmt w:val="bullet"/>
      <w:start w:val="1"/>
    </w:lvl>
  </w:abstractNum>
  <w:abstractNum w:abstractNumId="149">
    <w:nsid w:val="51194ED1"/>
    <w:multiLevelType w:val="hybridMultilevel"/>
    <w:lvl w:ilvl="0">
      <w:lvlJc w:val="left"/>
      <w:lvlText w:val="•"/>
      <w:numFmt w:val="bullet"/>
      <w:start w:val="1"/>
    </w:lvl>
  </w:abstractNum>
  <w:abstractNum w:abstractNumId="150">
    <w:nsid w:val="44E2ED6C"/>
    <w:multiLevelType w:val="hybridMultilevel"/>
    <w:lvl w:ilvl="0">
      <w:lvlJc w:val="left"/>
      <w:lvlText w:val="%1."/>
      <w:numFmt w:val="upperLetter"/>
      <w:start w:val="6"/>
    </w:lvl>
  </w:abstractNum>
  <w:abstractNum w:abstractNumId="151">
    <w:nsid w:val="2219B33"/>
    <w:multiLevelType w:val="hybridMultilevel"/>
    <w:lvl w:ilvl="0">
      <w:lvlJc w:val="left"/>
      <w:lvlText w:val="%1."/>
      <w:numFmt w:val="upperLetter"/>
      <w:start w:val="7"/>
    </w:lvl>
  </w:abstractNum>
  <w:abstractNum w:abstractNumId="152">
    <w:nsid w:val="773BFBDD"/>
    <w:multiLevelType w:val="hybridMultilevel"/>
    <w:lvl w:ilvl="0">
      <w:lvlJc w:val="left"/>
      <w:lvlText w:val="%1."/>
      <w:numFmt w:val="upperLetter"/>
      <w:start w:val="8"/>
    </w:lvl>
  </w:abstractNum>
  <w:abstractNum w:abstractNumId="153">
    <w:nsid w:val="2C7C62C2"/>
    <w:multiLevelType w:val="hybridMultilevel"/>
    <w:lvl w:ilvl="0">
      <w:lvlJc w:val="left"/>
      <w:lvlText w:val="%1."/>
      <w:numFmt w:val="upperLetter"/>
      <w:start w:val="9"/>
    </w:lvl>
  </w:abstractNum>
  <w:abstractNum w:abstractNumId="154">
    <w:nsid w:val="1A54D7BC"/>
    <w:multiLevelType w:val="hybridMultilevel"/>
    <w:lvl w:ilvl="0">
      <w:lvlJc w:val="left"/>
      <w:lvlText w:val="%1."/>
      <w:numFmt w:val="upperLetter"/>
      <w:start w:val="1"/>
    </w:lvl>
  </w:abstractNum>
  <w:abstractNum w:abstractNumId="155">
    <w:nsid w:val="42E57EF7"/>
    <w:multiLevelType w:val="hybridMultilevel"/>
    <w:lvl w:ilvl="0">
      <w:lvlJc w:val="left"/>
      <w:lvlText w:val="%1."/>
      <w:numFmt w:val="upperLetter"/>
      <w:start w:val="2"/>
    </w:lvl>
  </w:abstractNum>
  <w:abstractNum w:abstractNumId="156">
    <w:nsid w:val="33537CED"/>
    <w:multiLevelType w:val="hybridMultilevel"/>
    <w:lvl w:ilvl="0">
      <w:lvlJc w:val="left"/>
      <w:lvlText w:val="%1."/>
      <w:numFmt w:val="upperLetter"/>
      <w:start w:val="3"/>
    </w:lvl>
  </w:abstractNum>
  <w:abstractNum w:abstractNumId="157">
    <w:nsid w:val="27514ADE"/>
    <w:multiLevelType w:val="hybridMultilevel"/>
    <w:lvl w:ilvl="0">
      <w:lvlJc w:val="left"/>
      <w:lvlText w:val="%1."/>
      <w:numFmt w:val="upperLetter"/>
      <w:start w:val="4"/>
    </w:lvl>
  </w:abstractNum>
  <w:abstractNum w:abstractNumId="158">
    <w:nsid w:val="57071613"/>
    <w:multiLevelType w:val="hybridMultilevel"/>
    <w:lvl w:ilvl="0">
      <w:lvlJc w:val="left"/>
      <w:lvlText w:val="(%1)"/>
      <w:numFmt w:val="decimal"/>
      <w:start w:val="1"/>
    </w:lvl>
  </w:abstractNum>
  <w:abstractNum w:abstractNumId="159">
    <w:nsid w:val="5293BFEF"/>
    <w:multiLevelType w:val="hybridMultilevel"/>
    <w:lvl w:ilvl="0">
      <w:lvlJc w:val="left"/>
      <w:lvlText w:val="(%1)"/>
      <w:numFmt w:val="decimal"/>
      <w:start w:val="1"/>
    </w:lvl>
  </w:abstractNum>
  <w:abstractNum w:abstractNumId="160">
    <w:nsid w:val="38BF53E5"/>
    <w:multiLevelType w:val="hybridMultilevel"/>
    <w:lvl w:ilvl="0">
      <w:lvlJc w:val="left"/>
      <w:lvlText w:val="(%1)"/>
      <w:numFmt w:val="decimal"/>
      <w:start w:val="13"/>
    </w:lvl>
  </w:abstractNum>
  <w:abstractNum w:abstractNumId="161">
    <w:nsid w:val="226F5320"/>
    <w:multiLevelType w:val="hybridMultilevel"/>
    <w:lvl w:ilvl="0">
      <w:lvlJc w:val="left"/>
      <w:lvlText w:val="*"/>
      <w:numFmt w:val="bullet"/>
      <w:start w:val="1"/>
    </w:lvl>
  </w:abstractNum>
  <w:abstractNum w:abstractNumId="162">
    <w:nsid w:val="5A0201C7"/>
    <w:multiLevelType w:val="hybridMultilevel"/>
    <w:lvl w:ilvl="0">
      <w:lvlJc w:val="left"/>
      <w:lvlText w:val="(%1)"/>
      <w:numFmt w:val="decimal"/>
      <w:start w:val="1"/>
    </w:lvl>
  </w:abstractNum>
  <w:abstractNum w:abstractNumId="163">
    <w:nsid w:val="2A9C34E2"/>
    <w:multiLevelType w:val="hybridMultilevel"/>
    <w:lvl w:ilvl="0">
      <w:lvlJc w:val="left"/>
      <w:lvlText w:val="(%1)"/>
      <w:numFmt w:val="lowerLetter"/>
      <w:start w:val="1"/>
    </w:lvl>
    <w:lvl w:ilvl="1">
      <w:lvlJc w:val="left"/>
      <w:lvlText w:val="•"/>
      <w:numFmt w:val="bullet"/>
      <w:start w:val="1"/>
    </w:lvl>
  </w:abstractNum>
  <w:abstractNum w:abstractNumId="164">
    <w:nsid w:val="1B7585AB"/>
    <w:multiLevelType w:val="hybridMultilevel"/>
    <w:lvl w:ilvl="0">
      <w:lvlJc w:val="left"/>
      <w:lvlText w:val="(%1)"/>
      <w:numFmt w:val="lowerLetter"/>
      <w:start w:val="4"/>
    </w:lvl>
  </w:abstractNum>
  <w:abstractNum w:abstractNumId="165">
    <w:nsid w:val="612DBDDD"/>
    <w:multiLevelType w:val="hybridMultilevel"/>
    <w:lvl w:ilvl="0">
      <w:lvlJc w:val="left"/>
      <w:lvlText w:val="(%1)"/>
      <w:numFmt w:val="lowerLetter"/>
      <w:start w:val="12"/>
    </w:lvl>
  </w:abstractNum>
  <w:abstractNum w:abstractNumId="166">
    <w:nsid w:val="2109CDA4"/>
    <w:multiLevelType w:val="hybridMultilevel"/>
    <w:lvl w:ilvl="0">
      <w:lvlJc w:val="left"/>
      <w:lvlText w:val="(%1)"/>
      <w:numFmt w:val="lowerLetter"/>
      <w:start w:val="16"/>
    </w:lvl>
  </w:abstractNum>
  <w:abstractNum w:abstractNumId="167">
    <w:nsid w:val="577F5A4D"/>
    <w:multiLevelType w:val="hybridMultilevel"/>
    <w:lvl w:ilvl="0">
      <w:lvlJc w:val="left"/>
      <w:lvlText w:val="•"/>
      <w:numFmt w:val="bullet"/>
      <w:start w:val="1"/>
    </w:lvl>
  </w:abstractNum>
  <w:abstractNum w:abstractNumId="168">
    <w:nsid w:val="2121A81"/>
    <w:multiLevelType w:val="hybridMultilevel"/>
    <w:lvl w:ilvl="0">
      <w:lvlJc w:val="left"/>
      <w:lvlText w:val="•"/>
      <w:numFmt w:val="bullet"/>
      <w:start w:val="1"/>
    </w:lvl>
  </w:abstractNum>
  <w:abstractNum w:abstractNumId="169">
    <w:nsid w:val="6C2CFC88"/>
    <w:multiLevelType w:val="hybridMultilevel"/>
    <w:lvl w:ilvl="0">
      <w:lvlJc w:val="left"/>
      <w:lvlText w:val="•"/>
      <w:numFmt w:val="bullet"/>
      <w:start w:val="1"/>
    </w:lvl>
  </w:abstractNum>
  <w:abstractNum w:abstractNumId="170">
    <w:nsid w:val="6D1BCF1C"/>
    <w:multiLevelType w:val="hybridMultilevel"/>
    <w:lvl w:ilvl="0">
      <w:lvlJc w:val="left"/>
      <w:lvlText w:val="•"/>
      <w:numFmt w:val="bullet"/>
      <w:start w:val="1"/>
    </w:lvl>
  </w:abstractNum>
  <w:abstractNum w:abstractNumId="171">
    <w:nsid w:val="4CE5CA53"/>
    <w:multiLevelType w:val="hybridMultilevel"/>
    <w:lvl w:ilvl="0">
      <w:lvlJc w:val="left"/>
      <w:lvlText w:val="•"/>
      <w:numFmt w:val="bullet"/>
      <w:start w:val="1"/>
    </w:lvl>
  </w:abstractNum>
  <w:abstractNum w:abstractNumId="172">
    <w:nsid w:val="29262D1A"/>
    <w:multiLevelType w:val="hybridMultilevel"/>
    <w:lvl w:ilvl="0">
      <w:lvlJc w:val="left"/>
      <w:lvlText w:val="•"/>
      <w:numFmt w:val="bullet"/>
      <w:start w:val="1"/>
    </w:lvl>
  </w:abstractNum>
  <w:abstractNum w:abstractNumId="173">
    <w:nsid w:val="557FB7EE"/>
    <w:multiLevelType w:val="hybridMultilevel"/>
    <w:lvl w:ilvl="0">
      <w:lvlJc w:val="left"/>
      <w:lvlText w:val="%1."/>
      <w:numFmt w:val="decimal"/>
      <w:start w:val="1"/>
    </w:lvl>
    <w:lvl w:ilvl="1">
      <w:lvlJc w:val="left"/>
      <w:lvlText w:val="(%2)"/>
      <w:numFmt w:val="lowerLetter"/>
      <w:start w:val="1"/>
    </w:lvl>
  </w:abstractNum>
  <w:abstractNum w:abstractNumId="174">
    <w:nsid w:val="436F2BEB"/>
    <w:multiLevelType w:val="hybridMultilevel"/>
    <w:lvl w:ilvl="0">
      <w:lvlJc w:val="left"/>
      <w:lvlText w:val="(%1)"/>
      <w:numFmt w:val="lowerLetter"/>
      <w:start w:val="1"/>
    </w:lvl>
  </w:abstractNum>
  <w:abstractNum w:abstractNumId="175">
    <w:nsid w:val="6C8B4466"/>
    <w:multiLevelType w:val="hybridMultilevel"/>
    <w:lvl w:ilvl="0">
      <w:lvlJc w:val="left"/>
      <w:lvlText w:val="(%1)"/>
      <w:numFmt w:val="lowerLetter"/>
      <w:start w:val="3"/>
    </w:lvl>
  </w:abstractNum>
  <w:abstractNum w:abstractNumId="176">
    <w:nsid w:val="2006E424"/>
    <w:multiLevelType w:val="hybridMultilevel"/>
    <w:lvl w:ilvl="0">
      <w:lvlJc w:val="left"/>
      <w:lvlText w:val="(%1)"/>
      <w:numFmt w:val="lowerLetter"/>
      <w:start w:val="4"/>
    </w:lvl>
  </w:abstractNum>
  <w:abstractNum w:abstractNumId="177">
    <w:nsid w:val="20CC134C"/>
    <w:multiLevelType w:val="hybridMultilevel"/>
    <w:lvl w:ilvl="0">
      <w:lvlJc w:val="left"/>
      <w:lvlText w:val="(%1)"/>
      <w:numFmt w:val="lowerLetter"/>
      <w:start w:val="1"/>
    </w:lvl>
  </w:abstractNum>
  <w:abstractNum w:abstractNumId="178">
    <w:nsid w:val="95FC93B"/>
    <w:multiLevelType w:val="hybridMultilevel"/>
    <w:lvl w:ilvl="0">
      <w:lvlJc w:val="left"/>
      <w:lvlText w:val="(%1)"/>
      <w:numFmt w:val="lowerLetter"/>
      <w:start w:val="2"/>
    </w:lvl>
  </w:abstractNum>
  <w:abstractNum w:abstractNumId="179">
    <w:nsid w:val="41D74679"/>
    <w:multiLevelType w:val="hybridMultilevel"/>
    <w:lvl w:ilvl="0">
      <w:lvlJc w:val="left"/>
      <w:lvlText w:val="(%1)"/>
      <w:numFmt w:val="lowerLetter"/>
      <w:start w:val="2"/>
    </w:lvl>
  </w:abstractNum>
  <w:abstractNum w:abstractNumId="180">
    <w:nsid w:val="71E5621E"/>
    <w:multiLevelType w:val="hybridMultilevel"/>
    <w:lvl w:ilvl="0">
      <w:lvlJc w:val="left"/>
      <w:lvlText w:val="•"/>
      <w:numFmt w:val="bullet"/>
      <w:start w:val="1"/>
    </w:lvl>
  </w:abstractNum>
  <w:abstractNum w:abstractNumId="181">
    <w:nsid w:val="4E42B6A8"/>
    <w:multiLevelType w:val="hybridMultilevel"/>
    <w:lvl w:ilvl="0">
      <w:lvlJc w:val="left"/>
      <w:lvlText w:val="•"/>
      <w:numFmt w:val="bullet"/>
      <w:start w:val="1"/>
    </w:lvl>
    <w:lvl w:ilvl="1">
      <w:lvlJc w:val="left"/>
      <w:lvlText w:val="•"/>
      <w:numFmt w:val="bullet"/>
      <w:start w:val="1"/>
    </w:lvl>
  </w:abstractNum>
  <w:abstractNum w:abstractNumId="182">
    <w:nsid w:val="43F8E1AC"/>
    <w:multiLevelType w:val="hybridMultilevel"/>
    <w:lvl w:ilvl="0">
      <w:lvlJc w:val="left"/>
      <w:lvlText w:val="•"/>
      <w:numFmt w:val="bullet"/>
      <w:start w:val="1"/>
    </w:lvl>
  </w:abstractNum>
  <w:abstractNum w:abstractNumId="183">
    <w:nsid w:val="69215DFB"/>
    <w:multiLevelType w:val="hybridMultilevel"/>
    <w:lvl w:ilvl="0">
      <w:lvlJc w:val="left"/>
      <w:lvlText w:val="•"/>
      <w:numFmt w:val="bullet"/>
      <w:start w:val="1"/>
    </w:lvl>
  </w:abstractNum>
  <w:abstractNum w:abstractNumId="184">
    <w:nsid w:val="7ABF196A"/>
    <w:multiLevelType w:val="hybridMultilevel"/>
    <w:lvl w:ilvl="0">
      <w:lvlJc w:val="left"/>
      <w:lvlText w:val="(%1)"/>
      <w:numFmt w:val="lowerLetter"/>
      <w:start w:val="1"/>
    </w:lvl>
  </w:abstractNum>
  <w:abstractNum w:abstractNumId="185">
    <w:nsid w:val="5E4DB968"/>
    <w:multiLevelType w:val="hybridMultilevel"/>
    <w:lvl w:ilvl="0">
      <w:lvlJc w:val="left"/>
      <w:lvlText w:val="(%1)"/>
      <w:numFmt w:val="lowerLetter"/>
      <w:start w:val="1"/>
    </w:lvl>
  </w:abstractNum>
  <w:abstractNum w:abstractNumId="186">
    <w:nsid w:val="2C06DCF3"/>
    <w:multiLevelType w:val="hybridMultilevel"/>
    <w:lvl w:ilvl="0">
      <w:lvlJc w:val="left"/>
      <w:lvlText w:val="(%1)"/>
      <w:numFmt w:val="decimal"/>
      <w:start w:val="1"/>
    </w:lvl>
  </w:abstractNum>
  <w:abstractNum w:abstractNumId="187">
    <w:nsid w:val="2E129658"/>
    <w:multiLevelType w:val="hybridMultilevel"/>
    <w:lvl w:ilvl="0">
      <w:lvlJc w:val="left"/>
      <w:lvlText w:val="(%1)"/>
      <w:numFmt w:val="upperLetter"/>
      <w:start w:val="1"/>
    </w:lvl>
    <w:lvl w:ilvl="1">
      <w:lvlJc w:val="left"/>
      <w:lvlText w:val="(%2)"/>
      <w:numFmt w:val="lowerRoman"/>
      <w:start w:val="1"/>
    </w:lvl>
  </w:abstractNum>
  <w:abstractNum w:abstractNumId="188">
    <w:nsid w:val="59F0446"/>
    <w:multiLevelType w:val="hybridMultilevel"/>
    <w:lvl w:ilvl="0">
      <w:lvlJc w:val="left"/>
      <w:lvlText w:val="(%1)"/>
      <w:numFmt w:val="upperLetter"/>
      <w:start w:val="3"/>
    </w:lvl>
  </w:abstractNum>
  <w:abstractNum w:abstractNumId="189">
    <w:nsid w:val="30DF306"/>
    <w:multiLevelType w:val="hybridMultilevel"/>
    <w:lvl w:ilvl="0">
      <w:lvlJc w:val="left"/>
      <w:lvlText w:val="1"/>
      <w:numFmt w:val="bullet"/>
      <w:start w:val="1"/>
    </w:lvl>
  </w:abstractNum>
  <w:abstractNum w:abstractNumId="190">
    <w:nsid w:val="A65647"/>
    <w:multiLevelType w:val="hybridMultilevel"/>
    <w:lvl w:ilvl="0">
      <w:lvlJc w:val="left"/>
      <w:lvlText w:val="(%1)"/>
      <w:numFmt w:val="lowerLetter"/>
      <w:start w:val="1"/>
    </w:lvl>
    <w:lvl w:ilvl="1">
      <w:lvlJc w:val="left"/>
      <w:lvlText w:val="(%2)"/>
      <w:numFmt w:val="lowerRoman"/>
      <w:start w:val="1"/>
    </w:lvl>
  </w:abstractNum>
  <w:abstractNum w:abstractNumId="191">
    <w:nsid w:val="3E5E582B"/>
    <w:multiLevelType w:val="hybridMultilevel"/>
    <w:lvl w:ilvl="0">
      <w:lvlJc w:val="left"/>
      <w:lvlText w:val="(%1)"/>
      <w:numFmt w:val="lowerLetter"/>
      <w:start w:val="1"/>
    </w:lvl>
  </w:abstractNum>
  <w:abstractNum w:abstractNumId="192">
    <w:nsid w:val="257D4626"/>
    <w:multiLevelType w:val="hybridMultilevel"/>
    <w:lvl w:ilvl="0">
      <w:lvlJc w:val="left"/>
      <w:lvlText w:val="(%1)"/>
      <w:numFmt w:val="lowerLetter"/>
      <w:start w:val="1"/>
    </w:lvl>
  </w:abstractNum>
  <w:abstractNum w:abstractNumId="193">
    <w:nsid w:val="5AA8580E"/>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94">
    <w:nsid w:val="68FA8D0D"/>
    <w:multiLevelType w:val="hybridMultilevel"/>
    <w:lvl w:ilvl="0">
      <w:lvlJc w:val="left"/>
      <w:lvlText w:val="(%1)"/>
      <w:numFmt w:val="lowerRoman"/>
      <w:start w:val="2"/>
    </w:lvl>
  </w:abstractNum>
  <w:abstractNum w:abstractNumId="195">
    <w:nsid w:val="40F2CBD2"/>
    <w:multiLevelType w:val="hybridMultilevel"/>
    <w:lvl w:ilvl="0">
      <w:lvlJc w:val="left"/>
      <w:lvlText w:val="(%1)"/>
      <w:numFmt w:val="lowerLetter"/>
      <w:start w:val="1"/>
    </w:lvl>
  </w:abstractNum>
  <w:abstractNum w:abstractNumId="196">
    <w:nsid w:val="3BD615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7">
    <w:nsid w:val="A045AB2"/>
    <w:multiLevelType w:val="hybridMultilevel"/>
    <w:lvl w:ilvl="0">
      <w:lvlJc w:val="left"/>
      <w:lvlText w:val="(%1)"/>
      <w:numFmt w:val="lowerRoman"/>
      <w:start w:val="2"/>
    </w:lvl>
  </w:abstractNum>
  <w:abstractNum w:abstractNumId="198">
    <w:nsid w:val="1872261F"/>
    <w:multiLevelType w:val="hybridMultilevel"/>
    <w:lvl w:ilvl="0">
      <w:lvlJc w:val="left"/>
      <w:lvlText w:val="(%1)"/>
      <w:numFmt w:val="lowerLetter"/>
      <w:start w:val="1"/>
    </w:lvl>
  </w:abstractNum>
  <w:abstractNum w:abstractNumId="199">
    <w:nsid w:val="3DE8306C"/>
    <w:multiLevelType w:val="hybridMultilevel"/>
    <w:lvl w:ilvl="0">
      <w:lvlJc w:val="left"/>
      <w:lvlText w:val="(%1)"/>
      <w:numFmt w:val="lowerLetter"/>
      <w:start w:val="1"/>
    </w:lvl>
  </w:abstractNum>
  <w:abstractNum w:abstractNumId="200">
    <w:nsid w:val="7631573A"/>
    <w:multiLevelType w:val="hybridMultilevel"/>
    <w:lvl w:ilvl="0">
      <w:lvlJc w:val="left"/>
      <w:lvlText w:val="(%1)"/>
      <w:numFmt w:val="lowerLetter"/>
      <w:start w:val="1"/>
    </w:lvl>
    <w:lvl w:ilvl="1">
      <w:lvlJc w:val="left"/>
      <w:lvlText w:val="(%2)"/>
      <w:numFmt w:val="lowerRoman"/>
      <w:start w:val="1"/>
    </w:lvl>
  </w:abstractNum>
  <w:abstractNum w:abstractNumId="201">
    <w:nsid w:val="58DF53B"/>
    <w:multiLevelType w:val="hybridMultilevel"/>
    <w:lvl w:ilvl="0">
      <w:lvlJc w:val="left"/>
      <w:lvlText w:val="(%1)"/>
      <w:numFmt w:val="lowerLetter"/>
      <w:start w:val="1"/>
    </w:lvl>
  </w:abstractNum>
  <w:abstractNum w:abstractNumId="202">
    <w:nsid w:val="ACDFAC0"/>
    <w:multiLevelType w:val="hybridMultilevel"/>
    <w:lvl w:ilvl="0">
      <w:lvlJc w:val="left"/>
      <w:lvlText w:val="(%1)"/>
      <w:numFmt w:val="lowerLetter"/>
      <w:start w:val="2"/>
    </w:lvl>
  </w:abstractNum>
  <w:abstractNum w:abstractNumId="203">
    <w:nsid w:val="1F578454"/>
    <w:multiLevelType w:val="hybridMultilevel"/>
    <w:lvl w:ilvl="0">
      <w:lvlJc w:val="left"/>
      <w:lvlText w:val="(%1)"/>
      <w:numFmt w:val="lowerLetter"/>
      <w:start w:val="1"/>
    </w:lvl>
  </w:abstractNum>
  <w:abstractNum w:abstractNumId="204">
    <w:nsid w:val="5B0DAD2A"/>
    <w:multiLevelType w:val="hybridMultilevel"/>
    <w:lvl w:ilvl="0">
      <w:lvlJc w:val="left"/>
      <w:lvlText w:val="(%1)"/>
      <w:numFmt w:val="lowerLetter"/>
      <w:start w:val="1"/>
    </w:lvl>
  </w:abstractNum>
  <w:abstractNum w:abstractNumId="205">
    <w:nsid w:val="4E3D26AB"/>
    <w:multiLevelType w:val="hybridMultilevel"/>
    <w:lvl w:ilvl="0">
      <w:lvlJc w:val="left"/>
      <w:lvlText w:val="(%1)"/>
      <w:numFmt w:val="lowerLetter"/>
      <w:start w:val="1"/>
    </w:lvl>
  </w:abstractNum>
  <w:abstractNum w:abstractNumId="206">
    <w:nsid w:val="BE2C8BA"/>
    <w:multiLevelType w:val="hybridMultilevel"/>
    <w:lvl w:ilvl="0">
      <w:lvlJc w:val="left"/>
      <w:lvlText w:val="(%1)"/>
      <w:numFmt w:val="lowerLetter"/>
      <w:start w:val="1"/>
    </w:lvl>
  </w:abstractNum>
  <w:abstractNum w:abstractNumId="207">
    <w:nsid w:val="7B14914E"/>
    <w:multiLevelType w:val="hybridMultilevel"/>
    <w:lvl w:ilvl="0">
      <w:lvlJc w:val="left"/>
      <w:lvlText w:val="(%1)"/>
      <w:numFmt w:val="lowerLetter"/>
      <w:start w:val="17"/>
    </w:lvl>
  </w:abstractNum>
  <w:abstractNum w:abstractNumId="208">
    <w:nsid w:val="6F0939F8"/>
    <w:multiLevelType w:val="hybridMultilevel"/>
    <w:lvl w:ilvl="0">
      <w:lvlJc w:val="left"/>
      <w:lvlText w:val="(%1)"/>
      <w:numFmt w:val="lowerLetter"/>
      <w:start w:val="1"/>
    </w:lvl>
  </w:abstractNum>
  <w:abstractNum w:abstractNumId="209">
    <w:nsid w:val="154291F6"/>
    <w:multiLevelType w:val="hybridMultilevel"/>
    <w:lvl w:ilvl="0">
      <w:lvlJc w:val="left"/>
      <w:lvlText w:val="(%1)"/>
      <w:numFmt w:val="lowerLetter"/>
      <w:start w:val="1"/>
    </w:lvl>
  </w:abstractNum>
  <w:abstractNum w:abstractNumId="210">
    <w:nsid w:val="3CEBD7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1">
    <w:nsid w:val="60EE9C16"/>
    <w:multiLevelType w:val="hybridMultilevel"/>
    <w:lvl w:ilvl="0">
      <w:lvlJc w:val="left"/>
      <w:lvlText w:val="(%1)"/>
      <w:numFmt w:val="lowerLetter"/>
      <w:start w:val="1"/>
    </w:lvl>
    <w:lvl w:ilvl="1">
      <w:lvlJc w:val="left"/>
      <w:lvlText w:val="(%2)"/>
      <w:numFmt w:val="lowerRoman"/>
      <w:start w:val="1"/>
    </w:lvl>
  </w:abstractNum>
  <w:abstractNum w:abstractNumId="212">
    <w:nsid w:val="6385489E"/>
    <w:multiLevelType w:val="hybridMultilevel"/>
    <w:lvl w:ilvl="0">
      <w:lvlJc w:val="left"/>
      <w:lvlText w:val="%1"/>
      <w:numFmt w:val="lowerLetter"/>
      <w:start w:val="1"/>
    </w:lvl>
    <w:lvl w:ilvl="1">
      <w:lvlJc w:val="left"/>
      <w:lvlText w:val="(%2)"/>
      <w:numFmt w:val="lowerLetter"/>
      <w:start w:val="35"/>
    </w:lvl>
  </w:abstractNum>
  <w:abstractNum w:abstractNumId="213">
    <w:nsid w:val="E4B973"/>
    <w:multiLevelType w:val="hybridMultilevel"/>
    <w:lvl w:ilvl="0">
      <w:lvlJc w:val="left"/>
      <w:lvlText w:val="(%1)"/>
      <w:numFmt w:val="lowerLetter"/>
      <w:start w:val="6"/>
    </w:lvl>
    <w:lvl w:ilvl="1">
      <w:lvlJc w:val="left"/>
      <w:lvlText w:val="%2"/>
      <w:numFmt w:val="lowerLetter"/>
      <w:start w:val="1"/>
    </w:lvl>
  </w:abstractNum>
  <w:abstractNum w:abstractNumId="214">
    <w:nsid w:val="4A0FFA11"/>
    <w:multiLevelType w:val="hybridMultilevel"/>
    <w:lvl w:ilvl="0">
      <w:lvlJc w:val="left"/>
      <w:lvlText w:val="(%1)"/>
      <w:numFmt w:val="lowerLetter"/>
      <w:start w:val="1"/>
    </w:lvl>
  </w:abstractNum>
  <w:abstractNum w:abstractNumId="215">
    <w:nsid w:val="5E446208"/>
    <w:multiLevelType w:val="hybridMultilevel"/>
    <w:lvl w:ilvl="0">
      <w:lvlJc w:val="left"/>
      <w:lvlText w:val="(%1)"/>
      <w:numFmt w:val="lowerLetter"/>
      <w:start w:val="1"/>
    </w:lvl>
  </w:abstractNum>
  <w:abstractNum w:abstractNumId="216">
    <w:nsid w:val="5F3272DB"/>
    <w:multiLevelType w:val="hybridMultilevel"/>
    <w:lvl w:ilvl="0">
      <w:lvlJc w:val="left"/>
      <w:lvlText w:val="(%1)"/>
      <w:numFmt w:val="lowerLetter"/>
      <w:start w:val="1"/>
    </w:lvl>
    <w:lvl w:ilvl="1">
      <w:lvlJc w:val="left"/>
      <w:lvlText w:val="(%2)"/>
      <w:numFmt w:val="lowerRoman"/>
      <w:start w:val="1"/>
    </w:lvl>
  </w:abstractNum>
  <w:abstractNum w:abstractNumId="217">
    <w:nsid w:val="7616D704"/>
    <w:multiLevelType w:val="hybridMultilevel"/>
    <w:lvl w:ilvl="0">
      <w:lvlJc w:val="left"/>
      <w:lvlText w:val="(%1)"/>
      <w:numFmt w:val="lowerLetter"/>
      <w:start w:val="1"/>
    </w:lvl>
  </w:abstractNum>
  <w:abstractNum w:abstractNumId="218">
    <w:nsid w:val="C56F860"/>
    <w:multiLevelType w:val="hybridMultilevel"/>
    <w:lvl w:ilvl="0">
      <w:lvlJc w:val="left"/>
      <w:lvlText w:val="(%1)"/>
      <w:numFmt w:val="lowerLetter"/>
      <w:start w:val="1"/>
    </w:lvl>
  </w:abstractNum>
  <w:abstractNum w:abstractNumId="219">
    <w:nsid w:val="64D17722"/>
    <w:multiLevelType w:val="hybridMultilevel"/>
    <w:lvl w:ilvl="0">
      <w:lvlJc w:val="left"/>
      <w:lvlText w:val="(%1)"/>
      <w:numFmt w:val="lowerLetter"/>
      <w:start w:val="1"/>
    </w:lvl>
  </w:abstractNum>
  <w:abstractNum w:abstractNumId="220">
    <w:nsid w:val="7924CA0A"/>
    <w:multiLevelType w:val="hybridMultilevel"/>
    <w:lvl w:ilvl="0">
      <w:lvlJc w:val="left"/>
      <w:lvlText w:val="(%1)"/>
      <w:numFmt w:val="lowerLetter"/>
      <w:start w:val="1"/>
    </w:lvl>
  </w:abstractNum>
  <w:abstractNum w:abstractNumId="221">
    <w:nsid w:val="CFD4EA7"/>
    <w:multiLevelType w:val="hybridMultilevel"/>
    <w:lvl w:ilvl="0">
      <w:lvlJc w:val="left"/>
      <w:lvlText w:val="(%1)"/>
      <w:numFmt w:val="lowerLetter"/>
      <w:start w:val="1"/>
    </w:lvl>
  </w:abstractNum>
  <w:abstractNum w:abstractNumId="222">
    <w:nsid w:val="232FCF4D"/>
    <w:multiLevelType w:val="hybridMultilevel"/>
    <w:lvl w:ilvl="0">
      <w:lvlJc w:val="left"/>
      <w:lvlText w:val="(%1)"/>
      <w:numFmt w:val="lowerLetter"/>
      <w:start w:val="1"/>
    </w:lvl>
  </w:abstractNum>
  <w:abstractNum w:abstractNumId="223">
    <w:nsid w:val="1EA21031"/>
    <w:multiLevelType w:val="hybridMultilevel"/>
    <w:lvl w:ilvl="0">
      <w:lvlJc w:val="left"/>
      <w:lvlText w:val="(%1)"/>
      <w:numFmt w:val="lowerLetter"/>
      <w:start w:val="3"/>
    </w:lvl>
  </w:abstractNum>
  <w:abstractNum w:abstractNumId="224">
    <w:nsid w:val="67A5A6B5"/>
    <w:multiLevelType w:val="hybridMultilevel"/>
    <w:lvl w:ilvl="0">
      <w:lvlJc w:val="left"/>
      <w:lvlText w:val="(%1)"/>
      <w:numFmt w:val="lowerLetter"/>
      <w:start w:val="1"/>
    </w:lvl>
  </w:abstractNum>
  <w:abstractNum w:abstractNumId="225">
    <w:nsid w:val="C2A5C5B"/>
    <w:multiLevelType w:val="hybridMultilevel"/>
    <w:lvl w:ilvl="0">
      <w:lvlJc w:val="left"/>
      <w:lvlText w:val="(%1)"/>
      <w:numFmt w:val="lowerLetter"/>
      <w:start w:val="1"/>
    </w:lvl>
  </w:abstractNum>
  <w:abstractNum w:abstractNumId="226">
    <w:nsid w:val="5F94DC03"/>
    <w:multiLevelType w:val="hybridMultilevel"/>
    <w:lvl w:ilvl="0">
      <w:lvlJc w:val="left"/>
      <w:lvlText w:val="(%1)"/>
      <w:numFmt w:val="lowerRoman"/>
      <w:start w:val="4"/>
    </w:lvl>
  </w:abstractNum>
  <w:abstractNum w:abstractNumId="227">
    <w:nsid w:val="237BBCA0"/>
    <w:multiLevelType w:val="hybridMultilevel"/>
    <w:lvl w:ilvl="0">
      <w:lvlJc w:val="left"/>
      <w:lvlText w:val="(%1)"/>
      <w:numFmt w:val="lowerLetter"/>
      <w:start w:val="1"/>
    </w:lvl>
  </w:abstractNum>
  <w:abstractNum w:abstractNumId="228">
    <w:nsid w:val="162EB70D"/>
    <w:multiLevelType w:val="hybridMultilevel"/>
    <w:lvl w:ilvl="0">
      <w:lvlJc w:val="left"/>
      <w:lvlText w:val="(%1)"/>
      <w:numFmt w:val="lowerLetter"/>
      <w:start w:val="3"/>
    </w:lvl>
  </w:abstractNum>
  <w:abstractNum w:abstractNumId="229">
    <w:nsid w:val="78070222"/>
    <w:multiLevelType w:val="hybridMultilevel"/>
    <w:lvl w:ilvl="0">
      <w:lvlJc w:val="left"/>
      <w:lvlText w:val="(%1)"/>
      <w:numFmt w:val="lowerLetter"/>
      <w:start w:val="1"/>
    </w:lvl>
  </w:abstractNum>
  <w:abstractNum w:abstractNumId="230">
    <w:nsid w:val="6163ED0D"/>
    <w:multiLevelType w:val="hybridMultilevel"/>
    <w:lvl w:ilvl="0">
      <w:lvlJc w:val="left"/>
      <w:lvlText w:val="(%1)"/>
      <w:numFmt w:val="lowerLetter"/>
      <w:start w:val="1"/>
    </w:lvl>
  </w:abstractNum>
  <w:abstractNum w:abstractNumId="231">
    <w:nsid w:val="C600E47"/>
    <w:multiLevelType w:val="hybridMultilevel"/>
    <w:lvl w:ilvl="0">
      <w:lvlJc w:val="left"/>
      <w:lvlText w:val="(%1)"/>
      <w:numFmt w:val="lowerLetter"/>
      <w:start w:val="2"/>
    </w:lvl>
  </w:abstractNum>
  <w:abstractNum w:abstractNumId="232">
    <w:nsid w:val="7D94F75D"/>
    <w:multiLevelType w:val="hybridMultilevel"/>
    <w:lvl w:ilvl="0">
      <w:lvlJc w:val="left"/>
      <w:lvlText w:val="(%1)"/>
      <w:numFmt w:val="lowerLetter"/>
      <w:start w:val="1"/>
    </w:lvl>
  </w:abstractNum>
  <w:abstractNum w:abstractNumId="233">
    <w:nsid w:val="6C31E7CD"/>
    <w:multiLevelType w:val="hybridMultilevel"/>
    <w:lvl w:ilvl="0">
      <w:lvlJc w:val="left"/>
      <w:lvlText w:val="(%1)"/>
      <w:numFmt w:val="lowerLetter"/>
      <w:start w:val="3"/>
    </w:lvl>
  </w:abstractNum>
  <w:abstractNum w:abstractNumId="234">
    <w:nsid w:val="2BB7929B"/>
    <w:multiLevelType w:val="hybridMultilevel"/>
    <w:lvl w:ilvl="0">
      <w:lvlJc w:val="left"/>
      <w:lvlText w:val="(%1)"/>
      <w:numFmt w:val="lowerLetter"/>
      <w:start w:val="1"/>
    </w:lvl>
    <w:lvl w:ilvl="1">
      <w:lvlJc w:val="left"/>
      <w:lvlText w:val="(%2)"/>
      <w:numFmt w:val="lowerRoman"/>
      <w:start w:val="1"/>
    </w:lvl>
  </w:abstractNum>
  <w:abstractNum w:abstractNumId="235">
    <w:nsid w:val="58A2A487"/>
    <w:multiLevelType w:val="hybridMultilevel"/>
    <w:lvl w:ilvl="0">
      <w:lvlJc w:val="left"/>
      <w:lvlText w:val="(%1)"/>
      <w:numFmt w:val="lowerLetter"/>
      <w:start w:val="1"/>
    </w:lvl>
  </w:abstractNum>
  <w:abstractNum w:abstractNumId="236">
    <w:nsid w:val="3A6F0E78"/>
    <w:multiLevelType w:val="hybridMultilevel"/>
    <w:lvl w:ilvl="0">
      <w:lvlJc w:val="left"/>
      <w:lvlText w:val="(%1)"/>
      <w:numFmt w:val="lowerLetter"/>
      <w:start w:val="1"/>
    </w:lvl>
  </w:abstractNum>
  <w:abstractNum w:abstractNumId="237">
    <w:nsid w:val="379A5B56"/>
    <w:multiLevelType w:val="hybridMultilevel"/>
    <w:lvl w:ilvl="0">
      <w:lvlJc w:val="left"/>
      <w:lvlText w:val="(%1)"/>
      <w:numFmt w:val="lowerLetter"/>
      <w:start w:val="1"/>
    </w:lvl>
  </w:abstractNum>
  <w:abstractNum w:abstractNumId="238">
    <w:nsid w:val="53B735D5"/>
    <w:multiLevelType w:val="hybridMultilevel"/>
    <w:lvl w:ilvl="0">
      <w:lvlJc w:val="left"/>
      <w:lvlText w:val="(%1)"/>
      <w:numFmt w:val="lowerLetter"/>
      <w:start w:val="1"/>
    </w:lvl>
    <w:lvl w:ilvl="1">
      <w:lvlJc w:val="left"/>
      <w:lvlText w:val="(%2)"/>
      <w:numFmt w:val="lowerRoman"/>
      <w:start w:val="1"/>
    </w:lvl>
  </w:abstractNum>
  <w:abstractNum w:abstractNumId="239">
    <w:nsid w:val="29784870"/>
    <w:multiLevelType w:val="hybridMultilevel"/>
    <w:lvl w:ilvl="0">
      <w:lvlJc w:val="left"/>
      <w:lvlText w:val="2"/>
      <w:numFmt w:val="bullet"/>
      <w:start w:val="1"/>
    </w:lvl>
  </w:abstractNum>
  <w:abstractNum w:abstractNumId="240">
    <w:nsid w:val="4CDCED4C"/>
    <w:multiLevelType w:val="hybridMultilevel"/>
    <w:lvl w:ilvl="0">
      <w:lvlJc w:val="left"/>
      <w:lvlText w:val="(%1)"/>
      <w:numFmt w:val="lowerLetter"/>
      <w:start w:val="1"/>
    </w:lvl>
  </w:abstractNum>
  <w:abstractNum w:abstractNumId="241">
    <w:nsid w:val="10A30D9C"/>
    <w:multiLevelType w:val="hybridMultilevel"/>
    <w:lvl w:ilvl="0">
      <w:lvlJc w:val="left"/>
      <w:lvlText w:val="3"/>
      <w:numFmt w:val="bullet"/>
      <w:start w:val="1"/>
    </w:lvl>
  </w:abstractNum>
  <w:abstractNum w:abstractNumId="242">
    <w:nsid w:val="A66E486"/>
    <w:multiLevelType w:val="hybridMultilevel"/>
    <w:lvl w:ilvl="0">
      <w:lvlJc w:val="left"/>
      <w:lvlText w:val="(%1)"/>
      <w:numFmt w:val="lowerLetter"/>
      <w:start w:val="1"/>
    </w:lvl>
  </w:abstractNum>
  <w:abstractNum w:abstractNumId="243">
    <w:nsid w:val="306235EA"/>
    <w:multiLevelType w:val="hybridMultilevel"/>
    <w:lvl w:ilvl="0">
      <w:lvlJc w:val="left"/>
      <w:lvlText w:val="(%1)"/>
      <w:numFmt w:val="lowerLetter"/>
      <w:start w:val="2"/>
    </w:lvl>
  </w:abstractNum>
  <w:abstractNum w:abstractNumId="244">
    <w:nsid w:val="1187C70F"/>
    <w:multiLevelType w:val="hybridMultilevel"/>
    <w:lvl w:ilvl="0">
      <w:lvlJc w:val="left"/>
      <w:lvlText w:val="(%1)"/>
      <w:numFmt w:val="lowerLetter"/>
      <w:start w:val="1"/>
    </w:lvl>
  </w:abstractNum>
  <w:abstractNum w:abstractNumId="245">
    <w:nsid w:val="5476DE98"/>
    <w:multiLevelType w:val="hybridMultilevel"/>
    <w:lvl w:ilvl="0">
      <w:lvlJc w:val="left"/>
      <w:lvlText w:val="(%1)"/>
      <w:numFmt w:val="lowerLetter"/>
      <w:start w:val="1"/>
    </w:lvl>
  </w:abstractNum>
  <w:abstractNum w:abstractNumId="246">
    <w:nsid w:val="EA697F2"/>
    <w:multiLevelType w:val="hybridMultilevel"/>
    <w:lvl w:ilvl="0">
      <w:lvlJc w:val="left"/>
      <w:lvlText w:val="(%1)"/>
      <w:numFmt w:val="lowerLetter"/>
      <w:start w:val="1"/>
    </w:lvl>
  </w:abstractNum>
  <w:abstractNum w:abstractNumId="247">
    <w:nsid w:val="70BA39EB"/>
    <w:multiLevelType w:val="hybridMultilevel"/>
    <w:lvl w:ilvl="0">
      <w:lvlJc w:val="left"/>
      <w:lvlText w:val="(%1)"/>
      <w:numFmt w:val="lowerLetter"/>
      <w:start w:val="1"/>
    </w:lvl>
  </w:abstractNum>
  <w:abstractNum w:abstractNumId="248">
    <w:nsid w:val="4A8DB59C"/>
    <w:multiLevelType w:val="hybridMultilevel"/>
    <w:lvl w:ilvl="0">
      <w:lvlJc w:val="left"/>
      <w:lvlText w:val="(%1)"/>
      <w:numFmt w:val="lowerLetter"/>
      <w:start w:val="2"/>
    </w:lvl>
  </w:abstractNum>
  <w:abstractNum w:abstractNumId="249">
    <w:nsid w:val="1AFD9053"/>
    <w:multiLevelType w:val="hybridMultilevel"/>
    <w:lvl w:ilvl="0">
      <w:lvlJc w:val="left"/>
      <w:lvlText w:val="4"/>
      <w:numFmt w:val="bullet"/>
      <w:start w:val="1"/>
    </w:lvl>
  </w:abstractNum>
  <w:abstractNum w:abstractNumId="250">
    <w:nsid w:val="558BB10D"/>
    <w:multiLevelType w:val="hybridMultilevel"/>
    <w:lvl w:ilvl="0">
      <w:lvlJc w:val="left"/>
      <w:lvlText w:val="(%1)"/>
      <w:numFmt w:val="lowerLetter"/>
      <w:start w:val="1"/>
    </w:lvl>
  </w:abstractNum>
  <w:abstractNum w:abstractNumId="251">
    <w:nsid w:val="43B27FA7"/>
    <w:multiLevelType w:val="hybridMultilevel"/>
    <w:lvl w:ilvl="0">
      <w:lvlJc w:val="left"/>
      <w:lvlText w:val="(%1)"/>
      <w:numFmt w:val="lowerLetter"/>
      <w:start w:val="1"/>
    </w:lvl>
  </w:abstractNum>
  <w:abstractNum w:abstractNumId="252">
    <w:nsid w:val="27FADEFA"/>
    <w:multiLevelType w:val="hybridMultilevel"/>
    <w:lvl w:ilvl="0">
      <w:lvlJc w:val="left"/>
      <w:lvlText w:val="(%1)"/>
      <w:numFmt w:val="lowerLetter"/>
      <w:start w:val="3"/>
    </w:lvl>
  </w:abstractNum>
  <w:abstractNum w:abstractNumId="253">
    <w:nsid w:val="78BB805A"/>
    <w:multiLevelType w:val="hybridMultilevel"/>
    <w:lvl w:ilvl="0">
      <w:lvlJc w:val="left"/>
      <w:lvlText w:val="(%1)"/>
      <w:numFmt w:val="lowerLetter"/>
      <w:start w:val="1"/>
    </w:lvl>
  </w:abstractNum>
  <w:abstractNum w:abstractNumId="254">
    <w:nsid w:val="62548FD8"/>
    <w:multiLevelType w:val="hybridMultilevel"/>
    <w:lvl w:ilvl="0">
      <w:lvlJc w:val="left"/>
      <w:lvlText w:val="(%1)"/>
      <w:numFmt w:val="lowerLetter"/>
      <w:start w:val="1"/>
    </w:lvl>
    <w:lvl w:ilvl="1">
      <w:lvlJc w:val="left"/>
      <w:lvlText w:val="(%2)"/>
      <w:numFmt w:val="lowerRoman"/>
      <w:start w:val="2"/>
    </w:lvl>
  </w:abstractNum>
  <w:abstractNum w:abstractNumId="255">
    <w:nsid w:val="FA085B0"/>
    <w:multiLevelType w:val="hybridMultilevel"/>
    <w:lvl w:ilvl="0">
      <w:lvlJc w:val="left"/>
      <w:lvlText w:val="%1"/>
      <w:numFmt w:val="lowerLetter"/>
      <w:start w:val="1"/>
    </w:lvl>
    <w:lvl w:ilvl="1">
      <w:lvlJc w:val="left"/>
      <w:lvlText w:val="(%2)"/>
      <w:numFmt w:val="lowerRoman"/>
      <w:start w:val="1"/>
    </w:lvl>
  </w:abstractNum>
  <w:abstractNum w:abstractNumId="256">
    <w:nsid w:val="4E5DCB5"/>
    <w:multiLevelType w:val="hybridMultilevel"/>
    <w:lvl w:ilvl="0">
      <w:lvlJc w:val="left"/>
      <w:lvlText w:val="(%1)"/>
      <w:numFmt w:val="lowerLetter"/>
      <w:start w:val="3"/>
    </w:lvl>
    <w:lvl w:ilvl="1">
      <w:lvlJc w:val="left"/>
      <w:lvlText w:val="(%2)"/>
      <w:numFmt w:val="lowerRoman"/>
      <w:start w:val="1"/>
    </w:lvl>
  </w:abstractNum>
  <w:abstractNum w:abstractNumId="257">
    <w:nsid w:val="41E96BDB"/>
    <w:multiLevelType w:val="hybridMultilevel"/>
    <w:lvl w:ilvl="0">
      <w:lvlJc w:val="left"/>
      <w:lvlText w:val="5"/>
      <w:numFmt w:val="bullet"/>
      <w:start w:val="1"/>
    </w:lvl>
  </w:abstractNum>
  <w:abstractNum w:abstractNumId="258">
    <w:nsid w:val="331C4250"/>
    <w:multiLevelType w:val="hybridMultilevel"/>
    <w:lvl w:ilvl="0">
      <w:lvlJc w:val="left"/>
      <w:lvlText w:val="(%1)"/>
      <w:numFmt w:val="lowerLetter"/>
      <w:start w:val="1"/>
    </w:lvl>
  </w:abstractNum>
  <w:abstractNum w:abstractNumId="259">
    <w:nsid w:val="1B1493C2"/>
    <w:multiLevelType w:val="hybridMultilevel"/>
    <w:lvl w:ilvl="0">
      <w:lvlJc w:val="left"/>
      <w:lvlText w:val="(%1)"/>
      <w:numFmt w:val="lowerLetter"/>
      <w:start w:val="1"/>
    </w:lvl>
  </w:abstractNum>
  <w:abstractNum w:abstractNumId="260">
    <w:nsid w:val="39F06DFD"/>
    <w:multiLevelType w:val="hybridMultilevel"/>
    <w:lvl w:ilvl="0">
      <w:lvlJc w:val="left"/>
      <w:lvlText w:val="(%1)"/>
      <w:numFmt w:val="lowerLetter"/>
      <w:start w:val="2"/>
    </w:lvl>
  </w:abstractNum>
  <w:abstractNum w:abstractNumId="261">
    <w:nsid w:val="14802F5D"/>
    <w:multiLevelType w:val="hybridMultilevel"/>
    <w:lvl w:ilvl="0">
      <w:lvlJc w:val="left"/>
      <w:lvlText w:val="(%1)"/>
      <w:numFmt w:val="lowerLetter"/>
      <w:start w:val="1"/>
    </w:lvl>
  </w:abstractNum>
  <w:abstractNum w:abstractNumId="262">
    <w:nsid w:val="2774A209"/>
    <w:multiLevelType w:val="hybridMultilevel"/>
    <w:lvl w:ilvl="0">
      <w:lvlJc w:val="left"/>
      <w:lvlText w:val="(%1)"/>
      <w:numFmt w:val="lowerLetter"/>
      <w:start w:val="1"/>
    </w:lvl>
  </w:abstractNum>
  <w:abstractNum w:abstractNumId="263">
    <w:nsid w:val="3785655A"/>
    <w:multiLevelType w:val="hybridMultilevel"/>
    <w:lvl w:ilvl="0">
      <w:lvlJc w:val="left"/>
      <w:lvlText w:val="(%1)"/>
      <w:numFmt w:val="lowerLetter"/>
      <w:start w:val="1"/>
    </w:lvl>
  </w:abstractNum>
  <w:abstractNum w:abstractNumId="264">
    <w:nsid w:val="B2172A"/>
    <w:multiLevelType w:val="hybridMultilevel"/>
    <w:lvl w:ilvl="0">
      <w:lvlJc w:val="left"/>
      <w:lvlText w:val="6"/>
      <w:numFmt w:val="bullet"/>
      <w:start w:val="1"/>
    </w:lvl>
  </w:abstractNum>
  <w:abstractNum w:abstractNumId="265">
    <w:nsid w:val="532C34A5"/>
    <w:multiLevelType w:val="hybridMultilevel"/>
    <w:lvl w:ilvl="0">
      <w:lvlJc w:val="left"/>
      <w:lvlText w:val="(%1)"/>
      <w:numFmt w:val="lowerLetter"/>
      <w:start w:val="1"/>
    </w:lvl>
  </w:abstractNum>
  <w:abstractNum w:abstractNumId="266">
    <w:nsid w:val="102809E2"/>
    <w:multiLevelType w:val="hybridMultilevel"/>
    <w:lvl w:ilvl="0">
      <w:lvlJc w:val="left"/>
      <w:lvlText w:val="(%1)"/>
      <w:numFmt w:val="lowerLetter"/>
      <w:start w:val="2"/>
    </w:lvl>
  </w:abstractNum>
  <w:abstractNum w:abstractNumId="267">
    <w:nsid w:val="3B2125A3"/>
    <w:multiLevelType w:val="hybridMultilevel"/>
    <w:lvl w:ilvl="0">
      <w:lvlJc w:val="left"/>
      <w:lvlText w:val="7"/>
      <w:numFmt w:val="bullet"/>
      <w:start w:val="1"/>
    </w:lvl>
  </w:abstractNum>
  <w:abstractNum w:abstractNumId="268">
    <w:nsid w:val="AC68FFB"/>
    <w:multiLevelType w:val="hybridMultilevel"/>
    <w:lvl w:ilvl="0">
      <w:lvlJc w:val="left"/>
      <w:lvlText w:val="(%1)"/>
      <w:numFmt w:val="lowerLetter"/>
      <w:start w:val="1"/>
    </w:lvl>
  </w:abstractNum>
  <w:abstractNum w:abstractNumId="269">
    <w:nsid w:val="63DF3FB7"/>
    <w:multiLevelType w:val="hybridMultilevel"/>
    <w:lvl w:ilvl="0">
      <w:lvlJc w:val="left"/>
      <w:lvlText w:val="(%1)"/>
      <w:numFmt w:val="lowerLetter"/>
      <w:start w:val="1"/>
    </w:lvl>
  </w:abstractNum>
  <w:abstractNum w:abstractNumId="270">
    <w:nsid w:val="64996E13"/>
    <w:multiLevelType w:val="hybridMultilevel"/>
    <w:lvl w:ilvl="0">
      <w:lvlJc w:val="left"/>
      <w:lvlText w:val="(%1)"/>
      <w:numFmt w:val="lowerLetter"/>
      <w:start w:val="1"/>
    </w:lvl>
    <w:lvl w:ilvl="1">
      <w:lvlJc w:val="left"/>
      <w:lvlText w:val="(%2)"/>
      <w:numFmt w:val="lowerRoman"/>
      <w:start w:val="1"/>
    </w:lvl>
  </w:abstractNum>
  <w:abstractNum w:abstractNumId="271">
    <w:nsid w:val="57A37D47"/>
    <w:multiLevelType w:val="hybridMultilevel"/>
    <w:lvl w:ilvl="0">
      <w:lvlJc w:val="left"/>
      <w:lvlText w:val="8"/>
      <w:numFmt w:val="bullet"/>
      <w:start w:val="1"/>
    </w:lvl>
  </w:abstractNum>
  <w:abstractNum w:abstractNumId="272">
    <w:nsid w:val="74824D54"/>
    <w:multiLevelType w:val="hybridMultilevel"/>
    <w:lvl w:ilvl="0">
      <w:lvlJc w:val="left"/>
      <w:lvlText w:val="(%1)"/>
      <w:numFmt w:val="lowerLetter"/>
      <w:start w:val="1"/>
    </w:lvl>
    <w:lvl w:ilvl="1">
      <w:lvlJc w:val="left"/>
      <w:lvlText w:val="(%2)"/>
      <w:numFmt w:val="lowerRoman"/>
      <w:start w:val="1"/>
    </w:lvl>
  </w:abstractNum>
  <w:abstractNum w:abstractNumId="273">
    <w:nsid w:val="6F00529A"/>
    <w:multiLevelType w:val="hybridMultilevel"/>
    <w:lvl w:ilvl="0">
      <w:lvlJc w:val="left"/>
      <w:lvlText w:val="(%1)"/>
      <w:numFmt w:val="lowerLetter"/>
      <w:start w:val="2"/>
    </w:lvl>
    <w:lvl w:ilvl="1">
      <w:lvlJc w:val="left"/>
      <w:lvlText w:val="(%2)"/>
      <w:numFmt w:val="lowerRoman"/>
      <w:start w:val="1"/>
    </w:lvl>
  </w:abstractNum>
  <w:abstractNum w:abstractNumId="274">
    <w:nsid w:val="805B331"/>
    <w:multiLevelType w:val="hybridMultilevel"/>
    <w:lvl w:ilvl="0">
      <w:lvlJc w:val="left"/>
      <w:lvlText w:val="(%1)"/>
      <w:numFmt w:val="lowerLetter"/>
      <w:start w:val="1"/>
    </w:lvl>
  </w:abstractNum>
  <w:abstractNum w:abstractNumId="275">
    <w:nsid w:val="60A1463"/>
    <w:multiLevelType w:val="hybridMultilevel"/>
    <w:lvl w:ilvl="0">
      <w:lvlJc w:val="left"/>
      <w:lvlText w:val="(%1)"/>
      <w:numFmt w:val="lowerLetter"/>
      <w:start w:val="1"/>
    </w:lvl>
    <w:lvl w:ilvl="1">
      <w:lvlJc w:val="left"/>
      <w:lvlText w:val="(%2)"/>
      <w:numFmt w:val="lowerRoman"/>
      <w:start w:val="1"/>
    </w:lvl>
  </w:abstractNum>
  <w:abstractNum w:abstractNumId="276">
    <w:nsid w:val="43773132"/>
    <w:multiLevelType w:val="hybridMultilevel"/>
    <w:lvl w:ilvl="0">
      <w:lvlJc w:val="left"/>
      <w:lvlText w:val="(%1)"/>
      <w:numFmt w:val="lowerLetter"/>
      <w:start w:val="1"/>
    </w:lvl>
  </w:abstractNum>
  <w:abstractNum w:abstractNumId="277">
    <w:nsid w:val="16AC4B23"/>
    <w:multiLevelType w:val="hybridMultilevel"/>
    <w:lvl w:ilvl="0">
      <w:lvlJc w:val="left"/>
      <w:lvlText w:val="(%1)"/>
      <w:numFmt w:val="lowerLetter"/>
      <w:start w:val="2"/>
    </w:lvl>
    <w:lvl w:ilvl="1">
      <w:lvlJc w:val="left"/>
      <w:lvlText w:val="(%2)"/>
      <w:numFmt w:val="lowerRoman"/>
      <w:start w:val="1"/>
    </w:lvl>
  </w:abstractNum>
  <w:abstractNum w:abstractNumId="278">
    <w:nsid w:val="76C44E4E"/>
    <w:multiLevelType w:val="hybridMultilevel"/>
    <w:lvl w:ilvl="0">
      <w:lvlJc w:val="left"/>
      <w:lvlText w:val="(%1)"/>
      <w:numFmt w:val="lowerLetter"/>
      <w:start w:val="1"/>
    </w:lvl>
  </w:abstractNum>
  <w:abstractNum w:abstractNumId="279">
    <w:nsid w:val="E04E6CE"/>
    <w:multiLevelType w:val="hybridMultilevel"/>
    <w:lvl w:ilvl="0">
      <w:lvlJc w:val="left"/>
      <w:lvlText w:val="(%1)"/>
      <w:numFmt w:val="lowerLetter"/>
      <w:start w:val="1"/>
    </w:lvl>
  </w:abstractNum>
  <w:abstractNum w:abstractNumId="280">
    <w:nsid w:val="31A9DB76"/>
    <w:multiLevelType w:val="hybridMultilevel"/>
    <w:lvl w:ilvl="0">
      <w:lvlJc w:val="left"/>
      <w:lvlText w:val="(%1)"/>
      <w:numFmt w:val="lowerLetter"/>
      <w:start w:val="1"/>
    </w:lvl>
  </w:abstractNum>
  <w:abstractNum w:abstractNumId="281">
    <w:nsid w:val="4C4FFF5B"/>
    <w:multiLevelType w:val="hybridMultilevel"/>
    <w:lvl w:ilvl="0">
      <w:lvlJc w:val="left"/>
      <w:lvlText w:val="(%1)"/>
      <w:numFmt w:val="lowerLetter"/>
      <w:start w:val="1"/>
    </w:lvl>
    <w:lvl w:ilvl="1">
      <w:lvlJc w:val="left"/>
      <w:lvlText w:val="(%2)"/>
      <w:numFmt w:val="lowerRoman"/>
      <w:start w:val="1"/>
    </w:lvl>
  </w:abstractNum>
  <w:abstractNum w:abstractNumId="282">
    <w:nsid w:val="51B76675"/>
    <w:multiLevelType w:val="hybridMultilevel"/>
    <w:lvl w:ilvl="0">
      <w:lvlJc w:val="left"/>
      <w:lvlText w:val="(%1)"/>
      <w:numFmt w:val="lowerLetter"/>
      <w:start w:val="2"/>
    </w:lvl>
  </w:abstractNum>
  <w:abstractNum w:abstractNumId="283">
    <w:nsid w:val="59A4BA71"/>
    <w:multiLevelType w:val="hybridMultilevel"/>
    <w:lvl w:ilvl="0">
      <w:lvlJc w:val="left"/>
      <w:lvlText w:val="9"/>
      <w:numFmt w:val="bullet"/>
      <w:start w:val="1"/>
    </w:lvl>
  </w:abstractNum>
  <w:abstractNum w:abstractNumId="284">
    <w:nsid w:val="450B7FB6"/>
    <w:multiLevelType w:val="hybridMultilevel"/>
    <w:lvl w:ilvl="0">
      <w:lvlJc w:val="left"/>
      <w:lvlText w:val="(%1)"/>
      <w:numFmt w:val="lowerLetter"/>
      <w:start w:val="1"/>
    </w:lvl>
    <w:lvl w:ilvl="1">
      <w:lvlJc w:val="left"/>
      <w:lvlText w:val="(%2)"/>
      <w:numFmt w:val="lowerRoman"/>
      <w:start w:val="1"/>
    </w:lvl>
  </w:abstractNum>
  <w:abstractNum w:abstractNumId="285">
    <w:nsid w:val="340BF64D"/>
    <w:multiLevelType w:val="hybridMultilevel"/>
    <w:lvl w:ilvl="0">
      <w:lvlJc w:val="left"/>
      <w:lvlText w:val="%1"/>
      <w:numFmt w:val="lowerLetter"/>
      <w:start w:val="1"/>
    </w:lvl>
    <w:lvl w:ilvl="1">
      <w:lvlJc w:val="left"/>
      <w:lvlText w:val="(%2)"/>
      <w:numFmt w:val="lowerLetter"/>
      <w:start w:val="61"/>
    </w:lvl>
  </w:abstractNum>
  <w:abstractNum w:abstractNumId="286">
    <w:nsid w:val="69454021"/>
    <w:multiLevelType w:val="hybridMultilevel"/>
    <w:lvl w:ilvl="0">
      <w:lvlJc w:val="left"/>
      <w:lvlText w:val="(%1)"/>
      <w:numFmt w:val="lowerLetter"/>
      <w:start w:val="3"/>
    </w:lvl>
    <w:lvl w:ilvl="1">
      <w:lvlJc w:val="left"/>
      <w:lvlText w:val="(%2)"/>
      <w:numFmt w:val="lowerLetter"/>
      <w:start w:val="9"/>
    </w:lvl>
  </w:abstractNum>
  <w:abstractNum w:abstractNumId="287">
    <w:nsid w:val="49F15C6B"/>
    <w:multiLevelType w:val="hybridMultilevel"/>
    <w:lvl w:ilvl="0">
      <w:lvlJc w:val="left"/>
      <w:lvlText w:val="(%1)"/>
      <w:numFmt w:val="lowerRoman"/>
      <w:start w:val="2"/>
    </w:lvl>
  </w:abstractNum>
  <w:abstractNum w:abstractNumId="288">
    <w:nsid w:val="75F56228"/>
    <w:multiLevelType w:val="hybridMultilevel"/>
    <w:lvl w:ilvl="0">
      <w:lvlJc w:val="left"/>
      <w:lvlText w:val="%1"/>
      <w:numFmt w:val="lowerLetter"/>
      <w:start w:val="1"/>
    </w:lvl>
    <w:lvl w:ilvl="1">
      <w:lvlJc w:val="left"/>
      <w:lvlText w:val="(%2)"/>
      <w:numFmt w:val="lowerRoman"/>
      <w:start w:val="1"/>
    </w:lvl>
  </w:abstractNum>
  <w:abstractNum w:abstractNumId="289">
    <w:nsid w:val="1C618271"/>
    <w:multiLevelType w:val="hybridMultilevel"/>
    <w:lvl w:ilvl="0">
      <w:lvlJc w:val="left"/>
      <w:lvlText w:val="(%1)"/>
      <w:numFmt w:val="lowerLetter"/>
      <w:start w:val="5"/>
    </w:lvl>
    <w:lvl w:ilvl="1">
      <w:lvlJc w:val="left"/>
      <w:lvlText w:val="%2"/>
      <w:numFmt w:val="lowerRoman"/>
      <w:start w:val="1"/>
    </w:lvl>
  </w:abstractNum>
  <w:abstractNum w:abstractNumId="290">
    <w:nsid w:val="6505F02E"/>
    <w:multiLevelType w:val="hybridMultilevel"/>
    <w:lvl w:ilvl="0">
      <w:lvlJc w:val="left"/>
      <w:lvlText w:val="%1"/>
      <w:numFmt w:val="decimal"/>
      <w:start w:val="10"/>
    </w:lvl>
  </w:abstractNum>
  <w:abstractNum w:abstractNumId="291">
    <w:nsid w:val="2FE5D025"/>
    <w:multiLevelType w:val="hybridMultilevel"/>
    <w:lvl w:ilvl="0">
      <w:lvlJc w:val="left"/>
      <w:lvlText w:val="(%1)"/>
      <w:numFmt w:val="lowerLetter"/>
      <w:start w:val="1"/>
    </w:lvl>
  </w:abstractNum>
  <w:abstractNum w:abstractNumId="292">
    <w:nsid w:val="30E1B1CF"/>
    <w:multiLevelType w:val="hybridMultilevel"/>
    <w:lvl w:ilvl="0">
      <w:lvlJc w:val="left"/>
      <w:lvlText w:val="(%1)"/>
      <w:numFmt w:val="lowerLetter"/>
      <w:start w:val="1"/>
    </w:lvl>
  </w:abstractNum>
  <w:abstractNum w:abstractNumId="293">
    <w:nsid w:val="C7A9237"/>
    <w:multiLevelType w:val="hybridMultilevel"/>
    <w:lvl w:ilvl="0">
      <w:lvlJc w:val="left"/>
      <w:lvlText w:val="(%1)"/>
      <w:numFmt w:val="lowerLetter"/>
      <w:start w:val="1"/>
    </w:lvl>
  </w:abstractNum>
  <w:abstractNum w:abstractNumId="294">
    <w:nsid w:val="676B3580"/>
    <w:multiLevelType w:val="hybridMultilevel"/>
    <w:lvl w:ilvl="0">
      <w:lvlJc w:val="left"/>
      <w:lvlText w:val="(%1)"/>
      <w:numFmt w:val="lowerLetter"/>
      <w:start w:val="2"/>
    </w:lvl>
  </w:abstractNum>
  <w:abstractNum w:abstractNumId="295">
    <w:nsid w:val="3193C8F9"/>
    <w:multiLevelType w:val="hybridMultilevel"/>
    <w:lvl w:ilvl="0">
      <w:lvlJc w:val="left"/>
      <w:lvlText w:val="(%1)"/>
      <w:numFmt w:val="lowerLetter"/>
      <w:start w:val="1"/>
    </w:lvl>
  </w:abstractNum>
  <w:abstractNum w:abstractNumId="296">
    <w:nsid w:val="5FA6C6DC"/>
    <w:multiLevelType w:val="hybridMultilevel"/>
    <w:lvl w:ilvl="0">
      <w:lvlJc w:val="left"/>
      <w:lvlText w:val="(%1)"/>
      <w:numFmt w:val="lowerLetter"/>
      <w:start w:val="1"/>
    </w:lvl>
    <w:lvl w:ilvl="1">
      <w:lvlJc w:val="left"/>
      <w:lvlText w:val="(%2)"/>
      <w:numFmt w:val="lowerRoman"/>
      <w:start w:val="1"/>
    </w:lvl>
  </w:abstractNum>
  <w:abstractNum w:abstractNumId="297">
    <w:nsid w:val="77933F62"/>
    <w:multiLevelType w:val="hybridMultilevel"/>
    <w:lvl w:ilvl="0">
      <w:lvlJc w:val="left"/>
      <w:lvlText w:val="%1"/>
      <w:numFmt w:val="lowerLetter"/>
      <w:start w:val="1"/>
    </w:lvl>
    <w:lvl w:ilvl="1">
      <w:lvlJc w:val="left"/>
      <w:lvlText w:val="(%2)"/>
      <w:numFmt w:val="lowerRoman"/>
      <w:start w:val="3"/>
    </w:lvl>
  </w:abstractNum>
  <w:abstractNum w:abstractNumId="298">
    <w:nsid w:val="6CB4EE9C"/>
    <w:multiLevelType w:val="hybridMultilevel"/>
    <w:lvl w:ilvl="0">
      <w:lvlJc w:val="left"/>
      <w:lvlText w:val="(%1)"/>
      <w:numFmt w:val="lowerLetter"/>
      <w:start w:val="3"/>
    </w:lvl>
    <w:lvl w:ilvl="1">
      <w:lvlJc w:val="left"/>
      <w:lvlText w:val="%2"/>
      <w:numFmt w:val="lowerRoman"/>
      <w:start w:val="1"/>
    </w:lvl>
  </w:abstractNum>
  <w:abstractNum w:abstractNumId="299">
    <w:nsid w:val="6A6D56D7"/>
    <w:multiLevelType w:val="hybridMultilevel"/>
    <w:lvl w:ilvl="0">
      <w:lvlJc w:val="left"/>
      <w:lvlText w:val="(%1)"/>
      <w:numFmt w:val="lowerLetter"/>
      <w:start w:val="1"/>
    </w:lvl>
  </w:abstractNum>
  <w:abstractNum w:abstractNumId="300">
    <w:nsid w:val="5B727F19"/>
    <w:multiLevelType w:val="hybridMultilevel"/>
    <w:lvl w:ilvl="0">
      <w:lvlJc w:val="left"/>
      <w:lvlText w:val="%1"/>
      <w:numFmt w:val="decimal"/>
      <w:start w:val="11"/>
    </w:lvl>
  </w:abstractNum>
  <w:abstractNum w:abstractNumId="301">
    <w:nsid w:val="514E5CB0"/>
    <w:multiLevelType w:val="hybridMultilevel"/>
    <w:lvl w:ilvl="0">
      <w:lvlJc w:val="left"/>
      <w:lvlText w:val="(%1)"/>
      <w:numFmt w:val="lowerLetter"/>
      <w:start w:val="1"/>
    </w:lvl>
  </w:abstractNum>
  <w:abstractNum w:abstractNumId="302">
    <w:nsid w:val="4210D41E"/>
    <w:multiLevelType w:val="hybridMultilevel"/>
    <w:lvl w:ilvl="0">
      <w:lvlJc w:val="left"/>
      <w:lvlText w:val="(%1)"/>
      <w:numFmt w:val="lowerLetter"/>
      <w:start w:val="1"/>
    </w:lvl>
  </w:abstractNum>
  <w:abstractNum w:abstractNumId="303">
    <w:nsid w:val="4FF4CC6D"/>
    <w:multiLevelType w:val="hybridMultilevel"/>
    <w:lvl w:ilvl="0">
      <w:lvlJc w:val="left"/>
      <w:lvlText w:val="(%1)"/>
      <w:numFmt w:val="lowerLetter"/>
      <w:start w:val="3"/>
    </w:lvl>
  </w:abstractNum>
  <w:abstractNum w:abstractNumId="304">
    <w:nsid w:val="404EAF4A"/>
    <w:multiLevelType w:val="hybridMultilevel"/>
    <w:lvl w:ilvl="0">
      <w:lvlJc w:val="left"/>
      <w:lvlText w:val="(%1)"/>
      <w:numFmt w:val="lowerLetter"/>
      <w:start w:val="1"/>
    </w:lvl>
  </w:abstractNum>
  <w:abstractNum w:abstractNumId="305">
    <w:nsid w:val="4A16874F"/>
    <w:multiLevelType w:val="hybridMultilevel"/>
    <w:lvl w:ilvl="0">
      <w:lvlJc w:val="left"/>
      <w:lvlText w:val="(%1)"/>
      <w:numFmt w:val="lowerLetter"/>
      <w:start w:val="1"/>
    </w:lvl>
  </w:abstractNum>
  <w:abstractNum w:abstractNumId="306">
    <w:nsid w:val="55FEE0D1"/>
    <w:multiLevelType w:val="hybridMultilevel"/>
    <w:lvl w:ilvl="0">
      <w:lvlJc w:val="left"/>
      <w:lvlText w:val="(%1)"/>
      <w:numFmt w:val="lowerLetter"/>
      <w:start w:val="1"/>
    </w:lvl>
  </w:abstractNum>
  <w:abstractNum w:abstractNumId="307">
    <w:nsid w:val="3C5E07C"/>
    <w:multiLevelType w:val="hybridMultilevel"/>
    <w:lvl w:ilvl="0">
      <w:lvlJc w:val="left"/>
      <w:lvlText w:val="(%1)"/>
      <w:numFmt w:val="lowerLetter"/>
      <w:start w:val="1"/>
    </w:lvl>
  </w:abstractNum>
  <w:abstractNum w:abstractNumId="308">
    <w:nsid w:val="60C2D273"/>
    <w:multiLevelType w:val="hybridMultilevel"/>
    <w:lvl w:ilvl="0">
      <w:lvlJc w:val="left"/>
      <w:lvlText w:val="(%1)"/>
      <w:numFmt w:val="lowerLetter"/>
      <w:start w:val="1"/>
    </w:lvl>
  </w:abstractNum>
  <w:abstractNum w:abstractNumId="309">
    <w:nsid w:val="4CC32F1F"/>
    <w:multiLevelType w:val="hybridMultilevel"/>
    <w:lvl w:ilvl="0">
      <w:lvlJc w:val="left"/>
      <w:lvlText w:val="(%1)"/>
      <w:numFmt w:val="lowerLetter"/>
      <w:start w:val="1"/>
    </w:lvl>
  </w:abstractNum>
  <w:abstractNum w:abstractNumId="310">
    <w:nsid w:val="11CAC74A"/>
    <w:multiLevelType w:val="hybridMultilevel"/>
    <w:lvl w:ilvl="0">
      <w:lvlJc w:val="left"/>
      <w:lvlText w:val="(%1)"/>
      <w:numFmt w:val="lowerLetter"/>
      <w:start w:val="1"/>
    </w:lvl>
  </w:abstractNum>
  <w:abstractNum w:abstractNumId="311">
    <w:nsid w:val="126CADE9"/>
    <w:multiLevelType w:val="hybridMultilevel"/>
    <w:lvl w:ilvl="0">
      <w:lvlJc w:val="left"/>
      <w:lvlText w:val="(%1)"/>
      <w:numFmt w:val="lowerLetter"/>
      <w:start w:val="1"/>
    </w:lvl>
  </w:abstractNum>
  <w:abstractNum w:abstractNumId="312">
    <w:nsid w:val="19132E7B"/>
    <w:multiLevelType w:val="hybridMultilevel"/>
    <w:lvl w:ilvl="0">
      <w:lvlJc w:val="left"/>
      <w:lvlText w:val="(%1)"/>
      <w:numFmt w:val="lowerLetter"/>
      <w:start w:val="3"/>
    </w:lvl>
  </w:abstractNum>
  <w:abstractNum w:abstractNumId="313">
    <w:nsid w:val="63822DC0"/>
    <w:multiLevelType w:val="hybridMultilevel"/>
    <w:lvl w:ilvl="0">
      <w:lvlJc w:val="left"/>
      <w:lvlText w:val="%1"/>
      <w:numFmt w:val="decimal"/>
      <w:start w:val="12"/>
    </w:lvl>
  </w:abstractNum>
  <w:abstractNum w:abstractNumId="314">
    <w:nsid w:val="6C1168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5E1EAE31"/>
    <w:multiLevelType w:val="hybridMultilevel"/>
    <w:lvl w:ilvl="0">
      <w:lvlJc w:val="left"/>
      <w:lvlText w:val="(%1)"/>
      <w:numFmt w:val="lowerRoman"/>
      <w:start w:val="4"/>
    </w:lvl>
  </w:abstractNum>
  <w:abstractNum w:abstractNumId="316">
    <w:nsid w:val="178E240D"/>
    <w:multiLevelType w:val="hybridMultilevel"/>
    <w:lvl w:ilvl="0">
      <w:lvlJc w:val="left"/>
      <w:lvlText w:val="%1"/>
      <w:numFmt w:val="decimal"/>
      <w:start w:val="13"/>
    </w:lvl>
  </w:abstractNum>
  <w:abstractNum w:abstractNumId="317">
    <w:nsid w:val="5556A87B"/>
    <w:multiLevelType w:val="hybridMultilevel"/>
    <w:lvl w:ilvl="0">
      <w:lvlJc w:val="left"/>
      <w:lvlText w:val="(%1)"/>
      <w:numFmt w:val="lowerLetter"/>
      <w:start w:val="1"/>
    </w:lvl>
  </w:abstractNum>
  <w:abstractNum w:abstractNumId="318">
    <w:nsid w:val="28100A9C"/>
    <w:multiLevelType w:val="hybridMultilevel"/>
    <w:lvl w:ilvl="0">
      <w:lvlJc w:val="left"/>
      <w:lvlText w:val="(%1)"/>
      <w:numFmt w:val="lowerLetter"/>
      <w:start w:val="1"/>
    </w:lvl>
  </w:abstractNum>
  <w:abstractNum w:abstractNumId="319">
    <w:nsid w:val="D838636"/>
    <w:multiLevelType w:val="hybridMultilevel"/>
    <w:lvl w:ilvl="0">
      <w:lvlJc w:val="left"/>
      <w:lvlText w:val="(%1)"/>
      <w:numFmt w:val="lowerLetter"/>
      <w:start w:val="1"/>
    </w:lvl>
  </w:abstractNum>
  <w:abstractNum w:abstractNumId="320">
    <w:nsid w:val="71B82AED"/>
    <w:multiLevelType w:val="hybridMultilevel"/>
    <w:lvl w:ilvl="0">
      <w:lvlJc w:val="left"/>
      <w:lvlText w:val="(%1)"/>
      <w:numFmt w:val="lowerLetter"/>
      <w:start w:val="1"/>
    </w:lvl>
    <w:lvl w:ilvl="1">
      <w:lvlJc w:val="left"/>
      <w:lvlText w:val="(%2)"/>
      <w:numFmt w:val="lowerRoman"/>
      <w:start w:val="1"/>
    </w:lvl>
  </w:abstractNum>
  <w:abstractNum w:abstractNumId="321">
    <w:nsid w:val="D15FACA"/>
    <w:multiLevelType w:val="hybridMultilevel"/>
    <w:lvl w:ilvl="0">
      <w:lvlJc w:val="left"/>
      <w:lvlText w:val="(%1)"/>
      <w:numFmt w:val="lowerLetter"/>
      <w:start w:val="1"/>
    </w:lvl>
  </w:abstractNum>
  <w:abstractNum w:abstractNumId="322">
    <w:nsid w:val="3D69565B"/>
    <w:multiLevelType w:val="hybridMultilevel"/>
    <w:lvl w:ilvl="0">
      <w:lvlJc w:val="left"/>
      <w:lvlText w:val="(%1)"/>
      <w:numFmt w:val="lowerLetter"/>
      <w:start w:val="1"/>
    </w:lvl>
  </w:abstractNum>
  <w:abstractNum w:abstractNumId="323">
    <w:nsid w:val="2299DCBC"/>
    <w:multiLevelType w:val="hybridMultilevel"/>
    <w:lvl w:ilvl="0">
      <w:lvlJc w:val="left"/>
      <w:lvlText w:val="(%1)"/>
      <w:numFmt w:val="lowerLetter"/>
      <w:start w:val="4"/>
    </w:lvl>
  </w:abstractNum>
  <w:abstractNum w:abstractNumId="324">
    <w:nsid w:val="19908D02"/>
    <w:multiLevelType w:val="hybridMultilevel"/>
    <w:lvl w:ilvl="0">
      <w:lvlJc w:val="left"/>
      <w:lvlText w:val="(%1)"/>
      <w:numFmt w:val="lowerLetter"/>
      <w:start w:val="1"/>
    </w:lvl>
  </w:abstractNum>
  <w:abstractNum w:abstractNumId="325">
    <w:nsid w:val="24D48BDB"/>
    <w:multiLevelType w:val="hybridMultilevel"/>
    <w:lvl w:ilvl="0">
      <w:lvlJc w:val="left"/>
      <w:lvlText w:val="(%1)"/>
      <w:numFmt w:val="lowerLetter"/>
      <w:start w:val="1"/>
    </w:lvl>
    <w:lvl w:ilvl="1">
      <w:lvlJc w:val="left"/>
      <w:lvlText w:val="(%2)"/>
      <w:numFmt w:val="lowerRoman"/>
      <w:start w:val="1"/>
    </w:lvl>
  </w:abstractNum>
  <w:abstractNum w:abstractNumId="326">
    <w:nsid w:val="542DA5B5"/>
    <w:multiLevelType w:val="hybridMultilevel"/>
    <w:lvl w:ilvl="0">
      <w:lvlJc w:val="left"/>
      <w:lvlText w:val="(%1)"/>
      <w:numFmt w:val="lowerLetter"/>
      <w:start w:val="1"/>
    </w:lvl>
    <w:lvl w:ilvl="1">
      <w:lvlJc w:val="left"/>
      <w:lvlText w:val="(%2)"/>
      <w:numFmt w:val="lowerRoman"/>
      <w:start w:val="1"/>
    </w:lvl>
  </w:abstractNum>
  <w:abstractNum w:abstractNumId="327">
    <w:nsid w:val="793753DE"/>
    <w:multiLevelType w:val="hybridMultilevel"/>
    <w:lvl w:ilvl="0">
      <w:lvlJc w:val="left"/>
      <w:lvlText w:val="(%1)"/>
      <w:numFmt w:val="lowerLetter"/>
      <w:start w:val="1"/>
    </w:lvl>
    <w:lvl w:ilvl="1">
      <w:lvlJc w:val="left"/>
      <w:lvlText w:val="(%2)"/>
      <w:numFmt w:val="lowerRoman"/>
      <w:start w:val="1"/>
    </w:lvl>
  </w:abstractNum>
  <w:abstractNum w:abstractNumId="328">
    <w:nsid w:val="1C67CB3D"/>
    <w:multiLevelType w:val="hybridMultilevel"/>
    <w:lvl w:ilvl="0">
      <w:lvlJc w:val="left"/>
      <w:lvlText w:val="%1"/>
      <w:numFmt w:val="decimal"/>
      <w:start w:val="14"/>
    </w:lvl>
  </w:abstractNum>
  <w:abstractNum w:abstractNumId="329">
    <w:nsid w:val="40E29452"/>
    <w:multiLevelType w:val="hybridMultilevel"/>
    <w:lvl w:ilvl="0">
      <w:lvlJc w:val="left"/>
      <w:lvlText w:val="(%1)"/>
      <w:numFmt w:val="lowerLetter"/>
      <w:start w:val="1"/>
    </w:lvl>
  </w:abstractNum>
  <w:abstractNum w:abstractNumId="330">
    <w:nsid w:val="63A4AAB6"/>
    <w:multiLevelType w:val="hybridMultilevel"/>
    <w:lvl w:ilvl="0">
      <w:lvlJc w:val="left"/>
      <w:lvlText w:val="(%1)"/>
      <w:numFmt w:val="lowerLetter"/>
      <w:start w:val="1"/>
    </w:lvl>
    <w:lvl w:ilvl="1">
      <w:lvlJc w:val="left"/>
      <w:lvlText w:val="(%2)"/>
      <w:numFmt w:val="lowerRoman"/>
      <w:start w:val="1"/>
    </w:lvl>
  </w:abstractNum>
  <w:abstractNum w:abstractNumId="331">
    <w:nsid w:val="77DA4A57"/>
    <w:multiLevelType w:val="hybridMultilevel"/>
    <w:lvl w:ilvl="0">
      <w:lvlJc w:val="left"/>
      <w:lvlText w:val="(%1)"/>
      <w:numFmt w:val="lowerLetter"/>
      <w:start w:val="1"/>
    </w:lvl>
  </w:abstractNum>
  <w:abstractNum w:abstractNumId="332">
    <w:nsid w:val="1230F102"/>
    <w:multiLevelType w:val="hybridMultilevel"/>
    <w:lvl w:ilvl="0">
      <w:lvlJc w:val="left"/>
      <w:lvlText w:val="(%1)"/>
      <w:numFmt w:val="lowerLetter"/>
      <w:start w:val="1"/>
    </w:lvl>
  </w:abstractNum>
  <w:abstractNum w:abstractNumId="333">
    <w:nsid w:val="25B57ED4"/>
    <w:multiLevelType w:val="hybridMultilevel"/>
    <w:lvl w:ilvl="0">
      <w:lvlJc w:val="left"/>
      <w:lvlText w:val="(%1)"/>
      <w:numFmt w:val="lowerLetter"/>
      <w:start w:val="3"/>
    </w:lvl>
  </w:abstractNum>
  <w:abstractNum w:abstractNumId="334">
    <w:nsid w:val="47CF16C4"/>
    <w:multiLevelType w:val="hybridMultilevel"/>
    <w:lvl w:ilvl="0">
      <w:lvlJc w:val="left"/>
      <w:lvlText w:val="(%1)"/>
      <w:numFmt w:val="lowerLetter"/>
      <w:start w:val="1"/>
    </w:lvl>
  </w:abstractNum>
  <w:abstractNum w:abstractNumId="335">
    <w:nsid w:val="527FA04C"/>
    <w:multiLevelType w:val="hybridMultilevel"/>
    <w:lvl w:ilvl="0">
      <w:lvlJc w:val="left"/>
      <w:lvlText w:val="(%1)"/>
      <w:numFmt w:val="lowerLetter"/>
      <w:start w:val="1"/>
    </w:lvl>
  </w:abstractNum>
  <w:abstractNum w:abstractNumId="336">
    <w:nsid w:val="6FCC0624"/>
    <w:multiLevelType w:val="hybridMultilevel"/>
    <w:lvl w:ilvl="0">
      <w:lvlJc w:val="left"/>
      <w:lvlText w:val="(%1)"/>
      <w:numFmt w:val="lowerLetter"/>
      <w:start w:val="1"/>
    </w:lvl>
  </w:abstractNum>
  <w:abstractNum w:abstractNumId="337">
    <w:nsid w:val="1DCDF795"/>
    <w:multiLevelType w:val="hybridMultilevel"/>
    <w:lvl w:ilvl="0">
      <w:lvlJc w:val="left"/>
      <w:lvlText w:val="(%1)"/>
      <w:numFmt w:val="lowerLetter"/>
      <w:start w:val="1"/>
    </w:lvl>
  </w:abstractNum>
  <w:abstractNum w:abstractNumId="338">
    <w:nsid w:val="564580C8"/>
    <w:multiLevelType w:val="hybridMultilevel"/>
    <w:lvl w:ilvl="0">
      <w:lvlJc w:val="left"/>
      <w:lvlText w:val="(%1)"/>
      <w:numFmt w:val="lowerLetter"/>
      <w:start w:val="1"/>
    </w:lvl>
  </w:abstractNum>
  <w:abstractNum w:abstractNumId="339">
    <w:nsid w:val="508ED897"/>
    <w:multiLevelType w:val="hybridMultilevel"/>
    <w:lvl w:ilvl="0">
      <w:lvlJc w:val="left"/>
      <w:lvlText w:val="(%1)"/>
      <w:numFmt w:val="lowerLetter"/>
      <w:start w:val="1"/>
    </w:lvl>
  </w:abstractNum>
  <w:abstractNum w:abstractNumId="340">
    <w:nsid w:val="6A9126B5"/>
    <w:multiLevelType w:val="hybridMultilevel"/>
    <w:lvl w:ilvl="0">
      <w:lvlJc w:val="left"/>
      <w:lvlText w:val="(%1)"/>
      <w:numFmt w:val="lowerLetter"/>
      <w:start w:val="1"/>
    </w:lvl>
  </w:abstractNum>
  <w:abstractNum w:abstractNumId="341">
    <w:nsid w:val="68104812"/>
    <w:multiLevelType w:val="hybridMultilevel"/>
    <w:lvl w:ilvl="0">
      <w:lvlJc w:val="left"/>
      <w:lvlText w:val="(%1)"/>
      <w:numFmt w:val="lowerLetter"/>
      <w:start w:val="3"/>
    </w:lvl>
  </w:abstractNum>
  <w:abstractNum w:abstractNumId="342">
    <w:nsid w:val="62FB8680"/>
    <w:multiLevelType w:val="hybridMultilevel"/>
    <w:lvl w:ilvl="0">
      <w:lvlJc w:val="left"/>
      <w:lvlText w:val="%1"/>
      <w:numFmt w:val="decimal"/>
      <w:start w:val="16"/>
    </w:lvl>
  </w:abstractNum>
  <w:abstractNum w:abstractNumId="343">
    <w:nsid w:val="3A45530"/>
    <w:multiLevelType w:val="hybridMultilevel"/>
    <w:lvl w:ilvl="0">
      <w:lvlJc w:val="left"/>
      <w:lvlText w:val="(%1)"/>
      <w:numFmt w:val="lowerLetter"/>
      <w:start w:val="1"/>
    </w:lvl>
    <w:lvl w:ilvl="1">
      <w:lvlJc w:val="left"/>
      <w:lvlText w:val="(%2)"/>
      <w:numFmt w:val="lowerRoman"/>
      <w:start w:val="1"/>
    </w:lvl>
  </w:abstractNum>
  <w:abstractNum w:abstractNumId="344">
    <w:nsid w:val="4B9275D2"/>
    <w:multiLevelType w:val="hybridMultilevel"/>
    <w:lvl w:ilvl="0">
      <w:lvlJc w:val="left"/>
      <w:lvlText w:val="(%1)"/>
      <w:numFmt w:val="lowerRoman"/>
      <w:start w:val="4"/>
    </w:lvl>
  </w:abstractNum>
  <w:abstractNum w:abstractNumId="345">
    <w:nsid w:val="4F0CEEDB"/>
    <w:multiLevelType w:val="hybridMultilevel"/>
    <w:lvl w:ilvl="0">
      <w:lvlJc w:val="left"/>
      <w:lvlText w:val="(%1)"/>
      <w:numFmt w:val="lowerLetter"/>
      <w:start w:val="1"/>
    </w:lvl>
  </w:abstractNum>
  <w:abstractNum w:abstractNumId="346">
    <w:nsid w:val="61C30361"/>
    <w:multiLevelType w:val="hybridMultilevel"/>
    <w:lvl w:ilvl="0">
      <w:lvlJc w:val="left"/>
      <w:lvlText w:val="(%1)"/>
      <w:numFmt w:val="lowerLetter"/>
      <w:start w:val="1"/>
    </w:lvl>
  </w:abstractNum>
  <w:abstractNum w:abstractNumId="347">
    <w:nsid w:val="632099E0"/>
    <w:multiLevelType w:val="hybridMultilevel"/>
    <w:lvl w:ilvl="0">
      <w:lvlJc w:val="left"/>
      <w:lvlText w:val="(%1)"/>
      <w:numFmt w:val="lowerLetter"/>
      <w:start w:val="1"/>
    </w:lvl>
  </w:abstractNum>
  <w:abstractNum w:abstractNumId="348">
    <w:nsid w:val="24639756"/>
    <w:multiLevelType w:val="hybridMultilevel"/>
    <w:lvl w:ilvl="0">
      <w:lvlJc w:val="left"/>
      <w:lvlText w:val="(%1)"/>
      <w:numFmt w:val="lowerLetter"/>
      <w:start w:val="1"/>
    </w:lvl>
    <w:lvl w:ilvl="1">
      <w:lvlJc w:val="left"/>
      <w:lvlText w:val="(%2)"/>
      <w:numFmt w:val="lowerRoman"/>
      <w:start w:val="1"/>
    </w:lvl>
  </w:abstractNum>
  <w:abstractNum w:abstractNumId="349">
    <w:nsid w:val="9D30DFD"/>
    <w:multiLevelType w:val="hybridMultilevel"/>
    <w:lvl w:ilvl="0">
      <w:lvlJc w:val="left"/>
      <w:lvlText w:val="(%1)"/>
      <w:numFmt w:val="lowerLetter"/>
      <w:start w:val="2"/>
    </w:lvl>
    <w:lvl w:ilvl="1">
      <w:lvlJc w:val="left"/>
      <w:lvlText w:val="(%2)"/>
      <w:numFmt w:val="lowerRoman"/>
      <w:start w:val="1"/>
    </w:lvl>
  </w:abstractNum>
  <w:abstractNum w:abstractNumId="350">
    <w:nsid w:val="70A42016"/>
    <w:multiLevelType w:val="hybridMultilevel"/>
    <w:lvl w:ilvl="0">
      <w:lvlJc w:val="left"/>
      <w:lvlText w:val="%1"/>
      <w:numFmt w:val="decimal"/>
      <w:start w:val="17"/>
    </w:lvl>
  </w:abstractNum>
  <w:abstractNum w:abstractNumId="351">
    <w:nsid w:val="161BC243"/>
    <w:multiLevelType w:val="hybridMultilevel"/>
    <w:lvl w:ilvl="0">
      <w:lvlJc w:val="left"/>
      <w:lvlText w:val="(%1)"/>
      <w:numFmt w:val="lowerLetter"/>
      <w:start w:val="1"/>
    </w:lvl>
    <w:lvl w:ilvl="1">
      <w:lvlJc w:val="left"/>
      <w:lvlText w:val="(%2)"/>
      <w:numFmt w:val="lowerRoman"/>
      <w:start w:val="1"/>
    </w:lvl>
  </w:abstractNum>
  <w:abstractNum w:abstractNumId="352">
    <w:nsid w:val="16E908C8"/>
    <w:multiLevelType w:val="hybridMultilevel"/>
    <w:lvl w:ilvl="0">
      <w:lvlJc w:val="left"/>
      <w:lvlText w:val="(%1)"/>
      <w:numFmt w:val="lowerLetter"/>
      <w:start w:val="5"/>
    </w:lvl>
  </w:abstractNum>
  <w:abstractNum w:abstractNumId="353">
    <w:nsid w:val="2E0D7671"/>
    <w:multiLevelType w:val="hybridMultilevel"/>
    <w:lvl w:ilvl="0">
      <w:lvlJc w:val="left"/>
      <w:lvlText w:val="%1"/>
      <w:numFmt w:val="decimal"/>
      <w:start w:val="18"/>
    </w:lvl>
  </w:abstractNum>
  <w:abstractNum w:abstractNumId="354">
    <w:nsid w:val="38B59EFF"/>
    <w:multiLevelType w:val="hybridMultilevel"/>
    <w:lvl w:ilvl="0">
      <w:lvlJc w:val="left"/>
      <w:lvlText w:val="(%1)"/>
      <w:numFmt w:val="lowerLetter"/>
      <w:start w:val="1"/>
    </w:lvl>
  </w:abstractNum>
  <w:abstractNum w:abstractNumId="355">
    <w:nsid w:val="307995CA"/>
    <w:multiLevelType w:val="hybridMultilevel"/>
    <w:lvl w:ilvl="0">
      <w:lvlJc w:val="left"/>
      <w:lvlText w:val="%1"/>
      <w:numFmt w:val="decimal"/>
      <w:start w:val="19"/>
    </w:lvl>
  </w:abstractNum>
  <w:abstractNum w:abstractNumId="356">
    <w:nsid w:val="52E2024D"/>
    <w:multiLevelType w:val="hybridMultilevel"/>
    <w:lvl w:ilvl="0">
      <w:lvlJc w:val="left"/>
      <w:lvlText w:val="(%1)"/>
      <w:numFmt w:val="lowerLetter"/>
      <w:start w:val="1"/>
    </w:lvl>
    <w:lvl w:ilvl="1">
      <w:lvlJc w:val="left"/>
      <w:lvlText w:val="(%2)"/>
      <w:numFmt w:val="lowerLetter"/>
      <w:start w:val="1"/>
    </w:lvl>
  </w:abstractNum>
  <w:abstractNum w:abstractNumId="357">
    <w:nsid w:val="CE344B5"/>
    <w:multiLevelType w:val="hybridMultilevel"/>
    <w:lvl w:ilvl="0">
      <w:lvlJc w:val="left"/>
      <w:lvlText w:val="%1"/>
      <w:numFmt w:val="lowerLetter"/>
      <w:start w:val="1"/>
    </w:lvl>
    <w:lvl w:ilvl="1">
      <w:lvlJc w:val="left"/>
      <w:lvlText w:val="(%2)"/>
      <w:numFmt w:val="lowerLetter"/>
      <w:start w:val="9"/>
    </w:lvl>
  </w:abstractNum>
  <w:abstractNum w:abstractNumId="358">
    <w:nsid w:val="29B0E9A8"/>
    <w:multiLevelType w:val="hybridMultilevel"/>
    <w:lvl w:ilvl="0">
      <w:lvlJc w:val="left"/>
      <w:lvlText w:val="(%1)"/>
      <w:numFmt w:val="lowerRoman"/>
      <w:start w:val="2"/>
    </w:lvl>
  </w:abstractNum>
  <w:abstractNum w:abstractNumId="359">
    <w:nsid w:val="6F49CD8A"/>
    <w:multiLevelType w:val="hybridMultilevel"/>
    <w:lvl w:ilvl="0">
      <w:lvlJc w:val="left"/>
      <w:lvlText w:val="(%1)"/>
      <w:numFmt w:val="lowerLetter"/>
      <w:start w:val="7"/>
    </w:lvl>
    <w:lvl w:ilvl="1">
      <w:lvlJc w:val="left"/>
      <w:lvlText w:val="(%2)"/>
      <w:numFmt w:val="lowerRoman"/>
      <w:start w:val="1"/>
    </w:lvl>
  </w:abstractNum>
  <w:abstractNum w:abstractNumId="360">
    <w:nsid w:val="4DC5D907"/>
    <w:multiLevelType w:val="hybridMultilevel"/>
    <w:lvl w:ilvl="0">
      <w:lvlJc w:val="left"/>
      <w:lvlText w:val="%1"/>
      <w:numFmt w:val="lowerLetter"/>
      <w:start w:val="1"/>
    </w:lvl>
    <w:lvl w:ilvl="1">
      <w:lvlJc w:val="left"/>
      <w:lvlText w:val="(%2)"/>
      <w:numFmt w:val="lowerRoman"/>
      <w:start w:val="10"/>
    </w:lvl>
  </w:abstractNum>
  <w:abstractNum w:abstractNumId="361">
    <w:nsid w:val="D55945E"/>
    <w:multiLevelType w:val="hybridMultilevel"/>
    <w:lvl w:ilvl="0">
      <w:lvlJc w:val="left"/>
      <w:lvlText w:val="(%1)"/>
      <w:numFmt w:val="lowerLetter"/>
      <w:start w:val="8"/>
    </w:lvl>
    <w:lvl w:ilvl="1">
      <w:lvlJc w:val="left"/>
      <w:lvlText w:val="%2"/>
      <w:numFmt w:val="lowerRoman"/>
      <w:start w:val="1"/>
    </w:lvl>
  </w:abstractNum>
  <w:abstractNum w:abstractNumId="362">
    <w:nsid w:val="672417E1"/>
    <w:multiLevelType w:val="hybridMultilevel"/>
    <w:lvl w:ilvl="0">
      <w:lvlJc w:val="left"/>
      <w:lvlText w:val="(%1)"/>
      <w:numFmt w:val="lowerRoman"/>
      <w:start w:val="1"/>
    </w:lvl>
    <w:lvl w:ilvl="1">
      <w:lvlJc w:val="left"/>
      <w:lvlText w:val="(%2)"/>
      <w:numFmt w:val="lowerRoman"/>
      <w:start w:val="1"/>
    </w:lvl>
  </w:abstractNum>
  <w:abstractNum w:abstractNumId="363">
    <w:nsid w:val="5FF6CA09"/>
    <w:multiLevelType w:val="hybridMultilevel"/>
    <w:lvl w:ilvl="0">
      <w:lvlJc w:val="left"/>
      <w:lvlText w:val="(%1)"/>
      <w:numFmt w:val="lowerLetter"/>
      <w:start w:val="10"/>
    </w:lvl>
    <w:lvl w:ilvl="1">
      <w:lvlJc w:val="left"/>
      <w:lvlText w:val="(%2)"/>
      <w:numFmt w:val="lowerRoman"/>
      <w:start w:val="2"/>
    </w:lvl>
  </w:abstractNum>
  <w:abstractNum w:abstractNumId="364">
    <w:nsid w:val="330B1333"/>
    <w:multiLevelType w:val="hybridMultilevel"/>
    <w:lvl w:ilvl="0">
      <w:lvlJc w:val="left"/>
      <w:lvlText w:val="%1"/>
      <w:numFmt w:val="lowerLetter"/>
      <w:start w:val="1"/>
    </w:lvl>
    <w:lvl w:ilvl="1">
      <w:lvlJc w:val="left"/>
      <w:lvlText w:val="(%2)"/>
      <w:numFmt w:val="lowerRoman"/>
      <w:start w:val="1"/>
    </w:lvl>
  </w:abstractNum>
  <w:abstractNum w:abstractNumId="365">
    <w:nsid w:val="2EF32EA6"/>
    <w:multiLevelType w:val="hybridMultilevel"/>
    <w:lvl w:ilvl="0">
      <w:lvlJc w:val="left"/>
      <w:lvlText w:val="(%1)"/>
      <w:numFmt w:val="lowerLetter"/>
      <w:start w:val="16"/>
    </w:lvl>
    <w:lvl w:ilvl="1">
      <w:lvlJc w:val="left"/>
      <w:lvlText w:val="(%2)"/>
      <w:numFmt w:val="lowerRoman"/>
      <w:start w:val="1"/>
    </w:lvl>
  </w:abstractNum>
  <w:abstractNum w:abstractNumId="366">
    <w:nsid w:val="32766A55"/>
    <w:multiLevelType w:val="hybridMultilevel"/>
    <w:lvl w:ilvl="0">
      <w:lvlJc w:val="left"/>
      <w:lvlText w:val="(%1)"/>
      <w:numFmt w:val="lowerLetter"/>
      <w:start w:val="1"/>
    </w:lvl>
    <w:lvl w:ilvl="1">
      <w:lvlJc w:val="left"/>
      <w:lvlText w:val="(%2)"/>
      <w:numFmt w:val="lowerRoman"/>
      <w:start w:val="1"/>
    </w:lvl>
  </w:abstractNum>
  <w:abstractNum w:abstractNumId="367">
    <w:nsid w:val="22D71957"/>
    <w:multiLevelType w:val="hybridMultilevel"/>
    <w:lvl w:ilvl="0">
      <w:lvlJc w:val="left"/>
      <w:lvlText w:val="(%1)"/>
      <w:numFmt w:val="lowerLetter"/>
      <w:start w:val="1"/>
    </w:lvl>
  </w:abstractNum>
  <w:abstractNum w:abstractNumId="368">
    <w:nsid w:val="4CC1263B"/>
    <w:multiLevelType w:val="hybridMultilevel"/>
    <w:lvl w:ilvl="0">
      <w:lvlJc w:val="left"/>
      <w:lvlText w:val="(%1)"/>
      <w:numFmt w:val="lowerLetter"/>
      <w:start w:val="1"/>
    </w:lvl>
  </w:abstractNum>
  <w:abstractNum w:abstractNumId="369">
    <w:nsid w:val="8BBEB1D"/>
    <w:multiLevelType w:val="hybridMultilevel"/>
    <w:lvl w:ilvl="0">
      <w:lvlJc w:val="left"/>
      <w:lvlText w:val="(%1)"/>
      <w:numFmt w:val="lowerLetter"/>
      <w:start w:val="1"/>
    </w:lvl>
  </w:abstractNum>
  <w:abstractNum w:abstractNumId="370">
    <w:nsid w:val="7365F1EE"/>
    <w:multiLevelType w:val="hybridMultilevel"/>
    <w:lvl w:ilvl="0">
      <w:lvlJc w:val="left"/>
      <w:lvlText w:val="(%1)"/>
      <w:numFmt w:val="lowerLetter"/>
      <w:start w:val="1"/>
    </w:lvl>
  </w:abstractNum>
  <w:abstractNum w:abstractNumId="371">
    <w:nsid w:val="37524CF0"/>
    <w:multiLevelType w:val="hybridMultilevel"/>
    <w:lvl w:ilvl="0">
      <w:lvlJc w:val="left"/>
      <w:lvlText w:val="(%1)"/>
      <w:numFmt w:val="lowerLetter"/>
      <w:start w:val="1"/>
    </w:lvl>
    <w:lvl w:ilvl="1">
      <w:lvlJc w:val="left"/>
      <w:lvlText w:val="(%2)"/>
      <w:numFmt w:val="lowerRoman"/>
      <w:start w:val="1"/>
    </w:lvl>
  </w:abstractNum>
  <w:abstractNum w:abstractNumId="372">
    <w:nsid w:val="70CC332F"/>
    <w:multiLevelType w:val="hybridMultilevel"/>
    <w:lvl w:ilvl="0">
      <w:lvlJc w:val="left"/>
      <w:lvlText w:val="(%1)"/>
      <w:numFmt w:val="lowerRoman"/>
      <w:start w:val="2"/>
    </w:lvl>
  </w:abstractNum>
  <w:abstractNum w:abstractNumId="373">
    <w:nsid w:val="5661786E"/>
    <w:multiLevelType w:val="hybridMultilevel"/>
    <w:lvl w:ilvl="0">
      <w:lvlJc w:val="left"/>
      <w:lvlText w:val="(%1)"/>
      <w:numFmt w:val="lowerLetter"/>
      <w:start w:val="1"/>
    </w:lvl>
  </w:abstractNum>
  <w:abstractNum w:abstractNumId="374">
    <w:nsid w:val="3AF6A220"/>
    <w:multiLevelType w:val="hybridMultilevel"/>
    <w:lvl w:ilvl="0">
      <w:lvlJc w:val="left"/>
      <w:lvlText w:val="(%1)"/>
      <w:numFmt w:val="lowerLetter"/>
      <w:start w:val="2"/>
    </w:lvl>
  </w:abstractNum>
  <w:abstractNum w:abstractNumId="375">
    <w:nsid w:val="3C5EA902"/>
    <w:multiLevelType w:val="hybridMultilevel"/>
    <w:lvl w:ilvl="0">
      <w:lvlJc w:val="left"/>
      <w:lvlText w:val="(%1)"/>
      <w:numFmt w:val="lowerLetter"/>
      <w:start w:val="1"/>
    </w:lvl>
  </w:abstractNum>
  <w:abstractNum w:abstractNumId="376">
    <w:nsid w:val="256E6749"/>
    <w:multiLevelType w:val="hybridMultilevel"/>
    <w:lvl w:ilvl="0">
      <w:lvlJc w:val="left"/>
      <w:lvlText w:val="%1"/>
      <w:numFmt w:val="decimal"/>
      <w:start w:val="22"/>
    </w:lvl>
  </w:abstractNum>
  <w:abstractNum w:abstractNumId="377">
    <w:nsid w:val="1CB9A581"/>
    <w:multiLevelType w:val="hybridMultilevel"/>
    <w:lvl w:ilvl="0">
      <w:lvlJc w:val="left"/>
      <w:lvlText w:val="(%1)"/>
      <w:numFmt w:val="lowerLetter"/>
      <w:start w:val="1"/>
    </w:lvl>
  </w:abstractNum>
  <w:abstractNum w:abstractNumId="378">
    <w:nsid w:val="1F7F42E2"/>
    <w:multiLevelType w:val="hybridMultilevel"/>
    <w:lvl w:ilvl="0">
      <w:lvlJc w:val="left"/>
      <w:lvlText w:val="(%1)"/>
      <w:numFmt w:val="lowerLetter"/>
      <w:start w:val="1"/>
    </w:lvl>
  </w:abstractNum>
  <w:abstractNum w:abstractNumId="379">
    <w:nsid w:val="49D1FEA0"/>
    <w:multiLevelType w:val="hybridMultilevel"/>
    <w:lvl w:ilvl="0">
      <w:lvlJc w:val="left"/>
      <w:lvlText w:val="(%1)"/>
      <w:numFmt w:val="lowerLetter"/>
      <w:start w:val="3"/>
    </w:lvl>
  </w:abstractNum>
  <w:abstractNum w:abstractNumId="380">
    <w:nsid w:val="268CB37F"/>
    <w:multiLevelType w:val="hybridMultilevel"/>
    <w:lvl w:ilvl="0">
      <w:lvlJc w:val="left"/>
      <w:lvlText w:val="(%1)"/>
      <w:numFmt w:val="lowerLetter"/>
      <w:start w:val="1"/>
    </w:lvl>
  </w:abstractNum>
  <w:abstractNum w:abstractNumId="381">
    <w:nsid w:val="102362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2">
    <w:nsid w:val="5FEDC0E3"/>
    <w:multiLevelType w:val="hybridMultilevel"/>
    <w:lvl w:ilvl="0">
      <w:lvlJc w:val="left"/>
      <w:lvlText w:val="%1"/>
      <w:numFmt w:val="lowerRoman"/>
      <w:start w:val="1"/>
    </w:lvl>
    <w:lvl w:ilvl="1">
      <w:lvlJc w:val="left"/>
      <w:lvlText w:val="(%2)"/>
      <w:numFmt w:val="upperLetter"/>
      <w:start w:val="2"/>
    </w:lvl>
  </w:abstractNum>
  <w:abstractNum w:abstractNumId="383">
    <w:nsid w:val="3D75BC47"/>
    <w:multiLevelType w:val="hybridMultilevel"/>
    <w:lvl w:ilvl="0">
      <w:lvlJc w:val="left"/>
      <w:lvlText w:val="(%1)"/>
      <w:numFmt w:val="lowerRoman"/>
      <w:start w:val="2"/>
    </w:lvl>
    <w:lvl w:ilvl="1">
      <w:lvlJc w:val="left"/>
      <w:lvlText w:val="(%2)"/>
      <w:numFmt w:val="upperLetter"/>
      <w:start w:val="1"/>
    </w:lvl>
  </w:abstractNum>
  <w:abstractNum w:abstractNumId="384">
    <w:nsid w:val="3E30D969"/>
    <w:multiLevelType w:val="hybridMultilevel"/>
    <w:lvl w:ilvl="0">
      <w:lvlJc w:val="left"/>
      <w:lvlText w:val="(%1)"/>
      <w:numFmt w:val="lowerLetter"/>
      <w:start w:val="2"/>
    </w:lvl>
    <w:lvl w:ilvl="1">
      <w:lvlJc w:val="left"/>
      <w:lvlText w:val="(%2)"/>
      <w:numFmt w:val="lowerRoman"/>
      <w:start w:val="1"/>
    </w:lvl>
  </w:abstractNum>
  <w:abstractNum w:abstractNumId="385">
    <w:nsid w:val="18A35FE3"/>
    <w:multiLevelType w:val="hybridMultilevel"/>
    <w:lvl w:ilvl="0">
      <w:lvlJc w:val="left"/>
      <w:lvlText w:val="%1"/>
      <w:numFmt w:val="lowerLetter"/>
      <w:start w:val="1"/>
    </w:lvl>
    <w:lvl w:ilvl="1">
      <w:lvlJc w:val="left"/>
      <w:lvlText w:val="(%2)"/>
      <w:numFmt w:val="lowerRoman"/>
      <w:start w:val="4"/>
    </w:lvl>
  </w:abstractNum>
  <w:abstractNum w:abstractNumId="386">
    <w:nsid w:val="6DEF5211"/>
    <w:multiLevelType w:val="hybridMultilevel"/>
    <w:lvl w:ilvl="0">
      <w:lvlJc w:val="left"/>
      <w:lvlText w:val="(%1)"/>
      <w:numFmt w:val="lowerLetter"/>
      <w:start w:val="3"/>
    </w:lvl>
    <w:lvl w:ilvl="1">
      <w:lvlJc w:val="left"/>
      <w:lvlText w:val="(%2)"/>
      <w:numFmt w:val="lowerRoman"/>
      <w:start w:val="1"/>
    </w:lvl>
  </w:abstractNum>
  <w:abstractNum w:abstractNumId="387">
    <w:nsid w:val="1112DBB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88">
    <w:nsid w:val="2586A498"/>
    <w:multiLevelType w:val="hybridMultilevel"/>
    <w:lvl w:ilvl="0">
      <w:lvlJc w:val="left"/>
      <w:lvlText w:val="%1"/>
      <w:numFmt w:val="decimal"/>
      <w:start w:val="23"/>
    </w:lvl>
  </w:abstractNum>
  <w:abstractNum w:abstractNumId="389">
    <w:nsid w:val="17A03BB9"/>
    <w:multiLevelType w:val="hybridMultilevel"/>
    <w:lvl w:ilvl="0">
      <w:lvlJc w:val="left"/>
      <w:lvlText w:val="(%1)"/>
      <w:numFmt w:val="lowerLetter"/>
      <w:start w:val="1"/>
    </w:lvl>
  </w:abstractNum>
  <w:abstractNum w:abstractNumId="390">
    <w:nsid w:val="5CA941"/>
    <w:multiLevelType w:val="hybridMultilevel"/>
    <w:lvl w:ilvl="0">
      <w:lvlJc w:val="left"/>
      <w:lvlText w:val="%1"/>
      <w:numFmt w:val="decimal"/>
      <w:start w:val="24"/>
    </w:lvl>
  </w:abstractNum>
  <w:abstractNum w:abstractNumId="391">
    <w:nsid w:val="734C7D9F"/>
    <w:multiLevelType w:val="hybridMultilevel"/>
    <w:lvl w:ilvl="0">
      <w:lvlJc w:val="left"/>
      <w:lvlText w:val="(%1)"/>
      <w:numFmt w:val="lowerLetter"/>
      <w:start w:val="1"/>
    </w:lvl>
  </w:abstractNum>
  <w:abstractNum w:abstractNumId="392">
    <w:nsid w:val="24F5D018"/>
    <w:multiLevelType w:val="hybridMultilevel"/>
    <w:lvl w:ilvl="0">
      <w:lvlJc w:val="left"/>
      <w:lvlText w:val="(%1)"/>
      <w:numFmt w:val="lowerLetter"/>
      <w:start w:val="1"/>
    </w:lvl>
  </w:abstractNum>
  <w:abstractNum w:abstractNumId="393">
    <w:nsid w:val="6780C122"/>
    <w:multiLevelType w:val="hybridMultilevel"/>
    <w:lvl w:ilvl="0">
      <w:lvlJc w:val="left"/>
      <w:lvlText w:val="(%1)"/>
      <w:numFmt w:val="lowerLetter"/>
      <w:start w:val="1"/>
    </w:lvl>
  </w:abstractNum>
  <w:abstractNum w:abstractNumId="394">
    <w:nsid w:val="534347A8"/>
    <w:multiLevelType w:val="hybridMultilevel"/>
    <w:lvl w:ilvl="0">
      <w:lvlJc w:val="left"/>
      <w:lvlText w:val="(%1)"/>
      <w:numFmt w:val="lowerLetter"/>
      <w:start w:val="1"/>
    </w:lvl>
    <w:lvl w:ilvl="1">
      <w:lvlJc w:val="left"/>
      <w:lvlText w:val="(%2)"/>
      <w:numFmt w:val="lowerRoman"/>
      <w:start w:val="1"/>
    </w:lvl>
  </w:abstractNum>
  <w:abstractNum w:abstractNumId="395">
    <w:nsid w:val="5800E34B"/>
    <w:multiLevelType w:val="hybridMultilevel"/>
    <w:lvl w:ilvl="0">
      <w:lvlJc w:val="left"/>
      <w:lvlText w:val="%1"/>
      <w:numFmt w:val="decimal"/>
      <w:start w:val="26"/>
    </w:lvl>
  </w:abstractNum>
  <w:abstractNum w:abstractNumId="396">
    <w:nsid w:val="1673EFC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7">
    <w:nsid w:val="5B9B1FD"/>
    <w:multiLevelType w:val="hybridMultilevel"/>
    <w:lvl w:ilvl="0">
      <w:lvlJc w:val="left"/>
      <w:lvlText w:val="(%1)"/>
      <w:numFmt w:val="lowerLetter"/>
      <w:start w:val="1"/>
    </w:lvl>
  </w:abstractNum>
  <w:abstractNum w:abstractNumId="398">
    <w:nsid w:val="7AD7FCA2"/>
    <w:multiLevelType w:val="hybridMultilevel"/>
    <w:lvl w:ilvl="0">
      <w:lvlJc w:val="left"/>
      <w:lvlText w:val="(%1)"/>
      <w:numFmt w:val="lowerLetter"/>
      <w:start w:val="4"/>
    </w:lvl>
  </w:abstractNum>
  <w:abstractNum w:abstractNumId="399">
    <w:nsid w:val="63351604"/>
    <w:multiLevelType w:val="hybridMultilevel"/>
    <w:lvl w:ilvl="0">
      <w:lvlJc w:val="left"/>
      <w:lvlText w:val="(%1)"/>
      <w:numFmt w:val="lowerLetter"/>
      <w:start w:val="1"/>
    </w:lvl>
  </w:abstractNum>
  <w:abstractNum w:abstractNumId="400">
    <w:nsid w:val="E759D1A"/>
    <w:multiLevelType w:val="hybridMultilevel"/>
    <w:lvl w:ilvl="0">
      <w:lvlJc w:val="left"/>
      <w:lvlText w:val="(%1)"/>
      <w:numFmt w:val="lowerLetter"/>
      <w:start w:val="7"/>
    </w:lvl>
  </w:abstractNum>
  <w:abstractNum w:abstractNumId="401">
    <w:nsid w:val="6E3DEE90"/>
    <w:multiLevelType w:val="hybridMultilevel"/>
    <w:lvl w:ilvl="0">
      <w:lvlJc w:val="left"/>
      <w:lvlText w:val="(%1)"/>
      <w:numFmt w:val="lowerLetter"/>
      <w:start w:val="1"/>
    </w:lvl>
    <w:lvl w:ilvl="1">
      <w:lvlJc w:val="left"/>
      <w:lvlText w:val="(%2)"/>
      <w:numFmt w:val="lowerRoman"/>
      <w:start w:val="1"/>
    </w:lvl>
  </w:abstractNum>
  <w:abstractNum w:abstractNumId="402">
    <w:nsid w:val="1A8762F4"/>
    <w:multiLevelType w:val="hybridMultilevel"/>
    <w:lvl w:ilvl="0">
      <w:lvlJc w:val="left"/>
      <w:lvlText w:val="(%1)"/>
      <w:numFmt w:val="lowerLetter"/>
      <w:start w:val="1"/>
    </w:lvl>
  </w:abstractNum>
  <w:abstractNum w:abstractNumId="403">
    <w:nsid w:val="7F41D049"/>
    <w:multiLevelType w:val="hybridMultilevel"/>
    <w:lvl w:ilvl="0">
      <w:lvlJc w:val="left"/>
      <w:lvlText w:val="(%1)"/>
      <w:numFmt w:val="lowerLetter"/>
      <w:start w:val="1"/>
    </w:lvl>
    <w:lvl w:ilvl="1">
      <w:lvlJc w:val="left"/>
      <w:lvlText w:val="(%2)"/>
      <w:numFmt w:val="lowerRoman"/>
      <w:start w:val="1"/>
    </w:lvl>
  </w:abstractNum>
  <w:abstractNum w:abstractNumId="404">
    <w:nsid w:val="449F66FE"/>
    <w:multiLevelType w:val="hybridMultilevel"/>
    <w:lvl w:ilvl="0">
      <w:lvlJc w:val="left"/>
      <w:lvlText w:val="(%1)"/>
      <w:numFmt w:val="lowerLetter"/>
      <w:start w:val="1"/>
    </w:lvl>
    <w:lvl w:ilvl="1">
      <w:lvlJc w:val="left"/>
      <w:lvlText w:val="(%2)"/>
      <w:numFmt w:val="lowerRoman"/>
      <w:start w:val="1"/>
    </w:lvl>
  </w:abstractNum>
  <w:abstractNum w:abstractNumId="405">
    <w:nsid w:val="557E0515"/>
    <w:multiLevelType w:val="hybridMultilevel"/>
    <w:lvl w:ilvl="0">
      <w:lvlJc w:val="left"/>
      <w:lvlText w:val="(%1)"/>
      <w:numFmt w:val="lowerLetter"/>
      <w:start w:val="2"/>
    </w:lvl>
    <w:lvl w:ilvl="1">
      <w:lvlJc w:val="left"/>
      <w:lvlText w:val="(%2)"/>
      <w:numFmt w:val="lowerRoman"/>
      <w:start w:val="1"/>
    </w:lvl>
  </w:abstractNum>
  <w:abstractNum w:abstractNumId="406">
    <w:nsid w:val="3BA0794B"/>
    <w:multiLevelType w:val="hybridMultilevel"/>
    <w:lvl w:ilvl="0">
      <w:lvlJc w:val="left"/>
      <w:lvlText w:val="(%1)"/>
      <w:numFmt w:val="lowerLetter"/>
      <w:start w:val="1"/>
    </w:lvl>
    <w:lvl w:ilvl="1">
      <w:lvlJc w:val="left"/>
      <w:lvlText w:val="(%2)"/>
      <w:numFmt w:val="lowerRoman"/>
      <w:start w:val="1"/>
    </w:lvl>
  </w:abstractNum>
  <w:abstractNum w:abstractNumId="407">
    <w:nsid w:val="6A0DCE48"/>
    <w:multiLevelType w:val="hybridMultilevel"/>
    <w:lvl w:ilvl="0">
      <w:lvlJc w:val="left"/>
      <w:lvlText w:val="(%1)"/>
      <w:numFmt w:val="lowerLetter"/>
      <w:start w:val="1"/>
    </w:lvl>
    <w:lvl w:ilvl="1">
      <w:lvlJc w:val="left"/>
      <w:lvlText w:val="(%2)"/>
      <w:numFmt w:val="lowerLetter"/>
      <w:start w:val="9"/>
    </w:lvl>
  </w:abstractNum>
  <w:abstractNum w:abstractNumId="408">
    <w:nsid w:val="7237AA96"/>
    <w:multiLevelType w:val="hybridMultilevel"/>
    <w:lvl w:ilvl="0">
      <w:lvlJc w:val="left"/>
      <w:lvlText w:val="(%1)"/>
      <w:numFmt w:val="lowerRoman"/>
      <w:start w:val="2"/>
    </w:lvl>
    <w:lvl w:ilvl="1">
      <w:lvlJc w:val="left"/>
      <w:lvlText w:val="(%2)"/>
      <w:numFmt w:val="upperLetter"/>
      <w:start w:val="1"/>
    </w:lvl>
  </w:abstractNum>
  <w:abstractNum w:abstractNumId="409">
    <w:nsid w:val="5B1FBC2D"/>
    <w:multiLevelType w:val="hybridMultilevel"/>
    <w:lvl w:ilvl="0">
      <w:lvlJc w:val="left"/>
      <w:lvlText w:val="(%1)"/>
      <w:numFmt w:val="lowerLetter"/>
      <w:start w:val="2"/>
    </w:lvl>
    <w:lvl w:ilvl="1">
      <w:lvlJc w:val="left"/>
      <w:lvlText w:val="(%2)"/>
      <w:numFmt w:val="lowerRoman"/>
      <w:start w:val="1"/>
    </w:lvl>
  </w:abstractNum>
  <w:abstractNum w:abstractNumId="410">
    <w:nsid w:val="33DFCCE8"/>
    <w:multiLevelType w:val="hybridMultilevel"/>
    <w:lvl w:ilvl="0">
      <w:lvlJc w:val="left"/>
      <w:lvlText w:val="%1"/>
      <w:numFmt w:val="decimal"/>
      <w:start w:val="27"/>
    </w:lvl>
  </w:abstractNum>
  <w:abstractNum w:abstractNumId="411">
    <w:nsid w:val="18C45E15"/>
    <w:multiLevelType w:val="hybridMultilevel"/>
    <w:lvl w:ilvl="0">
      <w:lvlJc w:val="left"/>
      <w:lvlText w:val="(%1)"/>
      <w:numFmt w:val="lowerLetter"/>
      <w:start w:val="1"/>
    </w:lvl>
  </w:abstractNum>
  <w:abstractNum w:abstractNumId="412">
    <w:nsid w:val="6B431F25"/>
    <w:multiLevelType w:val="hybridMultilevel"/>
    <w:lvl w:ilvl="0">
      <w:lvlJc w:val="left"/>
      <w:lvlText w:val="(%1)"/>
      <w:numFmt w:val="lowerLetter"/>
      <w:start w:val="1"/>
    </w:lvl>
    <w:lvl w:ilvl="1">
      <w:lvlJc w:val="left"/>
      <w:lvlText w:val="(%2)"/>
      <w:numFmt w:val="lowerRoman"/>
      <w:start w:val="1"/>
    </w:lvl>
  </w:abstractNum>
  <w:abstractNum w:abstractNumId="413">
    <w:nsid w:val="13CD8DCB"/>
    <w:multiLevelType w:val="hybridMultilevel"/>
    <w:lvl w:ilvl="0">
      <w:lvlJc w:val="left"/>
      <w:lvlText w:val="%1"/>
      <w:numFmt w:val="lowerLetter"/>
      <w:start w:val="1"/>
    </w:lvl>
    <w:lvl w:ilvl="1">
      <w:lvlJc w:val="left"/>
      <w:lvlText w:val="(%2)"/>
      <w:numFmt w:val="lowerRoman"/>
      <w:start w:val="6"/>
    </w:lvl>
  </w:abstractNum>
  <w:abstractNum w:abstractNumId="414">
    <w:nsid w:val="563A1A5C"/>
    <w:multiLevelType w:val="hybridMultilevel"/>
    <w:lvl w:ilvl="0">
      <w:lvlJc w:val="left"/>
      <w:lvlText w:val="(%1)"/>
      <w:numFmt w:val="lowerLetter"/>
      <w:start w:val="2"/>
    </w:lvl>
    <w:lvl w:ilvl="1">
      <w:lvlJc w:val="left"/>
      <w:lvlText w:val="%2"/>
      <w:numFmt w:val="lowerRoman"/>
      <w:start w:val="1"/>
    </w:lvl>
  </w:abstractNum>
  <w:abstractNum w:abstractNumId="415">
    <w:nsid w:val="2973F88F"/>
    <w:multiLevelType w:val="hybridMultilevel"/>
    <w:lvl w:ilvl="0">
      <w:lvlJc w:val="left"/>
      <w:lvlText w:val="(%1)"/>
      <w:numFmt w:val="lowerLetter"/>
      <w:start w:val="1"/>
    </w:lvl>
  </w:abstractNum>
  <w:abstractNum w:abstractNumId="416">
    <w:nsid w:val="2C70EDAE"/>
    <w:multiLevelType w:val="hybridMultilevel"/>
    <w:lvl w:ilvl="0">
      <w:lvlJc w:val="left"/>
      <w:lvlText w:val="%1"/>
      <w:numFmt w:val="decimal"/>
      <w:start w:val="28"/>
    </w:lvl>
  </w:abstractNum>
  <w:abstractNum w:abstractNumId="417">
    <w:nsid w:val="44296C6D"/>
    <w:multiLevelType w:val="hybridMultilevel"/>
    <w:lvl w:ilvl="0">
      <w:lvlJc w:val="left"/>
      <w:lvlText w:val="(%1)"/>
      <w:numFmt w:val="lowerLetter"/>
      <w:start w:val="1"/>
    </w:lvl>
  </w:abstractNum>
  <w:abstractNum w:abstractNumId="418">
    <w:nsid w:val="3A86D445"/>
    <w:multiLevelType w:val="hybridMultilevel"/>
    <w:lvl w:ilvl="0">
      <w:lvlJc w:val="left"/>
      <w:lvlText w:val="(%1)"/>
      <w:numFmt w:val="lowerLetter"/>
      <w:start w:val="1"/>
    </w:lvl>
  </w:abstractNum>
  <w:abstractNum w:abstractNumId="419">
    <w:nsid w:val="51F79246"/>
    <w:multiLevelType w:val="hybridMultilevel"/>
    <w:lvl w:ilvl="0">
      <w:lvlJc w:val="left"/>
      <w:lvlText w:val="(%1)"/>
      <w:numFmt w:val="lowerLetter"/>
      <w:start w:val="1"/>
    </w:lvl>
  </w:abstractNum>
  <w:abstractNum w:abstractNumId="420">
    <w:nsid w:val="5BC9A827"/>
    <w:multiLevelType w:val="hybridMultilevel"/>
    <w:lvl w:ilvl="0">
      <w:lvlJc w:val="left"/>
      <w:lvlText w:val="(%1)"/>
      <w:numFmt w:val="lowerLetter"/>
      <w:start w:val="1"/>
    </w:lvl>
  </w:abstractNum>
  <w:abstractNum w:abstractNumId="421">
    <w:nsid w:val="3AE37D86"/>
    <w:multiLevelType w:val="hybridMultilevel"/>
    <w:lvl w:ilvl="0">
      <w:lvlJc w:val="left"/>
      <w:lvlText w:val="%1"/>
      <w:numFmt w:val="decimal"/>
      <w:start w:val="29"/>
    </w:lvl>
  </w:abstractNum>
  <w:abstractNum w:abstractNumId="422">
    <w:nsid w:val="45440FE5"/>
    <w:multiLevelType w:val="hybridMultilevel"/>
    <w:lvl w:ilvl="0">
      <w:lvlJc w:val="left"/>
      <w:lvlText w:val="(%1)"/>
      <w:numFmt w:val="lowerLetter"/>
      <w:start w:val="1"/>
    </w:lvl>
    <w:lvl w:ilvl="1">
      <w:lvlJc w:val="left"/>
      <w:lvlText w:val="(%2)"/>
      <w:numFmt w:val="lowerRoman"/>
      <w:start w:val="1"/>
    </w:lvl>
  </w:abstractNum>
  <w:abstractNum w:abstractNumId="423">
    <w:nsid w:val="BF783F"/>
    <w:multiLevelType w:val="hybridMultilevel"/>
    <w:lvl w:ilvl="0">
      <w:lvlJc w:val="left"/>
      <w:lvlText w:val="(%1)"/>
      <w:numFmt w:val="lowerLetter"/>
      <w:start w:val="1"/>
    </w:lvl>
  </w:abstractNum>
  <w:abstractNum w:abstractNumId="424">
    <w:nsid w:val="22643EA9"/>
    <w:multiLevelType w:val="hybridMultilevel"/>
    <w:lvl w:ilvl="0">
      <w:lvlJc w:val="left"/>
      <w:lvlText w:val="(%1)"/>
      <w:numFmt w:val="lowerLetter"/>
      <w:start w:val="1"/>
    </w:lvl>
  </w:abstractNum>
  <w:abstractNum w:abstractNumId="425">
    <w:nsid w:val="1887578D"/>
    <w:multiLevelType w:val="hybridMultilevel"/>
    <w:lvl w:ilvl="0">
      <w:lvlJc w:val="left"/>
      <w:lvlText w:val="%1"/>
      <w:numFmt w:val="decimal"/>
      <w:start w:val="30"/>
    </w:lvl>
  </w:abstractNum>
  <w:abstractNum w:abstractNumId="426">
    <w:nsid w:val="58C05B8A"/>
    <w:multiLevelType w:val="hybridMultilevel"/>
    <w:lvl w:ilvl="0">
      <w:lvlJc w:val="left"/>
      <w:lvlText w:val="(%1)"/>
      <w:numFmt w:val="lowerLetter"/>
      <w:start w:val="1"/>
    </w:lvl>
  </w:abstractNum>
  <w:abstractNum w:abstractNumId="427">
    <w:nsid w:val="38D82E71"/>
    <w:multiLevelType w:val="hybridMultilevel"/>
    <w:lvl w:ilvl="0">
      <w:lvlJc w:val="left"/>
      <w:lvlText w:val="(%1)"/>
      <w:numFmt w:val="lowerLetter"/>
      <w:start w:val="2"/>
    </w:lvl>
    <w:lvl w:ilvl="1">
      <w:lvlJc w:val="left"/>
      <w:lvlText w:val="(%2)"/>
      <w:numFmt w:val="lowerRoman"/>
      <w:start w:val="1"/>
    </w:lvl>
  </w:abstractNum>
  <w:abstractNum w:abstractNumId="428">
    <w:nsid w:val="1E41098A"/>
    <w:multiLevelType w:val="hybridMultilevel"/>
    <w:lvl w:ilvl="0">
      <w:lvlJc w:val="left"/>
      <w:lvlText w:val="(%1)"/>
      <w:numFmt w:val="upperLetter"/>
      <w:start w:val="1"/>
    </w:lvl>
  </w:abstractNum>
  <w:abstractNum w:abstractNumId="429">
    <w:nsid w:val="5398582C"/>
    <w:multiLevelType w:val="hybridMultilevel"/>
    <w:lvl w:ilvl="0">
      <w:lvlJc w:val="left"/>
      <w:lvlText w:val="(%1)"/>
      <w:numFmt w:val="lowerLetter"/>
      <w:start w:val="3"/>
    </w:lvl>
  </w:abstractNum>
  <w:abstractNum w:abstractNumId="430">
    <w:nsid w:val="1C0D4475"/>
    <w:multiLevelType w:val="hybridMultilevel"/>
    <w:lvl w:ilvl="0">
      <w:lvlJc w:val="left"/>
      <w:lvlText w:val="(%1)"/>
      <w:numFmt w:val="lowerLetter"/>
      <w:start w:val="1"/>
    </w:lvl>
    <w:lvl w:ilvl="1">
      <w:lvlJc w:val="left"/>
      <w:lvlText w:val="(%2)"/>
      <w:numFmt w:val="lowerRoman"/>
      <w:start w:val="1"/>
    </w:lvl>
  </w:abstractNum>
  <w:abstractNum w:abstractNumId="431">
    <w:nsid w:val="2CB6A6A4"/>
    <w:multiLevelType w:val="hybridMultilevel"/>
    <w:lvl w:ilvl="0">
      <w:lvlJc w:val="left"/>
      <w:lvlText w:val="(%1)"/>
      <w:numFmt w:val="lowerLetter"/>
      <w:start w:val="2"/>
    </w:lvl>
    <w:lvl w:ilvl="1">
      <w:lvlJc w:val="left"/>
      <w:lvlText w:val="(%2)"/>
      <w:numFmt w:val="lowerRoman"/>
      <w:start w:val="1"/>
    </w:lvl>
  </w:abstractNum>
  <w:abstractNum w:abstractNumId="432">
    <w:nsid w:val="41D646BC"/>
    <w:multiLevelType w:val="hybridMultilevel"/>
    <w:lvl w:ilvl="0">
      <w:lvlJc w:val="left"/>
      <w:lvlText w:val="(%1)"/>
      <w:numFmt w:val="lowerLetter"/>
      <w:start w:val="1"/>
    </w:lvl>
  </w:abstractNum>
  <w:abstractNum w:abstractNumId="433">
    <w:nsid w:val="3694A76A"/>
    <w:multiLevelType w:val="hybridMultilevel"/>
    <w:lvl w:ilvl="0">
      <w:lvlJc w:val="left"/>
      <w:lvlText w:val="(%1)"/>
      <w:numFmt w:val="lowerLetter"/>
      <w:start w:val="1"/>
    </w:lvl>
  </w:abstractNum>
  <w:abstractNum w:abstractNumId="434">
    <w:nsid w:val="2BF876EE"/>
    <w:multiLevelType w:val="hybridMultilevel"/>
    <w:lvl w:ilvl="0">
      <w:lvlJc w:val="left"/>
      <w:lvlText w:val="(%1)"/>
      <w:numFmt w:val="lowerLetter"/>
      <w:start w:val="2"/>
    </w:lvl>
  </w:abstractNum>
  <w:abstractNum w:abstractNumId="435">
    <w:nsid w:val="675ADBA"/>
    <w:multiLevelType w:val="hybridMultilevel"/>
    <w:lvl w:ilvl="0">
      <w:lvlJc w:val="left"/>
      <w:lvlText w:val="(%1)"/>
      <w:numFmt w:val="lowerLetter"/>
      <w:start w:val="1"/>
    </w:lvl>
  </w:abstractNum>
  <w:abstractNum w:abstractNumId="436">
    <w:nsid w:val="C12AC7F"/>
    <w:multiLevelType w:val="hybridMultilevel"/>
    <w:lvl w:ilvl="0">
      <w:lvlJc w:val="left"/>
      <w:lvlText w:val="(%1)"/>
      <w:numFmt w:val="lowerLetter"/>
      <w:start w:val="1"/>
    </w:lvl>
  </w:abstractNum>
  <w:abstractNum w:abstractNumId="437">
    <w:nsid w:val="6798F039"/>
    <w:multiLevelType w:val="hybridMultilevel"/>
    <w:lvl w:ilvl="0">
      <w:lvlJc w:val="left"/>
      <w:lvlText w:val="(%1)"/>
      <w:numFmt w:val="lowerLetter"/>
      <w:start w:val="1"/>
    </w:lvl>
  </w:abstractNum>
  <w:abstractNum w:abstractNumId="438">
    <w:nsid w:val="70837C02"/>
    <w:multiLevelType w:val="hybridMultilevel"/>
    <w:lvl w:ilvl="0">
      <w:lvlJc w:val="left"/>
      <w:lvlText w:val="1"/>
      <w:numFmt w:val="bullet"/>
      <w:start w:val="1"/>
    </w:lvl>
  </w:abstractNum>
  <w:abstractNum w:abstractNumId="439">
    <w:nsid w:val="7E4A5715"/>
    <w:multiLevelType w:val="hybridMultilevel"/>
    <w:lvl w:ilvl="0">
      <w:lvlJc w:val="left"/>
      <w:lvlText w:val="2"/>
      <w:numFmt w:val="bullet"/>
      <w:start w:val="1"/>
    </w:lvl>
  </w:abstractNum>
  <w:abstractNum w:abstractNumId="440">
    <w:nsid w:val="42B8AC67"/>
    <w:multiLevelType w:val="hybridMultilevel"/>
    <w:lvl w:ilvl="0">
      <w:lvlJc w:val="left"/>
      <w:lvlText w:val="3"/>
      <w:numFmt w:val="bullet"/>
      <w:start w:val="1"/>
    </w:lvl>
  </w:abstractNum>
  <w:abstractNum w:abstractNumId="441">
    <w:nsid w:val="246348EA"/>
    <w:multiLevelType w:val="hybridMultilevel"/>
    <w:lvl w:ilvl="0">
      <w:lvlJc w:val="left"/>
      <w:lvlText w:val="(%1)"/>
      <w:numFmt w:val="lowerLetter"/>
      <w:start w:val="1"/>
    </w:lvl>
  </w:abstractNum>
  <w:abstractNum w:abstractNumId="442">
    <w:nsid w:val="170EB52B"/>
    <w:multiLevelType w:val="hybridMultilevel"/>
    <w:lvl w:ilvl="0">
      <w:lvlJc w:val="left"/>
      <w:lvlText w:val="4"/>
      <w:numFmt w:val="bullet"/>
      <w:start w:val="1"/>
    </w:lvl>
  </w:abstractNum>
  <w:abstractNum w:abstractNumId="443">
    <w:nsid w:val="2DFBCB8C"/>
    <w:multiLevelType w:val="hybridMultilevel"/>
    <w:lvl w:ilvl="0">
      <w:lvlJc w:val="left"/>
      <w:lvlText w:val="5"/>
      <w:numFmt w:val="bullet"/>
      <w:start w:val="1"/>
    </w:lvl>
  </w:abstractNum>
  <w:abstractNum w:abstractNumId="444">
    <w:nsid w:val="3830D6B6"/>
    <w:multiLevelType w:val="hybridMultilevel"/>
    <w:lvl w:ilvl="0">
      <w:lvlJc w:val="left"/>
      <w:lvlText w:val="1"/>
      <w:numFmt w:val="bullet"/>
      <w:start w:val="1"/>
    </w:lvl>
  </w:abstractNum>
  <w:abstractNum w:abstractNumId="445">
    <w:nsid w:val="6D48CF87"/>
    <w:multiLevelType w:val="hybridMultilevel"/>
    <w:lvl w:ilvl="0">
      <w:lvlJc w:val="left"/>
      <w:lvlText w:val="2"/>
      <w:numFmt w:val="bullet"/>
      <w:start w:val="1"/>
    </w:lvl>
  </w:abstractNum>
  <w:abstractNum w:abstractNumId="446">
    <w:nsid w:val="576FC41B"/>
    <w:multiLevelType w:val="hybridMultilevel"/>
    <w:lvl w:ilvl="0">
      <w:lvlJc w:val="left"/>
      <w:lvlText w:val="3"/>
      <w:numFmt w:val="bullet"/>
      <w:start w:val="1"/>
    </w:lvl>
  </w:abstractNum>
  <w:abstractNum w:abstractNumId="447">
    <w:nsid w:val="64A1C464"/>
    <w:multiLevelType w:val="hybridMultilevel"/>
    <w:lvl w:ilvl="0">
      <w:lvlJc w:val="left"/>
      <w:lvlText w:val="4"/>
      <w:numFmt w:val="bullet"/>
      <w:start w:val="1"/>
    </w:lvl>
  </w:abstractNum>
  <w:abstractNum w:abstractNumId="448">
    <w:nsid w:val="31723BF5"/>
    <w:multiLevelType w:val="hybridMultilevel"/>
    <w:lvl w:ilvl="0">
      <w:lvlJc w:val="left"/>
      <w:lvlText w:val="5"/>
      <w:numFmt w:val="bullet"/>
      <w:start w:val="1"/>
    </w:lvl>
  </w:abstractNum>
  <w:abstractNum w:abstractNumId="449">
    <w:nsid w:val="11F69861"/>
    <w:multiLevelType w:val="hybridMultilevel"/>
    <w:lvl w:ilvl="0">
      <w:lvlJc w:val="left"/>
      <w:lvlText w:val="6"/>
      <w:numFmt w:val="bullet"/>
      <w:start w:val="1"/>
    </w:lvl>
  </w:abstractNum>
  <w:abstractNum w:abstractNumId="450">
    <w:nsid w:val="369956AB"/>
    <w:multiLevelType w:val="hybridMultilevel"/>
    <w:lvl w:ilvl="0">
      <w:lvlJc w:val="left"/>
      <w:lvlText w:val="7"/>
      <w:numFmt w:val="bullet"/>
      <w:start w:val="1"/>
    </w:lvl>
  </w:abstractNum>
  <w:abstractNum w:abstractNumId="451">
    <w:nsid w:val="D3BE41C"/>
    <w:multiLevelType w:val="hybridMultilevel"/>
    <w:lvl w:ilvl="0">
      <w:lvlJc w:val="left"/>
      <w:lvlText w:val="8"/>
      <w:numFmt w:val="bullet"/>
      <w:start w:val="1"/>
    </w:lvl>
  </w:abstractNum>
  <w:abstractNum w:abstractNumId="452">
    <w:nsid w:val="4CDA15E7"/>
    <w:multiLevelType w:val="hybridMultilevel"/>
    <w:lvl w:ilvl="0">
      <w:lvlJc w:val="left"/>
      <w:lvlText w:val="9"/>
      <w:numFmt w:val="bullet"/>
      <w:start w:val="1"/>
    </w:lvl>
  </w:abstractNum>
  <w:abstractNum w:abstractNumId="453">
    <w:nsid w:val="7BDD6690"/>
    <w:multiLevelType w:val="hybridMultilevel"/>
    <w:lvl w:ilvl="0">
      <w:lvlJc w:val="left"/>
      <w:lvlText w:val="%1"/>
      <w:numFmt w:val="decimal"/>
      <w:start w:val="10"/>
    </w:lvl>
  </w:abstractNum>
  <w:abstractNum w:abstractNumId="454">
    <w:nsid w:val="DFB5C5B"/>
    <w:multiLevelType w:val="hybridMultilevel"/>
    <w:lvl w:ilvl="0">
      <w:lvlJc w:val="left"/>
      <w:lvlText w:val="%1"/>
      <w:numFmt w:val="decimal"/>
      <w:start w:val="12"/>
    </w:lvl>
  </w:abstractNum>
  <w:abstractNum w:abstractNumId="455">
    <w:nsid w:val="6F3E5490"/>
    <w:multiLevelType w:val="hybridMultilevel"/>
    <w:lvl w:ilvl="0">
      <w:lvlJc w:val="left"/>
      <w:lvlText w:val="(%1)"/>
      <w:numFmt w:val="lowerLetter"/>
      <w:start w:val="1"/>
    </w:lvl>
  </w:abstractNum>
  <w:abstractNum w:abstractNumId="456">
    <w:nsid w:val="1464BE1E"/>
    <w:multiLevelType w:val="hybridMultilevel"/>
    <w:lvl w:ilvl="0">
      <w:lvlJc w:val="left"/>
      <w:lvlText w:val="%1"/>
      <w:numFmt w:val="decimal"/>
      <w:start w:val="14"/>
    </w:lvl>
  </w:abstractNum>
  <w:abstractNum w:abstractNumId="457">
    <w:nsid w:val="66BBB7E5"/>
    <w:multiLevelType w:val="hybridMultilevel"/>
    <w:lvl w:ilvl="0">
      <w:lvlJc w:val="left"/>
      <w:lvlText w:val="(%1)"/>
      <w:numFmt w:val="lowerLetter"/>
      <w:start w:val="1"/>
    </w:lvl>
  </w:abstractNum>
  <w:abstractNum w:abstractNumId="458">
    <w:nsid w:val="28168302"/>
    <w:multiLevelType w:val="hybridMultilevel"/>
    <w:lvl w:ilvl="0">
      <w:lvlJc w:val="left"/>
      <w:lvlText w:val="%1"/>
      <w:numFmt w:val="decimal"/>
      <w:start w:val="15"/>
    </w:lvl>
  </w:abstractNum>
  <w:abstractNum w:abstractNumId="459">
    <w:nsid w:val="32A5C7A8"/>
    <w:multiLevelType w:val="hybridMultilevel"/>
    <w:lvl w:ilvl="0">
      <w:lvlJc w:val="left"/>
      <w:lvlText w:val="%1"/>
      <w:numFmt w:val="decimal"/>
      <w:start w:val="17"/>
    </w:lvl>
  </w:abstractNum>
  <w:abstractNum w:abstractNumId="460">
    <w:nsid w:val="3A541011"/>
    <w:multiLevelType w:val="hybridMultilevel"/>
    <w:lvl w:ilvl="0">
      <w:lvlJc w:val="left"/>
      <w:lvlText w:val="1"/>
      <w:numFmt w:val="bullet"/>
      <w:start w:val="1"/>
    </w:lvl>
  </w:abstractNum>
  <w:abstractNum w:abstractNumId="461">
    <w:nsid w:val="4423C777"/>
    <w:multiLevelType w:val="hybridMultilevel"/>
    <w:lvl w:ilvl="0">
      <w:lvlJc w:val="left"/>
      <w:lvlText w:val="2"/>
      <w:numFmt w:val="bullet"/>
      <w:start w:val="1"/>
    </w:lvl>
  </w:abstractNum>
  <w:abstractNum w:abstractNumId="462">
    <w:nsid w:val="5F5C6E4D"/>
    <w:multiLevelType w:val="hybridMultilevel"/>
    <w:lvl w:ilvl="0">
      <w:lvlJc w:val="left"/>
      <w:lvlText w:val="3"/>
      <w:numFmt w:val="bullet"/>
      <w:start w:val="1"/>
    </w:lvl>
  </w:abstractNum>
  <w:abstractNum w:abstractNumId="463">
    <w:nsid w:val="7C2A56CD"/>
    <w:multiLevelType w:val="hybridMultilevel"/>
    <w:lvl w:ilvl="0">
      <w:lvlJc w:val="left"/>
      <w:lvlText w:val="4"/>
      <w:numFmt w:val="bullet"/>
      <w:start w:val="1"/>
    </w:lvl>
  </w:abstractNum>
  <w:abstractNum w:abstractNumId="464">
    <w:nsid w:val="7AB86EE1"/>
    <w:multiLevelType w:val="hybridMultilevel"/>
    <w:lvl w:ilvl="0">
      <w:lvlJc w:val="left"/>
      <w:lvlText w:val="5"/>
      <w:numFmt w:val="bullet"/>
      <w:start w:val="1"/>
    </w:lvl>
  </w:abstractNum>
  <w:abstractNum w:abstractNumId="465">
    <w:nsid w:val="B54E53B"/>
    <w:multiLevelType w:val="hybridMultilevel"/>
    <w:lvl w:ilvl="0">
      <w:lvlJc w:val="left"/>
      <w:lvlText w:val="6"/>
      <w:numFmt w:val="bullet"/>
      <w:start w:val="1"/>
    </w:lvl>
  </w:abstractNum>
  <w:abstractNum w:abstractNumId="466">
    <w:nsid w:val="2A00487"/>
    <w:multiLevelType w:val="hybridMultilevel"/>
    <w:lvl w:ilvl="0">
      <w:lvlJc w:val="left"/>
      <w:lvlText w:val="1"/>
      <w:numFmt w:val="bullet"/>
      <w:start w:val="1"/>
    </w:lvl>
  </w:abstractNum>
  <w:abstractNum w:abstractNumId="467">
    <w:nsid w:val="6CB1B60"/>
    <w:multiLevelType w:val="hybridMultilevel"/>
    <w:lvl w:ilvl="0">
      <w:lvlJc w:val="left"/>
      <w:lvlText w:val="2"/>
      <w:numFmt w:val="bullet"/>
      <w:start w:val="1"/>
    </w:lvl>
  </w:abstractNum>
  <w:abstractNum w:abstractNumId="468">
    <w:nsid w:val="72EDD574"/>
    <w:multiLevelType w:val="hybridMultilevel"/>
    <w:lvl w:ilvl="0">
      <w:lvlJc w:val="left"/>
      <w:lvlText w:val="3"/>
      <w:numFmt w:val="bullet"/>
      <w:start w:val="1"/>
    </w:lvl>
  </w:abstractNum>
  <w:abstractNum w:abstractNumId="469">
    <w:nsid w:val="7323808A"/>
    <w:multiLevelType w:val="hybridMultilevel"/>
    <w:lvl w:ilvl="0">
      <w:lvlJc w:val="left"/>
      <w:lvlText w:val="4"/>
      <w:numFmt w:val="bullet"/>
      <w:start w:val="1"/>
    </w:lvl>
  </w:abstractNum>
  <w:abstractNum w:abstractNumId="470">
    <w:nsid w:val="5157276"/>
    <w:multiLevelType w:val="hybridMultilevel"/>
    <w:lvl w:ilvl="0">
      <w:lvlJc w:val="left"/>
      <w:lvlText w:val="5"/>
      <w:numFmt w:val="bullet"/>
      <w:start w:val="1"/>
    </w:lvl>
  </w:abstractNum>
  <w:abstractNum w:abstractNumId="471">
    <w:nsid w:val="35A681DB"/>
    <w:multiLevelType w:val="hybridMultilevel"/>
    <w:lvl w:ilvl="0">
      <w:lvlJc w:val="left"/>
      <w:lvlText w:val="6"/>
      <w:numFmt w:val="bullet"/>
      <w:start w:val="1"/>
    </w:lvl>
  </w:abstractNum>
  <w:abstractNum w:abstractNumId="472">
    <w:nsid w:val="1786C974"/>
    <w:multiLevelType w:val="hybridMultilevel"/>
    <w:lvl w:ilvl="0">
      <w:lvlJc w:val="left"/>
      <w:lvlText w:val="7"/>
      <w:numFmt w:val="bullet"/>
      <w:start w:val="1"/>
    </w:lvl>
  </w:abstractNum>
  <w:abstractNum w:abstractNumId="473">
    <w:nsid w:val="1C2427A1"/>
    <w:multiLevelType w:val="hybridMultilevel"/>
    <w:lvl w:ilvl="0">
      <w:lvlJc w:val="left"/>
      <w:lvlText w:val="8"/>
      <w:numFmt w:val="bullet"/>
      <w:start w:val="1"/>
    </w:lvl>
  </w:abstractNum>
  <w:abstractNum w:abstractNumId="474">
    <w:nsid w:val="63A24D68"/>
    <w:multiLevelType w:val="hybridMultilevel"/>
    <w:lvl w:ilvl="0">
      <w:lvlJc w:val="left"/>
      <w:lvlText w:val="(%1)"/>
      <w:numFmt w:val="lowerLetter"/>
      <w:start w:val="1"/>
    </w:lvl>
    <w:lvl w:ilvl="1">
      <w:lvlJc w:val="left"/>
      <w:lvlText w:val="(%2)"/>
      <w:numFmt w:val="lowerRoman"/>
      <w:start w:val="1"/>
    </w:lvl>
  </w:abstractNum>
  <w:abstractNum w:abstractNumId="475">
    <w:nsid w:val="4FB7A02A"/>
    <w:multiLevelType w:val="hybridMultilevel"/>
    <w:lvl w:ilvl="0">
      <w:lvlJc w:val="left"/>
      <w:lvlText w:val="9"/>
      <w:numFmt w:val="bullet"/>
      <w:start w:val="1"/>
    </w:lvl>
  </w:abstractNum>
  <w:abstractNum w:abstractNumId="476">
    <w:nsid w:val="96CF728"/>
    <w:multiLevelType w:val="hybridMultilevel"/>
    <w:lvl w:ilvl="0">
      <w:lvlJc w:val="left"/>
      <w:lvlText w:val="(%1)"/>
      <w:numFmt w:val="lowerLetter"/>
      <w:start w:val="1"/>
    </w:lvl>
    <w:lvl w:ilvl="1">
      <w:lvlJc w:val="left"/>
      <w:lvlText w:val="(%2)"/>
      <w:numFmt w:val="lowerRoman"/>
      <w:start w:val="1"/>
    </w:lvl>
  </w:abstractNum>
  <w:abstractNum w:abstractNumId="477">
    <w:nsid w:val="3B121183"/>
    <w:multiLevelType w:val="hybridMultilevel"/>
    <w:lvl w:ilvl="0">
      <w:lvlJc w:val="left"/>
      <w:lvlText w:val="%1"/>
      <w:numFmt w:val="decimal"/>
      <w:start w:val="10"/>
    </w:lvl>
  </w:abstractNum>
  <w:abstractNum w:abstractNumId="478">
    <w:nsid w:val="3459648F"/>
    <w:multiLevelType w:val="hybridMultilevel"/>
    <w:lvl w:ilvl="0">
      <w:lvlJc w:val="left"/>
      <w:lvlText w:val="%1"/>
      <w:numFmt w:val="decimal"/>
      <w:start w:val="11"/>
    </w:lvl>
  </w:abstractNum>
  <w:abstractNum w:abstractNumId="479">
    <w:nsid w:val="3ADF331D"/>
    <w:multiLevelType w:val="hybridMultilevel"/>
    <w:lvl w:ilvl="0">
      <w:lvlJc w:val="left"/>
      <w:lvlText w:val="1"/>
      <w:numFmt w:val="bullet"/>
      <w:start w:val="1"/>
    </w:lvl>
  </w:abstractNum>
  <w:abstractNum w:abstractNumId="480">
    <w:nsid w:val="4D08A9E4"/>
    <w:multiLevelType w:val="hybridMultilevel"/>
    <w:lvl w:ilvl="0">
      <w:lvlJc w:val="left"/>
      <w:lvlText w:val="2"/>
      <w:numFmt w:val="bullet"/>
      <w:start w:val="1"/>
    </w:lvl>
  </w:abstractNum>
  <w:abstractNum w:abstractNumId="481">
    <w:nsid w:val="6AF2BB3A"/>
    <w:multiLevelType w:val="hybridMultilevel"/>
    <w:lvl w:ilvl="0">
      <w:lvlJc w:val="left"/>
      <w:lvlText w:val="3"/>
      <w:numFmt w:val="bullet"/>
      <w:start w:val="1"/>
    </w:lvl>
  </w:abstractNum>
  <w:abstractNum w:abstractNumId="482">
    <w:nsid w:val="481B1739"/>
    <w:multiLevelType w:val="hybridMultilevel"/>
    <w:lvl w:ilvl="0">
      <w:lvlJc w:val="left"/>
      <w:lvlText w:val="(%1)"/>
      <w:numFmt w:val="decimal"/>
      <w:start w:val="1"/>
    </w:lvl>
  </w:abstractNum>
  <w:abstractNum w:abstractNumId="483">
    <w:nsid w:val="19E2BFCC"/>
    <w:multiLevelType w:val="hybridMultilevel"/>
    <w:lvl w:ilvl="0">
      <w:lvlJc w:val="left"/>
      <w:lvlText w:val="(%1)"/>
      <w:numFmt w:val="upperLetter"/>
      <w:start w:val="1"/>
    </w:lvl>
    <w:lvl w:ilvl="1">
      <w:lvlJc w:val="left"/>
      <w:lvlText w:val="(%2)"/>
      <w:numFmt w:val="lowerLetter"/>
      <w:start w:val="1"/>
    </w:lvl>
  </w:abstractNum>
  <w:abstractNum w:abstractNumId="484">
    <w:nsid w:val="66D021CA"/>
    <w:multiLevelType w:val="hybridMultilevel"/>
    <w:lvl w:ilvl="0">
      <w:lvlJc w:val="left"/>
      <w:lvlText w:val="(%1)"/>
      <w:numFmt w:val="lowerLetter"/>
      <w:start w:val="1"/>
    </w:lvl>
  </w:abstractNum>
  <w:abstractNum w:abstractNumId="485">
    <w:nsid w:val="56167394"/>
    <w:multiLevelType w:val="hybridMultilevel"/>
    <w:lvl w:ilvl="0">
      <w:lvlJc w:val="left"/>
      <w:lvlText w:val="(%1)"/>
      <w:numFmt w:val="lowerLetter"/>
      <w:start w:val="1"/>
    </w:lvl>
  </w:abstractNum>
  <w:abstractNum w:abstractNumId="486">
    <w:nsid w:val="921145C"/>
    <w:multiLevelType w:val="hybridMultilevel"/>
    <w:lvl w:ilvl="0">
      <w:lvlJc w:val="left"/>
      <w:lvlText w:val="(%1)"/>
      <w:numFmt w:val="lowerLetter"/>
      <w:start w:val="1"/>
    </w:lvl>
  </w:abstractNum>
  <w:abstractNum w:abstractNumId="487">
    <w:nsid w:val="7B34DFE8"/>
    <w:multiLevelType w:val="hybridMultilevel"/>
    <w:lvl w:ilvl="0">
      <w:lvlJc w:val="left"/>
      <w:lvlText w:val="(%1)"/>
      <w:numFmt w:val="lowerLetter"/>
      <w:start w:val="2"/>
    </w:lvl>
  </w:abstractNum>
  <w:abstractNum w:abstractNumId="488">
    <w:nsid w:val="3CD22B79"/>
    <w:multiLevelType w:val="hybridMultilevel"/>
    <w:lvl w:ilvl="0">
      <w:lvlJc w:val="left"/>
      <w:lvlText w:val="(%1)"/>
      <w:numFmt w:val="lowerLetter"/>
      <w:start w:val="1"/>
    </w:lvl>
  </w:abstractNum>
  <w:abstractNum w:abstractNumId="489">
    <w:nsid w:val="3137975E"/>
    <w:multiLevelType w:val="hybridMultilevel"/>
    <w:lvl w:ilvl="0">
      <w:lvlJc w:val="left"/>
      <w:lvlText w:val="(%1)"/>
      <w:numFmt w:val="lowerLetter"/>
      <w:start w:val="1"/>
    </w:lvl>
  </w:abstractNum>
  <w:abstractNum w:abstractNumId="490">
    <w:nsid w:val="2DDAA791"/>
    <w:multiLevelType w:val="hybridMultilevel"/>
    <w:lvl w:ilvl="0">
      <w:lvlJc w:val="left"/>
      <w:lvlText w:val="(%1)"/>
      <w:numFmt w:val="lowerLetter"/>
      <w:start w:val="1"/>
    </w:lvl>
  </w:abstractNum>
  <w:abstractNum w:abstractNumId="491">
    <w:nsid w:val="77263B8A"/>
    <w:multiLevelType w:val="hybridMultilevel"/>
    <w:lvl w:ilvl="0">
      <w:lvlJc w:val="left"/>
      <w:lvlText w:val="(%1)"/>
      <w:numFmt w:val="lowerLetter"/>
      <w:start w:val="1"/>
    </w:lvl>
  </w:abstractNum>
  <w:abstractNum w:abstractNumId="492">
    <w:nsid w:val="755B5ED6"/>
    <w:multiLevelType w:val="hybridMultilevel"/>
    <w:lvl w:ilvl="0">
      <w:lvlJc w:val="left"/>
      <w:lvlText w:val="(%1)"/>
      <w:numFmt w:val="lowerLetter"/>
      <w:start w:val="1"/>
    </w:lvl>
  </w:abstractNum>
  <w:abstractNum w:abstractNumId="493">
    <w:nsid w:val="D3715DE"/>
    <w:multiLevelType w:val="hybridMultilevel"/>
    <w:lvl w:ilvl="0">
      <w:lvlJc w:val="left"/>
      <w:lvlText w:val="(%1)"/>
      <w:numFmt w:val="lowerLetter"/>
      <w:start w:val="1"/>
    </w:lvl>
  </w:abstractNum>
  <w:abstractNum w:abstractNumId="494">
    <w:nsid w:val="73509257"/>
    <w:multiLevelType w:val="hybridMultilevel"/>
    <w:lvl w:ilvl="0">
      <w:lvlJc w:val="left"/>
      <w:lvlText w:val="(%1)"/>
      <w:numFmt w:val="lowerLetter"/>
      <w:start w:val="1"/>
    </w:lvl>
  </w:abstractNum>
  <w:abstractNum w:abstractNumId="495">
    <w:nsid w:val="7013CDB7"/>
    <w:multiLevelType w:val="hybridMultilevel"/>
    <w:lvl w:ilvl="0">
      <w:lvlJc w:val="left"/>
      <w:lvlText w:val="(%1)"/>
      <w:numFmt w:val="lowerLetter"/>
      <w:start w:val="1"/>
    </w:lvl>
  </w:abstractNum>
  <w:abstractNum w:abstractNumId="496">
    <w:nsid w:val="188BFB19"/>
    <w:multiLevelType w:val="hybridMultilevel"/>
    <w:lvl w:ilvl="0">
      <w:lvlJc w:val="left"/>
      <w:lvlText w:val="(%1)"/>
      <w:numFmt w:val="lowerLetter"/>
      <w:start w:val="2"/>
    </w:lvl>
  </w:abstractNum>
  <w:abstractNum w:abstractNumId="497">
    <w:nsid w:val="75F096DF"/>
    <w:multiLevelType w:val="hybridMultilevel"/>
    <w:lvl w:ilvl="0">
      <w:lvlJc w:val="left"/>
      <w:lvlText w:val="(%1)"/>
      <w:numFmt w:val="lowerLetter"/>
      <w:start w:val="1"/>
    </w:lvl>
    <w:lvl w:ilvl="1">
      <w:lvlJc w:val="left"/>
      <w:lvlText w:val="(%2)"/>
      <w:numFmt w:val="lowerRoman"/>
      <w:start w:val="1"/>
    </w:lvl>
  </w:abstractNum>
  <w:abstractNum w:abstractNumId="498">
    <w:nsid w:val="76DEE918"/>
    <w:multiLevelType w:val="hybridMultilevel"/>
    <w:lvl w:ilvl="0">
      <w:lvlJc w:val="left"/>
      <w:lvlText w:val="%1"/>
      <w:numFmt w:val="decimal"/>
      <w:start w:val="11"/>
    </w:lvl>
  </w:abstractNum>
  <w:abstractNum w:abstractNumId="499">
    <w:nsid w:val="B79D08D"/>
    <w:multiLevelType w:val="hybridMultilevel"/>
    <w:lvl w:ilvl="0">
      <w:lvlJc w:val="left"/>
      <w:lvlText w:val="(%1)"/>
      <w:numFmt w:val="lowerLetter"/>
      <w:start w:val="1"/>
    </w:lvl>
  </w:abstractNum>
  <w:abstractNum w:abstractNumId="500">
    <w:nsid w:val="69141769"/>
    <w:multiLevelType w:val="hybridMultilevel"/>
    <w:lvl w:ilvl="0">
      <w:lvlJc w:val="left"/>
      <w:lvlText w:val="(%1)"/>
      <w:numFmt w:val="lowerLetter"/>
      <w:start w:val="1"/>
    </w:lvl>
    <w:lvl w:ilvl="1">
      <w:lvlJc w:val="left"/>
      <w:lvlText w:val="(%2)"/>
      <w:numFmt w:val="lowerRoman"/>
      <w:start w:val="1"/>
    </w:lvl>
  </w:abstractNum>
  <w:abstractNum w:abstractNumId="501">
    <w:nsid w:val="7BF45B8E"/>
    <w:multiLevelType w:val="hybridMultilevel"/>
    <w:lvl w:ilvl="0">
      <w:lvlJc w:val="left"/>
      <w:lvlText w:val="(%1)"/>
      <w:numFmt w:val="lowerLetter"/>
      <w:start w:val="2"/>
    </w:lvl>
    <w:lvl w:ilvl="1">
      <w:lvlJc w:val="left"/>
      <w:lvlText w:val="(%2)"/>
      <w:numFmt w:val="lowerRoman"/>
      <w:start w:val="1"/>
    </w:lvl>
  </w:abstractNum>
  <w:abstractNum w:abstractNumId="502">
    <w:nsid w:val="41205269"/>
    <w:multiLevelType w:val="hybridMultilevel"/>
    <w:lvl w:ilvl="0">
      <w:lvlJc w:val="left"/>
      <w:lvlText w:val="(%1)"/>
      <w:numFmt w:val="lowerLetter"/>
      <w:start w:val="1"/>
    </w:lvl>
  </w:abstractNum>
  <w:abstractNum w:abstractNumId="503">
    <w:nsid w:val="9AE0DD"/>
    <w:multiLevelType w:val="hybridMultilevel"/>
    <w:lvl w:ilvl="0">
      <w:lvlJc w:val="left"/>
      <w:lvlText w:val="(%1)"/>
      <w:numFmt w:val="lowerLetter"/>
      <w:start w:val="1"/>
    </w:lvl>
  </w:abstractNum>
  <w:abstractNum w:abstractNumId="504">
    <w:nsid w:val="1818832F"/>
    <w:multiLevelType w:val="hybridMultilevel"/>
    <w:lvl w:ilvl="0">
      <w:lvlJc w:val="left"/>
      <w:lvlText w:val="(%1)"/>
      <w:numFmt w:val="lowerLetter"/>
      <w:start w:val="1"/>
    </w:lvl>
  </w:abstractNum>
  <w:abstractNum w:abstractNumId="505">
    <w:nsid w:val="24C29FD1"/>
    <w:multiLevelType w:val="hybridMultilevel"/>
    <w:lvl w:ilvl="0">
      <w:lvlJc w:val="left"/>
      <w:lvlText w:val="(%1)"/>
      <w:numFmt w:val="lowerLetter"/>
      <w:start w:val="1"/>
    </w:lvl>
  </w:abstractNum>
  <w:abstractNum w:abstractNumId="506">
    <w:nsid w:val="50528108"/>
    <w:multiLevelType w:val="hybridMultilevel"/>
    <w:lvl w:ilvl="0">
      <w:lvlJc w:val="left"/>
      <w:lvlText w:val="(%1)"/>
      <w:numFmt w:val="lowerLetter"/>
      <w:start w:val="1"/>
    </w:lvl>
  </w:abstractNum>
  <w:abstractNum w:abstractNumId="507">
    <w:nsid w:val="21857A57"/>
    <w:multiLevelType w:val="hybridMultilevel"/>
    <w:lvl w:ilvl="0">
      <w:lvlJc w:val="left"/>
      <w:lvlText w:val="(%1)"/>
      <w:numFmt w:val="lowerLetter"/>
      <w:start w:val="1"/>
    </w:lvl>
  </w:abstractNum>
  <w:abstractNum w:abstractNumId="508">
    <w:nsid w:val="5FD4B154"/>
    <w:multiLevelType w:val="hybridMultilevel"/>
    <w:lvl w:ilvl="0">
      <w:lvlJc w:val="left"/>
      <w:lvlText w:val="(%1)"/>
      <w:numFmt w:val="lowerLetter"/>
      <w:start w:val="6"/>
    </w:lvl>
  </w:abstractNum>
  <w:abstractNum w:abstractNumId="509">
    <w:nsid w:val="4ABE597"/>
    <w:multiLevelType w:val="hybridMultilevel"/>
    <w:lvl w:ilvl="0">
      <w:lvlJc w:val="left"/>
      <w:lvlText w:val="(%1)"/>
      <w:numFmt w:val="lowerLetter"/>
      <w:start w:val="1"/>
    </w:lvl>
  </w:abstractNum>
  <w:abstractNum w:abstractNumId="510">
    <w:nsid w:val="5C64AD75"/>
    <w:multiLevelType w:val="hybridMultilevel"/>
    <w:lvl w:ilvl="0">
      <w:lvlJc w:val="left"/>
      <w:lvlText w:val="(%1)"/>
      <w:numFmt w:val="lowerLetter"/>
      <w:start w:val="1"/>
    </w:lvl>
  </w:abstractNum>
  <w:abstractNum w:abstractNumId="511">
    <w:nsid w:val="2CDD5B39"/>
    <w:multiLevelType w:val="hybridMultilevel"/>
    <w:lvl w:ilvl="0">
      <w:lvlJc w:val="left"/>
      <w:lvlText w:val="(%1)"/>
      <w:numFmt w:val="lowerLetter"/>
      <w:start w:val="3"/>
    </w:lvl>
  </w:abstractNum>
  <w:abstractNum w:abstractNumId="512">
    <w:nsid w:val="6F9EA0D1"/>
    <w:multiLevelType w:val="hybridMultilevel"/>
    <w:lvl w:ilvl="0">
      <w:lvlJc w:val="left"/>
      <w:lvlText w:val="%1"/>
      <w:numFmt w:val="decimal"/>
      <w:start w:val="12"/>
    </w:lvl>
  </w:abstractNum>
  <w:abstractNum w:abstractNumId="513">
    <w:nsid w:val="247FC4AE"/>
    <w:multiLevelType w:val="hybridMultilevel"/>
    <w:lvl w:ilvl="0">
      <w:lvlJc w:val="left"/>
      <w:lvlText w:val="(%1)"/>
      <w:numFmt w:val="lowerLetter"/>
      <w:start w:val="1"/>
    </w:lvl>
    <w:lvl w:ilvl="1">
      <w:lvlJc w:val="left"/>
      <w:lvlText w:val="(%2)"/>
      <w:numFmt w:val="lowerRoman"/>
      <w:start w:val="1"/>
    </w:lvl>
  </w:abstractNum>
  <w:abstractNum w:abstractNumId="514">
    <w:nsid w:val="46C01B05"/>
    <w:multiLevelType w:val="hybridMultilevel"/>
    <w:lvl w:ilvl="0">
      <w:lvlJc w:val="left"/>
      <w:lvlText w:val="(%1)"/>
      <w:numFmt w:val="lowerLetter"/>
      <w:start w:val="4"/>
    </w:lvl>
  </w:abstractNum>
  <w:abstractNum w:abstractNumId="515">
    <w:nsid w:val="566EC29B"/>
    <w:multiLevelType w:val="hybridMultilevel"/>
    <w:lvl w:ilvl="0">
      <w:lvlJc w:val="left"/>
      <w:lvlText w:val="(%1)"/>
      <w:numFmt w:val="lowerLetter"/>
      <w:start w:val="1"/>
    </w:lvl>
  </w:abstractNum>
  <w:abstractNum w:abstractNumId="516">
    <w:nsid w:val="7A963843"/>
    <w:multiLevelType w:val="hybridMultilevel"/>
    <w:lvl w:ilvl="0">
      <w:lvlJc w:val="left"/>
      <w:lvlText w:val="(%1)"/>
      <w:numFmt w:val="lowerLetter"/>
      <w:start w:val="1"/>
    </w:lvl>
  </w:abstractNum>
  <w:abstractNum w:abstractNumId="517">
    <w:nsid w:val="4FE12F61"/>
    <w:multiLevelType w:val="hybridMultilevel"/>
    <w:lvl w:ilvl="0">
      <w:lvlJc w:val="left"/>
      <w:lvlText w:val="(%1)"/>
      <w:numFmt w:val="lowerLetter"/>
      <w:start w:val="1"/>
    </w:lvl>
  </w:abstractNum>
  <w:abstractNum w:abstractNumId="518">
    <w:nsid w:val="51A3A284"/>
    <w:multiLevelType w:val="hybridMultilevel"/>
    <w:lvl w:ilvl="0">
      <w:lvlJc w:val="left"/>
      <w:lvlText w:val="(%1)"/>
      <w:numFmt w:val="lowerLetter"/>
      <w:start w:val="1"/>
    </w:lvl>
    <w:lvl w:ilvl="1">
      <w:lvlJc w:val="left"/>
      <w:lvlText w:val="(%2)"/>
      <w:numFmt w:val="lowerRoman"/>
      <w:start w:val="1"/>
    </w:lvl>
  </w:abstractNum>
  <w:abstractNum w:abstractNumId="519">
    <w:nsid w:val="376863BC"/>
    <w:multiLevelType w:val="hybridMultilevel"/>
    <w:lvl w:ilvl="0">
      <w:lvlJc w:val="left"/>
      <w:lvlText w:val="%1"/>
      <w:numFmt w:val="decimal"/>
      <w:start w:val="15"/>
    </w:lvl>
  </w:abstractNum>
  <w:abstractNum w:abstractNumId="520">
    <w:nsid w:val="118C6C0"/>
    <w:multiLevelType w:val="hybridMultilevel"/>
    <w:lvl w:ilvl="0">
      <w:lvlJc w:val="left"/>
      <w:lvlText w:val="(%1)"/>
      <w:numFmt w:val="lowerLetter"/>
      <w:start w:val="1"/>
    </w:lvl>
  </w:abstractNum>
  <w:abstractNum w:abstractNumId="521">
    <w:nsid w:val="7F7E4A15"/>
    <w:multiLevelType w:val="hybridMultilevel"/>
    <w:lvl w:ilvl="0">
      <w:lvlJc w:val="left"/>
      <w:lvlText w:val="%1"/>
      <w:numFmt w:val="decimal"/>
      <w:start w:val="18"/>
    </w:lvl>
  </w:abstractNum>
  <w:abstractNum w:abstractNumId="522">
    <w:nsid w:val="2E8E9F47"/>
    <w:multiLevelType w:val="hybridMultilevel"/>
    <w:lvl w:ilvl="0">
      <w:lvlJc w:val="left"/>
      <w:lvlText w:val="(%1)"/>
      <w:numFmt w:val="lowerLetter"/>
      <w:start w:val="1"/>
    </w:lvl>
  </w:abstractNum>
  <w:abstractNum w:abstractNumId="523">
    <w:nsid w:val="76742596"/>
    <w:multiLevelType w:val="hybridMultilevel"/>
    <w:lvl w:ilvl="0">
      <w:lvlJc w:val="left"/>
      <w:lvlText w:val="%1"/>
      <w:numFmt w:val="decimal"/>
      <w:start w:val="19"/>
    </w:lvl>
  </w:abstractNum>
  <w:abstractNum w:abstractNumId="524">
    <w:nsid w:val="CB55FF3"/>
    <w:multiLevelType w:val="hybridMultilevel"/>
    <w:lvl w:ilvl="0">
      <w:lvlJc w:val="left"/>
      <w:lvlText w:val="(%1)"/>
      <w:numFmt w:val="lowerLetter"/>
      <w:start w:val="1"/>
    </w:lvl>
  </w:abstractNum>
  <w:abstractNum w:abstractNumId="525">
    <w:nsid w:val="21DF319E"/>
    <w:multiLevelType w:val="hybridMultilevel"/>
    <w:lvl w:ilvl="0">
      <w:lvlJc w:val="left"/>
      <w:lvlText w:val="(%1)"/>
      <w:numFmt w:val="lowerLetter"/>
      <w:start w:val="1"/>
    </w:lvl>
  </w:abstractNum>
  <w:abstractNum w:abstractNumId="526">
    <w:nsid w:val="6687F34D"/>
    <w:multiLevelType w:val="hybridMultilevel"/>
    <w:lvl w:ilvl="0">
      <w:lvlJc w:val="left"/>
      <w:lvlText w:val="(%1)"/>
      <w:numFmt w:val="lowerLetter"/>
      <w:start w:val="1"/>
    </w:lvl>
  </w:abstractNum>
  <w:abstractNum w:abstractNumId="527">
    <w:nsid w:val="25415B0C"/>
    <w:multiLevelType w:val="hybridMultilevel"/>
    <w:lvl w:ilvl="0">
      <w:lvlJc w:val="left"/>
      <w:lvlText w:val="%1."/>
      <w:numFmt w:val="upperLetter"/>
      <w:start w:val="1"/>
    </w:lvl>
  </w:abstractNum>
  <w:abstractNum w:abstractNumId="528">
    <w:nsid w:val="17CFC87D"/>
    <w:multiLevelType w:val="hybridMultilevel"/>
    <w:lvl w:ilvl="0">
      <w:lvlJc w:val="left"/>
      <w:lvlText w:val="(%1)"/>
      <w:numFmt w:val="lowerRoman"/>
      <w:start w:val="1"/>
    </w:lvl>
  </w:abstractNum>
  <w:abstractNum w:abstractNumId="529">
    <w:nsid w:val="5D66DC65"/>
    <w:multiLevelType w:val="hybridMultilevel"/>
    <w:lvl w:ilvl="0">
      <w:lvlJc w:val="left"/>
      <w:lvlText w:val="(%1)"/>
      <w:numFmt w:val="lowerRoman"/>
      <w:start w:val="1"/>
    </w:lvl>
  </w:abstractNum>
  <w:abstractNum w:abstractNumId="530">
    <w:nsid w:val="30BB2B99"/>
    <w:multiLevelType w:val="hybridMultilevel"/>
    <w:lvl w:ilvl="0">
      <w:lvlJc w:val="left"/>
      <w:lvlText w:val="(%1)"/>
      <w:numFmt w:val="lowerRoman"/>
      <w:start w:val="1"/>
    </w:lvl>
  </w:abstractNum>
  <w:abstractNum w:abstractNumId="531">
    <w:nsid w:val="E3DFE6"/>
    <w:multiLevelType w:val="hybridMultilevel"/>
    <w:lvl w:ilvl="0">
      <w:lvlJc w:val="left"/>
      <w:lvlText w:val="(%1)"/>
      <w:numFmt w:val="lowerRoman"/>
      <w:start w:val="3"/>
    </w:lvl>
  </w:abstractNum>
  <w:abstractNum w:abstractNumId="532">
    <w:nsid w:val="595B37F3"/>
    <w:multiLevelType w:val="hybridMultilevel"/>
    <w:lvl w:ilvl="0">
      <w:lvlJc w:val="left"/>
      <w:lvlText w:val="(%1)"/>
      <w:numFmt w:val="lowerRoman"/>
      <w:start w:val="7"/>
    </w:lvl>
  </w:abstractNum>
  <w:abstractNum w:abstractNumId="533">
    <w:nsid w:val="71DB7E02"/>
    <w:multiLevelType w:val="hybridMultilevel"/>
    <w:lvl w:ilvl="0">
      <w:lvlJc w:val="left"/>
      <w:lvlText w:val="(%1)"/>
      <w:numFmt w:val="lowerLetter"/>
      <w:start w:val="1"/>
    </w:lvl>
  </w:abstractNum>
  <w:abstractNum w:abstractNumId="534">
    <w:nsid w:val="17EC0C4"/>
    <w:multiLevelType w:val="hybridMultilevel"/>
    <w:lvl w:ilvl="0">
      <w:lvlJc w:val="left"/>
      <w:lvlText w:val="(%1)"/>
      <w:numFmt w:val="lowerRoman"/>
      <w:start w:val="1"/>
    </w:lvl>
  </w:abstractNum>
  <w:abstractNum w:abstractNumId="535">
    <w:nsid w:val="7173BB22"/>
    <w:multiLevelType w:val="hybridMultilevel"/>
    <w:lvl w:ilvl="0">
      <w:lvlJc w:val="left"/>
      <w:lvlText w:val="(%1)"/>
      <w:numFmt w:val="decimal"/>
      <w:start w:val="1"/>
    </w:lvl>
    <w:lvl w:ilvl="1">
      <w:lvlJc w:val="left"/>
      <w:lvlText w:val="(%2)"/>
      <w:numFmt w:val="lowerRoman"/>
      <w:start w:val="1"/>
    </w:lvl>
  </w:abstractNum>
  <w:abstractNum w:abstractNumId="536">
    <w:nsid w:val="169E1DD3"/>
    <w:multiLevelType w:val="hybridMultilevel"/>
    <w:lvl w:ilvl="0">
      <w:lvlJc w:val="left"/>
      <w:lvlText w:val="(%1)"/>
      <w:numFmt w:val="lowerRoman"/>
      <w:start w:val="6"/>
    </w:lvl>
  </w:abstractNum>
  <w:abstractNum w:abstractNumId="537">
    <w:nsid w:val="51D141CC"/>
    <w:multiLevelType w:val="hybridMultilevel"/>
    <w:lvl w:ilvl="0">
      <w:lvlJc w:val="left"/>
      <w:lvlText w:val="(%1)"/>
      <w:numFmt w:val="decimal"/>
      <w:start w:val="3"/>
    </w:lvl>
  </w:abstractNum>
  <w:abstractNum w:abstractNumId="538">
    <w:nsid w:val="12F9357A"/>
    <w:multiLevelType w:val="hybridMultilevel"/>
    <w:lvl w:ilvl="0">
      <w:lvlJc w:val="left"/>
      <w:lvlText w:val="(%1)"/>
      <w:numFmt w:val="decimal"/>
      <w:start w:val="11"/>
    </w:lvl>
    <w:lvl w:ilvl="1">
      <w:lvlJc w:val="left"/>
      <w:lvlText w:val="(%2)"/>
      <w:numFmt w:val="lowerRoman"/>
      <w:start w:val="1"/>
    </w:lvl>
  </w:abstractNum>
  <w:abstractNum w:abstractNumId="539">
    <w:nsid w:val="7672CF28"/>
    <w:multiLevelType w:val="hybridMultilevel"/>
    <w:lvl w:ilvl="0">
      <w:lvlJc w:val="left"/>
      <w:lvlText w:val="%1"/>
      <w:numFmt w:val="decimal"/>
      <w:start w:val="1"/>
    </w:lvl>
    <w:lvl w:ilvl="1">
      <w:lvlJc w:val="left"/>
      <w:lvlText w:val="(%2)"/>
      <w:numFmt w:val="lowerRoman"/>
      <w:start w:val="6"/>
    </w:lvl>
  </w:abstractNum>
  <w:abstractNum w:abstractNumId="540">
    <w:nsid w:val="567D2763"/>
    <w:multiLevelType w:val="hybridMultilevel"/>
    <w:lvl w:ilvl="0">
      <w:lvlJc w:val="left"/>
      <w:lvlText w:val="(%1)"/>
      <w:numFmt w:val="decimal"/>
      <w:start w:val="17"/>
    </w:lvl>
    <w:lvl w:ilvl="1">
      <w:lvlJc w:val="left"/>
      <w:lvlText w:val="%2"/>
      <w:numFmt w:val="lowerRoman"/>
      <w:start w:val="1"/>
    </w:lvl>
  </w:abstractNum>
  <w:abstractNum w:abstractNumId="541">
    <w:nsid w:val="6F5DE2EF"/>
    <w:multiLevelType w:val="hybridMultilevel"/>
    <w:lvl w:ilvl="0">
      <w:lvlJc w:val="left"/>
      <w:lvlText w:val="*"/>
      <w:numFmt w:val="bullet"/>
      <w:start w:val="1"/>
    </w:lvl>
  </w:abstractNum>
  <w:abstractNum w:abstractNumId="542">
    <w:nsid w:val="23502A61"/>
    <w:multiLevelType w:val="hybridMultilevel"/>
    <w:lvl w:ilvl="0">
      <w:lvlJc w:val="left"/>
      <w:lvlText w:val="(%1)"/>
      <w:numFmt w:val="decimal"/>
      <w:start w:val="1"/>
    </w:lvl>
  </w:abstractNum>
  <w:abstractNum w:abstractNumId="543">
    <w:nsid w:val="461BC834"/>
    <w:multiLevelType w:val="hybridMultilevel"/>
    <w:lvl w:ilvl="0">
      <w:lvlJc w:val="left"/>
      <w:lvlText w:val="(%1)"/>
      <w:numFmt w:val="decimal"/>
      <w:start w:val="9"/>
    </w:lvl>
  </w:abstractNum>
  <w:abstractNum w:abstractNumId="544">
    <w:nsid w:val="13DDA79D"/>
    <w:multiLevelType w:val="hybridMultilevel"/>
    <w:lvl w:ilvl="0">
      <w:lvlJc w:val="left"/>
      <w:lvlText w:val="*"/>
      <w:numFmt w:val="bullet"/>
      <w:start w:val="1"/>
    </w:lvl>
  </w:abstractNum>
  <w:abstractNum w:abstractNumId="545">
    <w:nsid w:val="6A104566"/>
    <w:multiLevelType w:val="hybridMultilevel"/>
    <w:lvl w:ilvl="0">
      <w:lvlJc w:val="left"/>
      <w:lvlText w:val="%1."/>
      <w:numFmt w:val="upperLetter"/>
      <w:start w:val="1"/>
    </w:lvl>
  </w:abstractNum>
  <w:abstractNum w:abstractNumId="546">
    <w:nsid w:val="1C8A8ACF"/>
    <w:multiLevelType w:val="hybridMultilevel"/>
    <w:lvl w:ilvl="0">
      <w:lvlJc w:val="left"/>
      <w:lvlText w:val="(%1)"/>
      <w:numFmt w:val="lowerRoman"/>
      <w:start w:val="1"/>
    </w:lvl>
  </w:abstractNum>
  <w:abstractNum w:abstractNumId="547">
    <w:nsid w:val="E73DFE0"/>
    <w:multiLevelType w:val="hybridMultilevel"/>
    <w:lvl w:ilvl="0">
      <w:lvlJc w:val="left"/>
      <w:lvlText w:val="(%1)"/>
      <w:numFmt w:val="lowerRoman"/>
      <w:start w:val="1"/>
    </w:lvl>
  </w:abstractNum>
  <w:abstractNum w:abstractNumId="548">
    <w:nsid w:val="39F174C7"/>
    <w:multiLevelType w:val="hybridMultilevel"/>
    <w:lvl w:ilvl="0">
      <w:lvlJc w:val="left"/>
      <w:lvlText w:val="(%1)"/>
      <w:numFmt w:val="lowerRoman"/>
      <w:start w:val="1"/>
    </w:lvl>
  </w:abstractNum>
  <w:abstractNum w:abstractNumId="549">
    <w:nsid w:val="6E2E2D53"/>
    <w:multiLevelType w:val="hybridMultilevel"/>
    <w:lvl w:ilvl="0">
      <w:lvlJc w:val="left"/>
      <w:lvlText w:val="(%1)"/>
      <w:numFmt w:val="lowerRoman"/>
      <w:start w:val="3"/>
    </w:lvl>
  </w:abstractNum>
  <w:abstractNum w:abstractNumId="550">
    <w:nsid w:val="45DC439D"/>
    <w:multiLevelType w:val="hybridMultilevel"/>
    <w:lvl w:ilvl="0">
      <w:lvlJc w:val="left"/>
      <w:lvlText w:val="(%1)"/>
      <w:numFmt w:val="lowerRoman"/>
      <w:start w:val="7"/>
    </w:lvl>
  </w:abstractNum>
  <w:abstractNum w:abstractNumId="551">
    <w:nsid w:val="3B0A3B87"/>
    <w:multiLevelType w:val="hybridMultilevel"/>
    <w:lvl w:ilvl="0">
      <w:lvlJc w:val="left"/>
      <w:lvlText w:val="(%1)"/>
      <w:numFmt w:val="lowerLetter"/>
      <w:start w:val="1"/>
    </w:lvl>
  </w:abstractNum>
  <w:abstractNum w:abstractNumId="552">
    <w:nsid w:val="6DAC7768"/>
    <w:multiLevelType w:val="hybridMultilevel"/>
    <w:lvl w:ilvl="0">
      <w:lvlJc w:val="left"/>
      <w:lvlText w:val="(%1)"/>
      <w:numFmt w:val="lowerRoman"/>
      <w:start w:val="1"/>
    </w:lvl>
  </w:abstractNum>
  <w:abstractNum w:abstractNumId="553">
    <w:nsid w:val="746AE2E4"/>
    <w:multiLevelType w:val="hybridMultilevel"/>
    <w:lvl w:ilvl="0">
      <w:lvlJc w:val="left"/>
      <w:lvlText w:val="(%1)"/>
      <w:numFmt w:val="decimal"/>
      <w:start w:val="1"/>
    </w:lvl>
    <w:lvl w:ilvl="1">
      <w:lvlJc w:val="left"/>
      <w:lvlText w:val="(%2)"/>
      <w:numFmt w:val="lowerRoman"/>
      <w:start w:val="1"/>
    </w:lvl>
  </w:abstractNum>
  <w:abstractNum w:abstractNumId="554">
    <w:nsid w:val="317E611D"/>
    <w:multiLevelType w:val="hybridMultilevel"/>
    <w:lvl w:ilvl="0">
      <w:lvlJc w:val="left"/>
      <w:lvlText w:val="(%1)"/>
      <w:numFmt w:val="lowerRoman"/>
      <w:start w:val="6"/>
    </w:lvl>
  </w:abstractNum>
  <w:abstractNum w:abstractNumId="555">
    <w:nsid w:val="7A61D75B"/>
    <w:multiLevelType w:val="hybridMultilevel"/>
    <w:lvl w:ilvl="0">
      <w:lvlJc w:val="left"/>
      <w:lvlText w:val="(%1)"/>
      <w:numFmt w:val="decimal"/>
      <w:start w:val="3"/>
    </w:lvl>
  </w:abstractNum>
  <w:abstractNum w:abstractNumId="556">
    <w:nsid w:val="164A1482"/>
    <w:multiLevelType w:val="hybridMultilevel"/>
    <w:lvl w:ilvl="0">
      <w:lvlJc w:val="left"/>
      <w:lvlText w:val="(%1)"/>
      <w:numFmt w:val="decimal"/>
      <w:start w:val="13"/>
    </w:lvl>
    <w:lvl w:ilvl="1">
      <w:lvlJc w:val="left"/>
      <w:lvlText w:val="(%2)"/>
      <w:numFmt w:val="lowerRoman"/>
      <w:start w:val="1"/>
    </w:lvl>
  </w:abstractNum>
  <w:abstractNum w:abstractNumId="557">
    <w:nsid w:val="1806546B"/>
    <w:multiLevelType w:val="hybridMultilevel"/>
    <w:lvl w:ilvl="0">
      <w:lvlJc w:val="left"/>
      <w:lvlText w:val="%1"/>
      <w:numFmt w:val="decimal"/>
      <w:start w:val="1"/>
    </w:lvl>
    <w:lvl w:ilvl="1">
      <w:lvlJc w:val="left"/>
      <w:lvlText w:val="(%2)"/>
      <w:numFmt w:val="lowerRoman"/>
      <w:start w:val="7"/>
    </w:lvl>
  </w:abstractNum>
  <w:abstractNum w:abstractNumId="558">
    <w:nsid w:val="1FA33267"/>
    <w:multiLevelType w:val="hybridMultilevel"/>
    <w:lvl w:ilvl="0">
      <w:lvlJc w:val="left"/>
      <w:lvlText w:val="(%1)"/>
      <w:numFmt w:val="decimal"/>
      <w:start w:val="17"/>
    </w:lvl>
    <w:lvl w:ilvl="1">
      <w:lvlJc w:val="left"/>
      <w:lvlText w:val="%2"/>
      <w:numFmt w:val="lowerRoman"/>
      <w:start w:val="1"/>
    </w:lvl>
  </w:abstractNum>
  <w:abstractNum w:abstractNumId="559">
    <w:nsid w:val="2E19DD00"/>
    <w:multiLevelType w:val="hybridMultilevel"/>
    <w:lvl w:ilvl="0">
      <w:lvlJc w:val="left"/>
      <w:lvlText w:val="*"/>
      <w:numFmt w:val="bullet"/>
      <w:start w:val="1"/>
    </w:lvl>
  </w:abstractNum>
  <w:abstractNum w:abstractNumId="560">
    <w:nsid w:val="756D30D0"/>
    <w:multiLevelType w:val="hybridMultilevel"/>
    <w:lvl w:ilvl="0">
      <w:lvlJc w:val="left"/>
      <w:lvlText w:val="(%1)"/>
      <w:numFmt w:val="decimal"/>
      <w:start w:val="1"/>
    </w:lvl>
  </w:abstractNum>
  <w:abstractNum w:abstractNumId="561">
    <w:nsid w:val="505E5E01"/>
    <w:multiLevelType w:val="hybridMultilevel"/>
    <w:lvl w:ilvl="0">
      <w:lvlJc w:val="left"/>
      <w:lvlText w:val="(%1)"/>
      <w:numFmt w:val="decimal"/>
      <w:start w:val="9"/>
    </w:lvl>
  </w:abstractNum>
  <w:abstractNum w:abstractNumId="562">
    <w:nsid w:val="2EFDBCE6"/>
    <w:multiLevelType w:val="hybridMultilevel"/>
    <w:lvl w:ilvl="0">
      <w:lvlJc w:val="left"/>
      <w:lvlText w:val="*"/>
      <w:numFmt w:val="bullet"/>
      <w:start w:val="1"/>
    </w:lvl>
  </w:abstractNum>
  <w:abstractNum w:abstractNumId="563">
    <w:nsid w:val="4EC868C4"/>
    <w:multiLevelType w:val="hybridMultilevel"/>
    <w:lvl w:ilvl="0">
      <w:lvlJc w:val="left"/>
      <w:lvlText w:val="%1."/>
      <w:numFmt w:val="upperLetter"/>
      <w:start w:val="1"/>
    </w:lvl>
  </w:abstractNum>
  <w:abstractNum w:abstractNumId="564">
    <w:nsid w:val="4239DC03"/>
    <w:multiLevelType w:val="hybridMultilevel"/>
    <w:lvl w:ilvl="0">
      <w:lvlJc w:val="left"/>
      <w:lvlText w:val="%1."/>
      <w:numFmt w:val="upperLetter"/>
      <w:start w:val="1"/>
    </w:lvl>
  </w:abstractNum>
  <w:abstractNum w:abstractNumId="565">
    <w:nsid w:val="307C7DAA"/>
    <w:multiLevelType w:val="hybridMultilevel"/>
    <w:lvl w:ilvl="0">
      <w:lvlJc w:val="left"/>
      <w:lvlText w:val="%1."/>
      <w:numFmt w:val="upperLetter"/>
      <w:start w:val="1"/>
    </w:lvl>
  </w:abstractNum>
  <w:abstractNum w:abstractNumId="566">
    <w:nsid w:val="403C23E6"/>
    <w:multiLevelType w:val="hybridMultilevel"/>
    <w:lvl w:ilvl="0">
      <w:lvlJc w:val="left"/>
      <w:lvlText w:val="%1."/>
      <w:numFmt w:val="upperLetter"/>
      <w:start w:val="1"/>
    </w:lvl>
  </w:abstractNum>
  <w:abstractNum w:abstractNumId="567">
    <w:nsid w:val="58D7F9D7"/>
    <w:multiLevelType w:val="hybridMultilevel"/>
    <w:lvl w:ilvl="0">
      <w:lvlJc w:val="left"/>
      <w:lvlText w:val="%1."/>
      <w:numFmt w:val="upperLetter"/>
      <w:start w:val="1"/>
    </w:lvl>
  </w:abstractNum>
  <w:abstractNum w:abstractNumId="568">
    <w:nsid w:val="24DBF76"/>
    <w:multiLevelType w:val="hybridMultilevel"/>
    <w:lvl w:ilvl="0">
      <w:lvlJc w:val="left"/>
      <w:lvlText w:val="(%1)"/>
      <w:numFmt w:val="lowerLetter"/>
      <w:start w:val="1"/>
    </w:lvl>
  </w:abstractNum>
  <w:abstractNum w:abstractNumId="569">
    <w:nsid w:val="53355960"/>
    <w:multiLevelType w:val="hybridMultilevel"/>
    <w:lvl w:ilvl="0">
      <w:lvlJc w:val="left"/>
      <w:lvlText w:val="(%1)"/>
      <w:numFmt w:val="lowerLetter"/>
      <w:start w:val="1"/>
    </w:lvl>
  </w:abstractNum>
  <w:abstractNum w:abstractNumId="570">
    <w:nsid w:val="4F4AC8FF"/>
    <w:multiLevelType w:val="hybridMultilevel"/>
    <w:lvl w:ilvl="0">
      <w:lvlJc w:val="left"/>
      <w:lvlText w:val="(%1)"/>
      <w:numFmt w:val="upperLetter"/>
      <w:start w:val="2"/>
    </w:lvl>
  </w:abstractNum>
  <w:abstractNum w:abstractNumId="571">
    <w:nsid w:val="58CAE6D9"/>
    <w:multiLevelType w:val="hybridMultilevel"/>
    <w:lvl w:ilvl="0">
      <w:lvlJc w:val="left"/>
      <w:lvlText w:val="(%1)"/>
      <w:numFmt w:val="lowerLetter"/>
      <w:start w:val="1"/>
    </w:lvl>
  </w:abstractNum>
  <w:abstractNum w:abstractNumId="572">
    <w:nsid w:val="42933C4F"/>
    <w:multiLevelType w:val="hybridMultilevel"/>
    <w:lvl w:ilvl="0">
      <w:lvlJc w:val="left"/>
      <w:lvlText w:val="(%1)"/>
      <w:numFmt w:val="lowerLetter"/>
      <w:start w:val="3"/>
    </w:lvl>
  </w:abstractNum>
  <w:abstractNum w:abstractNumId="573">
    <w:nsid w:val="729AF360"/>
    <w:multiLevelType w:val="hybridMultilevel"/>
    <w:lvl w:ilvl="0">
      <w:lvlJc w:val="left"/>
      <w:lvlText w:val="(%1)"/>
      <w:numFmt w:val="lowerLetter"/>
      <w:start w:val="1"/>
    </w:lvl>
  </w:abstractNum>
  <w:abstractNum w:abstractNumId="574">
    <w:nsid w:val="1EE6AF0D"/>
    <w:multiLevelType w:val="hybridMultilevel"/>
    <w:lvl w:ilvl="0">
      <w:lvlJc w:val="left"/>
      <w:lvlText w:val="(%1)"/>
      <w:numFmt w:val="lowerLetter"/>
      <w:start w:val="1"/>
    </w:lvl>
  </w:abstractNum>
  <w:abstractNum w:abstractNumId="575">
    <w:nsid w:val="5670E3ED"/>
    <w:multiLevelType w:val="hybridMultilevel"/>
    <w:lvl w:ilvl="0">
      <w:lvlJc w:val="left"/>
      <w:lvlText w:val="(%1)"/>
      <w:numFmt w:val="lowerLetter"/>
      <w:start w:val="1"/>
    </w:lvl>
  </w:abstractNum>
  <w:abstractNum w:abstractNumId="576">
    <w:nsid w:val="5CAB38C6"/>
    <w:multiLevelType w:val="hybridMultilevel"/>
    <w:lvl w:ilvl="0">
      <w:lvlJc w:val="left"/>
      <w:lvlText w:val="%1."/>
      <w:numFmt w:val="decimal"/>
      <w:start w:val="1"/>
    </w:lvl>
    <w:lvl w:ilvl="1">
      <w:lvlJc w:val="left"/>
      <w:lvlText w:val="(%2)"/>
      <w:numFmt w:val="lowerLetter"/>
      <w:start w:val="1"/>
    </w:lvl>
  </w:abstractNum>
  <w:abstractNum w:abstractNumId="577">
    <w:nsid w:val="3B7139DD"/>
    <w:multiLevelType w:val="hybridMultilevel"/>
    <w:lvl w:ilvl="0">
      <w:lvlJc w:val="left"/>
      <w:lvlText w:val="%1."/>
      <w:numFmt w:val="decimal"/>
      <w:start w:val="5"/>
    </w:lvl>
    <w:lvl w:ilvl="1">
      <w:lvlJc w:val="left"/>
      <w:lvlText w:val="(%2)"/>
      <w:numFmt w:val="lowerLetter"/>
      <w:start w:val="1"/>
    </w:lvl>
  </w:abstractNum>
  <w:abstractNum w:abstractNumId="578">
    <w:nsid w:val="64E4C3CD"/>
    <w:multiLevelType w:val="hybridMultilevel"/>
    <w:lvl w:ilvl="0">
      <w:lvlJc w:val="left"/>
      <w:lvlText w:val="%1."/>
      <w:numFmt w:val="decimal"/>
      <w:start w:val="1"/>
    </w:lvl>
    <w:lvl w:ilvl="1">
      <w:lvlJc w:val="left"/>
      <w:lvlText w:val="(%2)"/>
      <w:numFmt w:val="lowerLetter"/>
      <w:start w:val="1"/>
    </w:lvl>
  </w:abstractNum>
  <w:abstractNum w:abstractNumId="579">
    <w:nsid w:val="169CAD8D"/>
    <w:multiLevelType w:val="hybridMultilevel"/>
    <w:lvl w:ilvl="0">
      <w:lvlJc w:val="left"/>
      <w:lvlText w:val="%1."/>
      <w:numFmt w:val="decimal"/>
      <w:start w:val="5"/>
    </w:lvl>
    <w:lvl w:ilvl="1">
      <w:lvlJc w:val="left"/>
      <w:lvlText w:val="(%2)"/>
      <w:numFmt w:val="lowerLetter"/>
      <w:start w:val="1"/>
    </w:lvl>
  </w:abstractNum>
  <w:abstractNum w:abstractNumId="580">
    <w:nsid w:val="299F6730"/>
    <w:multiLevelType w:val="hybridMultilevel"/>
    <w:lvl w:ilvl="0">
      <w:lvlJc w:val="left"/>
      <w:lvlText w:val="%1."/>
      <w:numFmt w:val="decimal"/>
      <w:start w:val="1"/>
    </w:lvl>
  </w:abstractNum>
  <w:abstractNum w:abstractNumId="581">
    <w:nsid w:val="2AC107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2019-12-07T05:54:26Z</dcterms:created>
  <dcterms:modified xsi:type="dcterms:W3CDTF">2019-12-07T05:54:26Z</dcterms:modified>
</cp:coreProperties>
</file>