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388"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4575175</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+30 210 458 4950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Gerasimos (Jerry) Kalogiratos, j.kalogiratos@capitalmaritime.com</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Email of company contact person)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70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Common units representing limited</w:t>
            </w: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partnership interests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127,246,692 Common Units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2,439,989 General Partner Units</w:t>
      </w:r>
    </w:p>
    <w:p>
      <w:pPr>
        <w:sectPr>
          <w:pgSz w:w="11900" w:h="16875" w:orient="portrait"/>
          <w:cols w:equalWidth="0" w:num="1">
            <w:col w:w="11380"/>
          </w:cols>
          <w:pgMar w:left="240" w:top="230" w:right="27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12,983,333 Class B Convertible Preferred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4760"/>
        <w:spacing w:after="0" w:line="207" w:lineRule="exact"/>
        <w:tabs>
          <w:tab w:leader="none" w:pos="60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4760"/>
        <w:spacing w:after="0" w:line="207" w:lineRule="exact"/>
        <w:tabs>
          <w:tab w:leader="none" w:pos="60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760"/>
        <w:spacing w:after="0" w:line="207" w:lineRule="exact"/>
        <w:tabs>
          <w:tab w:leader="none" w:pos="60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ind w:left="4760"/>
        <w:spacing w:after="0" w:line="207" w:lineRule="exact"/>
        <w:tabs>
          <w:tab w:leader="none" w:pos="60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 See definitions of “accelerated filer,” “large accelerated filer,” and “emerging growth company” in Rule 12b-2 of the Exchange Act. (Check one):</w:t>
      </w:r>
    </w:p>
    <w:p>
      <w:pPr>
        <w:spacing w:after="0" w:line="91" w:lineRule="exact"/>
        <w:rPr>
          <w:sz w:val="20"/>
          <w:szCs w:val="20"/>
          <w:color w:val="auto"/>
        </w:rPr>
      </w:pPr>
    </w:p>
    <w:p>
      <w:pPr>
        <w:jc w:val="center"/>
        <w:ind w:right="-19"/>
        <w:spacing w:after="0" w:line="207" w:lineRule="exact"/>
        <w:tabs>
          <w:tab w:leader="none" w:pos="340" w:val="left"/>
          <w:tab w:leader="none" w:pos="340" w:val="left"/>
          <w:tab w:leader="none" w:pos="34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ind w:right="1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ind w:right="62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p>
    <w:p>
      <w:pPr>
        <w:spacing w:after="0" w:line="499" w:lineRule="exact"/>
        <w:rPr>
          <w:sz w:val="20"/>
          <w:szCs w:val="20"/>
          <w:color w:val="auto"/>
        </w:rPr>
      </w:pPr>
    </w:p>
    <w:p>
      <w:pPr>
        <w:sectPr>
          <w:pgSz w:w="11900" w:h="16838" w:orient="portrait"/>
          <w:cols w:equalWidth="0" w:num="5">
            <w:col w:w="1800" w:space="80"/>
            <w:col w:w="160" w:space="400"/>
            <w:col w:w="4160" w:space="100"/>
            <w:col w:w="2380" w:space="720"/>
            <w:col w:w="1620"/>
          </w:cols>
          <w:pgMar w:left="240" w:top="121" w:right="239" w:bottom="1440" w:gutter="0" w:footer="0" w:header="0"/>
          <w:type w:val="continuous"/>
        </w:sectPr>
      </w:pPr>
    </w:p>
    <w:p>
      <w:pPr>
        <w:jc w:val="center"/>
        <w:ind w:right="80"/>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statements item the registrant has elected to follow.</w:t>
      </w:r>
    </w:p>
    <w:p>
      <w:pPr>
        <w:spacing w:after="0" w:line="216" w:lineRule="exact"/>
        <w:rPr>
          <w:sz w:val="20"/>
          <w:szCs w:val="20"/>
          <w:color w:val="auto"/>
        </w:rPr>
      </w:pPr>
    </w:p>
    <w:p>
      <w:pPr>
        <w:ind w:left="4380"/>
        <w:spacing w:after="0" w:line="207" w:lineRule="exact"/>
        <w:tabs>
          <w:tab w:leader="none" w:pos="608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ITEM 18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4760"/>
        <w:spacing w:after="0" w:line="207" w:lineRule="exact"/>
        <w:tabs>
          <w:tab w:leader="none" w:pos="60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3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jc w:val="center"/>
              <w:ind w:right="1820"/>
              <w:spacing w:after="0"/>
              <w:rPr>
                <w:sz w:val="20"/>
                <w:szCs w:val="20"/>
                <w:color w:val="auto"/>
              </w:rPr>
            </w:pPr>
            <w:r>
              <w:rPr>
                <w:rFonts w:ascii="Arial" w:cs="Arial" w:eastAsia="Arial" w:hAnsi="Arial"/>
                <w:sz w:val="18"/>
                <w:szCs w:val="18"/>
                <w:b w:val="1"/>
                <w:bCs w:val="1"/>
                <w:color w:val="auto"/>
                <w:w w:val="98"/>
              </w:rPr>
              <w:t>CAPITAL PRODUCT PARTNERS L.P.</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auto"/>
                <w:w w:val="98"/>
              </w:rPr>
              <w:t>TABLE OF CONTENTS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00" w:type="dxa"/>
            <w:vAlign w:val="bottom"/>
            <w:vMerge w:val="restart"/>
          </w:tcPr>
          <w:p>
            <w:pPr>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PART I</w:t>
              </w:r>
            </w:hyperlink>
          </w:p>
        </w:tc>
        <w:tc>
          <w:tcPr>
            <w:tcW w:w="600" w:type="dxa"/>
            <w:vAlign w:val="bottom"/>
            <w:gridSpan w:val="4"/>
            <w:vMerge w:val="restart"/>
          </w:tcPr>
          <w:p>
            <w:pPr>
              <w:spacing w:after="0"/>
              <w:rPr>
                <w:sz w:val="24"/>
                <w:szCs w:val="24"/>
                <w:color w:val="auto"/>
              </w:rPr>
            </w:pPr>
          </w:p>
        </w:tc>
        <w:tc>
          <w:tcPr>
            <w:tcW w:w="798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 Looking Statements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1"/>
        </w:trPr>
        <w:tc>
          <w:tcPr>
            <w:tcW w:w="600" w:type="dxa"/>
            <w:vAlign w:val="bottom"/>
            <w:tcBorders>
              <w:bottom w:val="single" w:sz="8" w:color="0000EE"/>
            </w:tcBorders>
            <w:vMerge w:val="continue"/>
          </w:tcPr>
          <w:p>
            <w:pPr>
              <w:spacing w:after="0"/>
              <w:rPr>
                <w:sz w:val="17"/>
                <w:szCs w:val="17"/>
                <w:color w:val="auto"/>
              </w:rPr>
            </w:pPr>
          </w:p>
        </w:tc>
        <w:tc>
          <w:tcPr>
            <w:tcW w:w="600" w:type="dxa"/>
            <w:vAlign w:val="bottom"/>
            <w:gridSpan w:val="4"/>
            <w:vMerge w:val="continue"/>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402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Identity of Directors, Senior Management and Advisors</w:t>
              </w:r>
            </w:hyperlink>
          </w:p>
        </w:tc>
        <w:tc>
          <w:tcPr>
            <w:tcW w:w="3960" w:type="dxa"/>
            <w:vAlign w:val="bottom"/>
            <w:gridSpan w:val="5"/>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Offer Statistics and Expected Timetable</w:t>
              </w:r>
            </w:hyperlink>
          </w:p>
        </w:tc>
        <w:tc>
          <w:tcPr>
            <w:tcW w:w="5100" w:type="dxa"/>
            <w:vAlign w:val="bottom"/>
            <w:gridSpan w:val="11"/>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7980" w:type="dxa"/>
            <w:vAlign w:val="bottom"/>
            <w:gridSpan w:val="2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Key Information</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Information on the Partnership</w:t>
              </w:r>
            </w:hyperlink>
          </w:p>
        </w:tc>
        <w:tc>
          <w:tcPr>
            <w:tcW w:w="576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4A.</w:t>
            </w:r>
          </w:p>
        </w:tc>
        <w:tc>
          <w:tcPr>
            <w:tcW w:w="7980" w:type="dxa"/>
            <w:vAlign w:val="bottom"/>
            <w:gridSpan w:val="2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Unresolved Staff Comments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Operating and Financial Review and Prospects</w:t>
              </w:r>
            </w:hyperlink>
          </w:p>
        </w:tc>
        <w:tc>
          <w:tcPr>
            <w:tcW w:w="4600" w:type="dxa"/>
            <w:vAlign w:val="bottom"/>
            <w:gridSpan w:val="9"/>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7980" w:type="dxa"/>
            <w:vAlign w:val="bottom"/>
            <w:gridSpan w:val="27"/>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Directors, Senior Management and Employees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7980" w:type="dxa"/>
            <w:vAlign w:val="bottom"/>
            <w:gridSpan w:val="27"/>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Major Unitholders and Related-Party Transactions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Financial Information</w:t>
              </w:r>
            </w:hyperlink>
          </w:p>
        </w:tc>
        <w:tc>
          <w:tcPr>
            <w:tcW w:w="2040" w:type="dxa"/>
            <w:vAlign w:val="bottom"/>
            <w:tcBorders>
              <w:top w:val="single" w:sz="8" w:color="0000EE"/>
            </w:tcBorders>
            <w:gridSpan w:val="13"/>
          </w:tcPr>
          <w:p>
            <w:pPr>
              <w:spacing w:after="0"/>
              <w:rPr>
                <w:sz w:val="17"/>
                <w:szCs w:val="17"/>
                <w:color w:val="auto"/>
              </w:rPr>
            </w:pPr>
          </w:p>
        </w:tc>
        <w:tc>
          <w:tcPr>
            <w:tcW w:w="4360" w:type="dxa"/>
            <w:vAlign w:val="bottom"/>
            <w:gridSpan w:val="7"/>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7980" w:type="dxa"/>
            <w:vAlign w:val="bottom"/>
            <w:gridSpan w:val="2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The Offer and Listing</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Additional Information</w:t>
              </w:r>
            </w:hyperlink>
          </w:p>
        </w:tc>
        <w:tc>
          <w:tcPr>
            <w:tcW w:w="6300" w:type="dxa"/>
            <w:vAlign w:val="bottom"/>
            <w:gridSpan w:val="18"/>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7980" w:type="dxa"/>
            <w:vAlign w:val="bottom"/>
            <w:gridSpan w:val="2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Quantitative and Qualitative Disclosures about Market Risk</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4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Description of Securities Other than Equity Securities</w:t>
              </w:r>
            </w:hyperlink>
          </w:p>
        </w:tc>
        <w:tc>
          <w:tcPr>
            <w:tcW w:w="36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04"/>
        </w:trPr>
        <w:tc>
          <w:tcPr>
            <w:tcW w:w="1200" w:type="dxa"/>
            <w:vAlign w:val="bottom"/>
            <w:gridSpan w:val="5"/>
          </w:tcPr>
          <w:p>
            <w:pPr>
              <w:spacing w:after="0"/>
              <w:rPr>
                <w:rFonts w:ascii="Arial" w:cs="Arial" w:eastAsia="Arial" w:hAnsi="Arial"/>
                <w:sz w:val="18"/>
                <w:szCs w:val="18"/>
                <w:b w:val="1"/>
                <w:bCs w:val="1"/>
                <w:color w:val="0000EE"/>
              </w:rPr>
            </w:pPr>
            <w:hyperlink w:anchor="page148">
              <w:r>
                <w:rPr>
                  <w:rFonts w:ascii="Arial" w:cs="Arial" w:eastAsia="Arial" w:hAnsi="Arial"/>
                  <w:sz w:val="18"/>
                  <w:szCs w:val="18"/>
                  <w:b w:val="1"/>
                  <w:bCs w:val="1"/>
                  <w:color w:val="0000EE"/>
                </w:rPr>
                <w:t>PART II</w:t>
              </w:r>
            </w:hyperlink>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8"/>
              </w:rPr>
              <w:t>Item 13.</w:t>
            </w:r>
          </w:p>
        </w:tc>
        <w:tc>
          <w:tcPr>
            <w:tcW w:w="540" w:type="dxa"/>
            <w:vAlign w:val="bottom"/>
            <w:gridSpan w:val="3"/>
          </w:tcPr>
          <w:p>
            <w:pPr>
              <w:spacing w:after="0"/>
              <w:rPr>
                <w:sz w:val="24"/>
                <w:szCs w:val="24"/>
                <w:color w:val="auto"/>
              </w:rPr>
            </w:pPr>
          </w:p>
        </w:tc>
        <w:tc>
          <w:tcPr>
            <w:tcW w:w="7980" w:type="dxa"/>
            <w:vAlign w:val="bottom"/>
            <w:gridSpan w:val="27"/>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Defaults, Dividend Arrearages and Delinquencies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7980" w:type="dxa"/>
            <w:vAlign w:val="bottom"/>
            <w:gridSpan w:val="2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Material Modifications to the Rights of Security Holders and Use of Proceeds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56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Controls and Procedures</w:t>
              </w:r>
            </w:hyperlink>
          </w:p>
        </w:tc>
        <w:tc>
          <w:tcPr>
            <w:tcW w:w="238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16A.</w:t>
            </w:r>
          </w:p>
        </w:tc>
        <w:tc>
          <w:tcPr>
            <w:tcW w:w="25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Audit Committee Financial Expert</w:t>
              </w:r>
            </w:hyperlink>
          </w:p>
        </w:tc>
        <w:tc>
          <w:tcPr>
            <w:tcW w:w="5480" w:type="dxa"/>
            <w:vAlign w:val="bottom"/>
            <w:gridSpan w:val="1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16B.</w:t>
            </w:r>
          </w:p>
        </w:tc>
        <w:tc>
          <w:tcPr>
            <w:tcW w:w="7980" w:type="dxa"/>
            <w:vAlign w:val="bottom"/>
            <w:gridSpan w:val="2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Code of Ethics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Principal Accountant Fees and Services</w:t>
              </w:r>
            </w:hyperlink>
          </w:p>
        </w:tc>
        <w:tc>
          <w:tcPr>
            <w:tcW w:w="5120" w:type="dxa"/>
            <w:vAlign w:val="bottom"/>
            <w:gridSpan w:val="1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16D.</w:t>
            </w:r>
          </w:p>
        </w:tc>
        <w:tc>
          <w:tcPr>
            <w:tcW w:w="446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Exemptions from the Listing Standards for Audit Committees</w:t>
              </w:r>
            </w:hyperlink>
          </w:p>
        </w:tc>
        <w:tc>
          <w:tcPr>
            <w:tcW w:w="352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16E.</w:t>
            </w:r>
          </w:p>
        </w:tc>
        <w:tc>
          <w:tcPr>
            <w:tcW w:w="7980" w:type="dxa"/>
            <w:vAlign w:val="bottom"/>
            <w:gridSpan w:val="2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Purchases of Equity Securities by the Issuer and Affiliated Purchasers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16F.</w:t>
            </w:r>
          </w:p>
        </w:tc>
        <w:tc>
          <w:tcPr>
            <w:tcW w:w="3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152">
              <w:r>
                <w:rPr>
                  <w:rFonts w:ascii="Arial" w:cs="Arial" w:eastAsia="Arial" w:hAnsi="Arial"/>
                  <w:sz w:val="18"/>
                  <w:szCs w:val="18"/>
                  <w:color w:val="0000EE"/>
                  <w:w w:val="92"/>
                </w:rPr>
                <w:t>Change in Registrant’s Certifying Accountant</w:t>
              </w:r>
            </w:hyperlink>
          </w:p>
        </w:tc>
        <w:tc>
          <w:tcPr>
            <w:tcW w:w="1660" w:type="dxa"/>
            <w:vAlign w:val="bottom"/>
            <w:tcBorders>
              <w:top w:val="single" w:sz="8" w:color="0000EE"/>
            </w:tcBorders>
            <w:gridSpan w:val="8"/>
          </w:tcPr>
          <w:p>
            <w:pPr>
              <w:spacing w:after="0"/>
              <w:rPr>
                <w:sz w:val="17"/>
                <w:szCs w:val="17"/>
                <w:color w:val="auto"/>
              </w:rPr>
            </w:pPr>
          </w:p>
        </w:tc>
        <w:tc>
          <w:tcPr>
            <w:tcW w:w="296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16G.</w:t>
            </w:r>
          </w:p>
        </w:tc>
        <w:tc>
          <w:tcPr>
            <w:tcW w:w="7980" w:type="dxa"/>
            <w:vAlign w:val="bottom"/>
            <w:gridSpan w:val="2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Corporate Governance</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53">
              <w:r>
                <w:rPr>
                  <w:rFonts w:ascii="Arial" w:cs="Arial" w:eastAsia="Arial" w:hAnsi="Arial"/>
                  <w:sz w:val="18"/>
                  <w:szCs w:val="18"/>
                  <w:b w:val="1"/>
                  <w:bCs w:val="1"/>
                  <w:color w:val="0000EE"/>
                </w:rPr>
                <w:t>PART III</w:t>
              </w:r>
            </w:hyperlink>
          </w:p>
        </w:tc>
        <w:tc>
          <w:tcPr>
            <w:tcW w:w="2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gridSpan w:val="5"/>
          </w:tcPr>
          <w:p>
            <w:pPr>
              <w:spacing w:after="0"/>
              <w:rPr>
                <w:sz w:val="20"/>
                <w:szCs w:val="20"/>
                <w:color w:val="auto"/>
              </w:rPr>
            </w:pPr>
            <w:r>
              <w:rPr>
                <w:rFonts w:ascii="Arial" w:cs="Arial" w:eastAsia="Arial" w:hAnsi="Arial"/>
                <w:sz w:val="18"/>
                <w:szCs w:val="18"/>
                <w:color w:val="auto"/>
              </w:rPr>
              <w:t>Item 17.</w:t>
            </w:r>
          </w:p>
        </w:tc>
        <w:tc>
          <w:tcPr>
            <w:tcW w:w="1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53">
              <w:r>
                <w:rPr>
                  <w:rFonts w:ascii="Arial" w:cs="Arial" w:eastAsia="Arial" w:hAnsi="Arial"/>
                  <w:sz w:val="18"/>
                  <w:szCs w:val="18"/>
                  <w:color w:val="0000EE"/>
                  <w:w w:val="90"/>
                </w:rPr>
                <w:t>Financial Statements</w:t>
              </w:r>
            </w:hyperlink>
          </w:p>
        </w:tc>
        <w:tc>
          <w:tcPr>
            <w:tcW w:w="6420" w:type="dxa"/>
            <w:vAlign w:val="bottom"/>
            <w:gridSpan w:val="21"/>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18.</w:t>
            </w:r>
          </w:p>
        </w:tc>
        <w:tc>
          <w:tcPr>
            <w:tcW w:w="7980" w:type="dxa"/>
            <w:vAlign w:val="bottom"/>
            <w:gridSpan w:val="2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Financial Statements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19.</w:t>
            </w:r>
          </w:p>
        </w:tc>
        <w:tc>
          <w:tcPr>
            <w:tcW w:w="1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Exhibits</w:t>
              </w:r>
            </w:hyperlink>
          </w:p>
        </w:tc>
        <w:tc>
          <w:tcPr>
            <w:tcW w:w="6480" w:type="dxa"/>
            <w:vAlign w:val="bottom"/>
            <w:gridSpan w:val="2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304"/>
        </w:trPr>
        <w:tc>
          <w:tcPr>
            <w:tcW w:w="1200" w:type="dxa"/>
            <w:vAlign w:val="bottom"/>
            <w:gridSpan w:val="5"/>
          </w:tcPr>
          <w:p>
            <w:pPr>
              <w:spacing w:after="0"/>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Signatures</w:t>
              </w:r>
            </w:hyperlink>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385"/>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20" w:type="dxa"/>
            <w:vAlign w:val="bottom"/>
            <w:gridSpan w:val="25"/>
          </w:tcPr>
          <w:p>
            <w:pPr>
              <w:jc w:val="center"/>
              <w:ind w:left="3910"/>
              <w:spacing w:after="0"/>
              <w:rPr>
                <w:sz w:val="20"/>
                <w:szCs w:val="20"/>
                <w:color w:val="auto"/>
              </w:rPr>
            </w:pPr>
            <w:r>
              <w:rPr>
                <w:rFonts w:ascii="Arial" w:cs="Arial" w:eastAsia="Arial" w:hAnsi="Arial"/>
                <w:sz w:val="18"/>
                <w:szCs w:val="18"/>
                <w:color w:val="auto"/>
                <w:w w:val="99"/>
              </w:rPr>
              <w:t>2</w:t>
            </w: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i w:val="1"/>
          <w:iCs w:val="1"/>
          <w:color w:val="auto"/>
        </w:rPr>
        <w:t>This annual report on Form 20-F (this “Annual Report”) should be read in conjunction with our audited consolidated financial statements and accompanying notes included herein. In this Annual Report, the “Partnership,” “CPLP,” “we,” “us” or “our” refer to Capital Product Partners L.P. and, unless the context otherwise requires, its consolidated subsidiaries; “Capital Maritime” or “CMTC” refer to Capital Maritime &amp; Trading Corp., our sponsor; “General Partner” refers to Capital GP L.L.C., our general partner; and “Capital Ship Management” or the “Manager” refer to Capital Ship Management Corp., a subsidiary of Capital Maritime and our manager.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disclosure and analysis in this Annual Report concerning our business, operations, cash flows, and financial position, including, among other things,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flows, working capital and capital expenditures, they are subject to risks and uncertainties that are described more fully in this Annual Report in “Item 3.D: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85" w:lineRule="exact"/>
        <w:rPr>
          <w:sz w:val="20"/>
          <w:szCs w:val="20"/>
          <w:color w:val="auto"/>
        </w:rPr>
      </w:pPr>
    </w:p>
    <w:p>
      <w:pPr>
        <w:ind w:left="460" w:right="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our ability to make distributions on our common units and our Class B Convertible Preferred Units (the “Class B Units,”) which rank senior to our common units and receive distributions prior to any distributions on our common units;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increase our cash available for distribution over time;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outlook and growth;</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shipping conditions and fundamentals, including the balance of supply and demand in the tanker, drybulk and container markets in which we operate, as well as trends and conditions in the newbuilding markets and scrapping of older vessels;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or decreases in domestic or worldwide oil consumption;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or decreases in seaborne transportation of containerized goods;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supply of, and demand for, refined products and crude oil;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refined product and crude oil prices and production;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operate in various new markets, including the tanker, drybulk and container carrier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tanker, drybulk and container carrier industry trends, including charter rates and factors affecting the chartering of vessels;</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financial condition or results of operations and our future revenues and expenses, including revenues from any profit sharing arrangements, and required levels of reserves;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levels of operating surplus, reserves and levels of distributions, as well as our future cash distribution policy;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charter hire rates and vessel values;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values of our vessels and the potential for any asset impairments;</w:t>
      </w:r>
    </w:p>
    <w:p>
      <w:pPr>
        <w:spacing w:after="0" w:line="13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future acquisitions of vessels from Capital Maritime and from third parties, including any of the five Samsung eco medium range product tankers in respect of which we have a right of first refusal;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future chartering arrangements with Capital Maritime and third parties;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secure employment for our vessels that come off their current charters;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leverage to our advantage Capital Maritime’s relationships and reputation in the shipping industry;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successfully for future chartering and newbuilding opportunities;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business and growth strategies and other plans and objectives for future operations;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access debt, credit and equity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availability and costs of funding due to conditions in the bank market, capital markets and other factors;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service, refinance or repay our debt under the current terms of our credit facilities and settle any hedging arrangements we may have;</w:t>
      </w:r>
    </w:p>
    <w:p>
      <w:pPr>
        <w:spacing w:after="0" w:line="153"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charterers to meet their obligations under the terms of our charter agreements, including the timely payment of the hire or freight rates under the agreements;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financial condition, viability and sustainability of our charterers, including their ability to obtain liquidity and access the capital markets;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interest rates and any interest rate hedging practices in which we may engage;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amortization payments and repayment of debt and settling of interest rate swaps we may make, if 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130"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refined product importers and exporters, major crude oil companies and major commodity traders, operators and liner companies;</w:t>
      </w:r>
    </w:p>
    <w:p>
      <w:pPr>
        <w:spacing w:after="0" w:line="75"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Manager to qualify for short- and long-term charter business with oil major charterers and oil traders and major commodity traders, drybulk operators and liner companies;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maximize the use of our vessels, including the redeployment or disposition of vessels no longer under long-term time charter;</w:t>
      </w:r>
    </w:p>
    <w:p>
      <w:pPr>
        <w:spacing w:after="0" w:line="142" w:lineRule="exact"/>
        <w:rPr>
          <w:rFonts w:ascii="Arial" w:cs="Arial" w:eastAsia="Arial" w:hAnsi="Arial"/>
          <w:sz w:val="17"/>
          <w:szCs w:val="17"/>
          <w:color w:val="auto"/>
        </w:rPr>
      </w:pPr>
    </w:p>
    <w:p>
      <w:pPr>
        <w:ind w:left="460" w:right="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continued ability to enter into long-term, fixed-rate time charters with our charterers and to re-charter our vessels as their existing charters expire at attractive rates;</w:t>
      </w:r>
    </w:p>
    <w:p>
      <w:pPr>
        <w:spacing w:after="0" w:line="75"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changes to the regulatory requirements applicable to the shipping and oil transportation industry, including, without limitation, stricter requirements adopted by international organizations, such as the International Maritime Organization (also referred to as the IMO), a United Nations agency that issues international trade standards for shipping, and the European Union, or by individual countries or charterers and actions taken by regulatory authorities overseeing such areas as safety and environmental compliance;</w:t>
      </w:r>
    </w:p>
    <w:p>
      <w:pPr>
        <w:spacing w:after="0" w:line="92"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including with new environmental regulations and standards being introduced, as well as with standard regulations imposed by our charterers applicable to our business;</w:t>
      </w:r>
    </w:p>
    <w:p>
      <w:pPr>
        <w:spacing w:after="0" w:line="2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heightened regulations and the actions of regulators and other government authorities, including anti-corruption laws and regulations, as well as sanctions and other governmental actions;</w:t>
      </w:r>
    </w:p>
    <w:p>
      <w:pPr>
        <w:spacing w:after="0" w:line="75"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anticipated general and administrative expenses and our costs and expenses under the management agreements and the administrative services agreement with our Manager, and for reimbursement for fees and costs of our General Partner;</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costs and expenses, including but not limited to crew wages, insurance, provisions, spares, port expenses, lubricating oil, bunkers, repairs, maintenance and general and administrative expenses;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our insurance arrangements and our ability to obtain insurance and required certifications;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operating expenses of the floating fee structure under which most of our vessels are managed;</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increases in costs and expenses under our management agreements following expiration and/or renewal of such agreements in connection with certain of our vessels;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heightened environmental and quality concerns of insurance underwriters and charterers;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common and Class B unitholders;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estimated future maintenance and replacement capital expenditures;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demand in the shipping sectors in which we operate in general and the demand for our crude oil and product tankers, container and drybulk vessels in particular;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lifespan and condition of our vessels;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General Partner and Manager to employ and retain key employees;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General Partner’s and Manager’s track records, and past and future performance, in safety, environmental and regulatory matters;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and costs due to environmental, safety and other incidents involving our vessels;</w:t>
      </w:r>
    </w:p>
    <w:p>
      <w:pPr>
        <w:spacing w:after="0" w:line="130"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increasing emphasis on environmental and safety concerns by charterers, governments and others, as well as changes in maritime regulations and standards;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financial flexibility to pursue acquisitions and other expansion opportunities;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funds for liquidity needs and the sufficiency of cash flows;</w:t>
      </w:r>
    </w:p>
    <w:p>
      <w:pPr>
        <w:spacing w:after="0" w:line="130"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and expected cost savings of the vessels we have acquired, or may acquire in the future from CMTC and from third parties and any new technologies incorporated into such vessels, at least some of which may be untested;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our units in the public market.</w:t>
      </w:r>
    </w:p>
    <w:p>
      <w:pPr>
        <w:spacing w:after="0" w:line="225"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“Item 3.D: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73"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31" w:lineRule="exact"/>
        <w:rPr>
          <w:sz w:val="20"/>
          <w:szCs w:val="20"/>
          <w:color w:val="auto"/>
        </w:rPr>
      </w:pPr>
    </w:p>
    <w:p>
      <w:pPr>
        <w:ind w:left="1920" w:hanging="440"/>
        <w:spacing w:after="0"/>
        <w:tabs>
          <w:tab w:leader="none" w:pos="1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We have derived the following selected historical financial data for the three years ended December 31, 2017, and as of December 31, 2017 and 2016, from our audited consolidated financial statements (the “Financial Statements,”) appearing elsewhere in this Annual Report. The historical financial data presented for the years ended December 31, 2014 and 2013 and as of December 31, 2015, 2014 and 2013 have been derived from audited financial statements not included in this Annual Report and are provided for comparison purposes only. Our historical results are not necessarily indicative of the results that may be expected in the future. Different factors affect our results of operations, including among others, the number of vessels in our fleet, prevailing charter rates, management and administrative services fees, as well as financing arrangements we enter into. Consequently, the below table should be read together with, and is qualified in its entirety by reference to, the Financial Statements and the accompanying notes included elsewhere in this Annual Report. The below table should also be read together with “Item 5A: Management’s Discussion and Analysis of Financial Condition and Results of Operations.”</w:t>
      </w:r>
    </w:p>
    <w:p>
      <w:pPr>
        <w:spacing w:after="0" w:line="19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(“U.S. GAAP”) as described in Note 2 (Significant Accounting Policies) to the Financial Statements included herein. All numbers are in thousands of U.S. Dollars, except numbers of units and earnings per unit.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760" w:type="dxa"/>
            <w:vAlign w:val="bottom"/>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7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7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Revenues</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$204,462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$205,594</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$156,613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$ 119,907</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$ 116,520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 – related party</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44,653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36,026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63,731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72,870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54,974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revenues</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249,115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241,620</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220,344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192,777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171,494</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Voyage expenses (1)</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15,165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9,920</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6,479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5,776</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expenses—related party (1)</w:t>
            </w:r>
          </w:p>
        </w:tc>
        <w:tc>
          <w:tcPr>
            <w:tcW w:w="2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Vessel operating expenses (2)</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74,516</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66,637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58,625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48,714</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38,284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expenses—related party (2)</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11,629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10,866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11,708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13,315</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17,039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6,234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6,253</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6,608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9,477</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vessels to third parties</w:t>
            </w:r>
          </w:p>
        </w:tc>
        <w:tc>
          <w:tcPr>
            <w:tcW w:w="2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Vessel depreciation and amortization</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73,993</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71,897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62,707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57,476</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52,208</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vessel</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3,282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184,819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165,933</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146,538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132,066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130,171</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64,296</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75,687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73,806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60,711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41,323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Gain from bargain purchase</w:t>
            </w:r>
          </w:p>
        </w:tc>
        <w:tc>
          <w:tcPr>
            <w:tcW w:w="27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42,256</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claim</w:t>
            </w:r>
          </w:p>
        </w:tc>
        <w:tc>
          <w:tcPr>
            <w:tcW w:w="2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31,356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expense and finance costs</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(26,605)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(24,302)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(20,143)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(19,225)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(15,991)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w:t>
            </w:r>
          </w:p>
        </w:tc>
        <w:tc>
          <w:tcPr>
            <w:tcW w:w="2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 income</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792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1,747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2,526</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533</w:t>
            </w:r>
          </w:p>
        </w:tc>
      </w:tr>
      <w:tr>
        <w:trPr>
          <w:trHeight w:val="350"/>
        </w:trPr>
        <w:tc>
          <w:tcPr>
            <w:tcW w:w="4440" w:type="dxa"/>
            <w:vAlign w:val="bottom"/>
          </w:tcPr>
          <w:p>
            <w:pPr>
              <w:spacing w:after="0"/>
              <w:rPr>
                <w:sz w:val="24"/>
                <w:szCs w:val="24"/>
                <w:color w:val="auto"/>
              </w:rPr>
            </w:pPr>
          </w:p>
        </w:tc>
        <w:tc>
          <w:tcPr>
            <w:tcW w:w="2720" w:type="dxa"/>
            <w:vAlign w:val="bottom"/>
          </w:tcPr>
          <w:p>
            <w:pPr>
              <w:jc w:val="right"/>
              <w:ind w:right="131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 ended December 31,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99,481</w:t>
            </w:r>
          </w:p>
        </w:tc>
        <w:tc>
          <w:tcPr>
            <w:tcW w:w="100" w:type="dxa"/>
            <w:vAlign w:val="bottom"/>
            <w:shd w:val="clear" w:color="auto" w:fill="CCEEFF"/>
          </w:tcPr>
          <w:p>
            <w:pPr>
              <w:spacing w:after="0"/>
              <w:rPr>
                <w:sz w:val="18"/>
                <w:szCs w:val="18"/>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Class B unit holders’ interest in our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11,101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11,334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14,042</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18,805</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our net income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w:t>
            </w: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Common unit holders’ interest in our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26,860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40,570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43,197</w:t>
            </w:r>
          </w:p>
        </w:tc>
        <w:tc>
          <w:tcPr>
            <w:tcW w:w="1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29,377</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79,078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limited partner per: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Common unit basic</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Common unit diluted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Weighted–average units outstanding basic</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123,845,345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119,803,329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115,030,879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93,353,168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75,645,207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Weighted–average units outstanding diluted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123,845,345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119,803,329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115,030,879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93,353,168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97,369,136</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Balance Sheet Data (at end of the year):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Fixed assets </w:t>
            </w:r>
            <w:r>
              <w:rPr>
                <w:rFonts w:ascii="Arial" w:cs="Arial" w:eastAsia="Arial" w:hAnsi="Arial"/>
                <w:sz w:val="15"/>
                <w:szCs w:val="15"/>
                <w:color w:val="auto"/>
              </w:rPr>
              <w:t>(3)(4)(7)(8)(10)(11)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1,265,196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1,367,731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1,186,711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1,176,819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5"/>
                <w:szCs w:val="15"/>
                <w:color w:val="auto"/>
              </w:rPr>
              <w:t>(3)(4)(7)(8)(10)(11)(12)(13)</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1,466,216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1,598,605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1,555,875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1,489,853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1,397,721</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long-term liabilities </w:t>
            </w:r>
            <w:r>
              <w:rPr>
                <w:rFonts w:ascii="Arial" w:cs="Arial" w:eastAsia="Arial" w:hAnsi="Arial"/>
                <w:sz w:val="15"/>
                <w:szCs w:val="15"/>
                <w:color w:val="auto"/>
              </w:rPr>
              <w:t>(3)(4)(7)(9)(10)(11)(13)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409,740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572,545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578,186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 xml:space="preserve">Total partners’ capital </w:t>
            </w:r>
            <w:r>
              <w:rPr>
                <w:rFonts w:ascii="Arial" w:cs="Arial" w:eastAsia="Arial" w:hAnsi="Arial"/>
                <w:sz w:val="15"/>
                <w:szCs w:val="15"/>
                <w:color w:val="auto"/>
              </w:rPr>
              <w:t>(3)(4)(5)(6)(8)(9)(11)(12)</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933,405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927,757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937,820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872,561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781,426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Number of units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142,670,014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137,517,955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135,832,778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120,427,778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109,128,388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127,246,692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122,094,633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120,409,456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104,079,960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88,440,710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12,983,333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12,983,333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12,983,333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14,223,737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18,922,221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General Partner units</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2,439,989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2,439,989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2,439,989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2,124,081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1,765,457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unit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Dividends declared per class B unit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126,974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155,086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125,277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129,576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(209,937)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(30,327)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(335,346)</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Net cash (used in) / provided by financing activities</w:t>
            </w: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(168,317)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(46,816)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5,277</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Voyage expenses primarily consist of commissions, port expenses, canal dues and bunkers.</w:t>
      </w:r>
    </w:p>
    <w:p>
      <w:pPr>
        <w:spacing w:after="0" w:line="23"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Vessel operating expenses consist of management fees payable to our Manager pursuant to the terms of our three separate management agreements and actual operating expenses such as crewing, repairs and maintenance, insurance, stores, spares, lubricants and other operating expenses incurred in respect of our vessels.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March 2013, we issued a total of 9,100,000 Class B Units to a group of investors, including Capital Maritime, and received net proceeds of</w:t>
      </w:r>
    </w:p>
    <w:p>
      <w:pPr>
        <w:spacing w:after="0" w:line="20" w:lineRule="exact"/>
        <w:rPr>
          <w:rFonts w:ascii="Arial" w:cs="Arial" w:eastAsia="Arial" w:hAnsi="Arial"/>
          <w:sz w:val="17"/>
          <w:szCs w:val="17"/>
          <w:color w:val="auto"/>
        </w:rPr>
      </w:pPr>
    </w:p>
    <w:p>
      <w:pPr>
        <w:ind w:left="460" w:right="340"/>
        <w:spacing w:after="0" w:line="281" w:lineRule="auto"/>
        <w:rPr>
          <w:rFonts w:ascii="Arial" w:cs="Arial" w:eastAsia="Arial" w:hAnsi="Arial"/>
          <w:sz w:val="17"/>
          <w:szCs w:val="17"/>
          <w:color w:val="auto"/>
        </w:rPr>
      </w:pPr>
      <w:r>
        <w:rPr>
          <w:rFonts w:ascii="Arial" w:cs="Arial" w:eastAsia="Arial" w:hAnsi="Arial"/>
          <w:sz w:val="16"/>
          <w:szCs w:val="16"/>
          <w:color w:val="auto"/>
        </w:rPr>
        <w:t>$72.6 million, which, together with a $54.0 million drawdown under our former $350.0 million credit facility entered into in 2008 (as amended, the “2008 credit facility”) and $3.4 million from available cash, were used to acquire from Capital Maritime the shares of two separate vessel-owning companies, each owning a 5,000 twenty foot equivalent (“TEU”) high specification container vessel, built in 2013, at a price of $65.0 million each.</w:t>
      </w:r>
    </w:p>
    <w:p>
      <w:pPr>
        <w:spacing w:after="0" w:line="2" w:lineRule="exact"/>
        <w:rPr>
          <w:rFonts w:ascii="Arial" w:cs="Arial" w:eastAsia="Arial" w:hAnsi="Arial"/>
          <w:sz w:val="17"/>
          <w:szCs w:val="17"/>
          <w:color w:val="auto"/>
        </w:rPr>
      </w:pPr>
    </w:p>
    <w:p>
      <w:pPr>
        <w:ind w:left="460" w:right="2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2013, we completed an equity offering of 13,685,000 common units, which included the full exercise of the underwriters’ overallotment option of 1,785,000 common units, and received net proceeds of $119.8 million after deducting expenses related to the offering. The net proceeds, together with a $75.0 million drawdown under our former $225.0 million term loan facility entered into in 2013 (as amended, the “2013 credit facility”) and $0.2 million from available cash, were used to acquire from Capital Maritime three vessel-owning companies, each owning a 5,000 TEU high specification container vessel built in 2013, at a price of $65.0 million each.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4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2013, our sponsor converted 349,700 common units into general partner units and delivered such units to our General Partner in order for it to maintain its then 2% interest in us. In 2015 and 2014, our sponsor converted 315,908 and 358,624 common units, respectively, into general partner units and delivered such units to our General Partner in order for it to maintain its then 2% interest in us. Currently our General Partner holds a 1.71% general partner interest in us.</w:t>
      </w:r>
    </w:p>
    <w:p>
      <w:pPr>
        <w:spacing w:after="0" w:line="2"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2013, certain holders of our Class B Units converted an aggregate of 5,733,333 Class B Units into common units in accordance with the terms of the partnership agreement. During 2015 and 2014, various holders of our Class B Units, including Capital Maritime, converted an aggregate of 1,240,404 and 4,698,484 Class B Units into common units, respectively, in accordance with the terms of the partnership agreement.</w:t>
      </w:r>
    </w:p>
    <w:p>
      <w:pPr>
        <w:spacing w:after="0" w:line="2" w:lineRule="exact"/>
        <w:rPr>
          <w:rFonts w:ascii="Arial" w:cs="Arial" w:eastAsia="Arial" w:hAnsi="Arial"/>
          <w:sz w:val="16"/>
          <w:szCs w:val="16"/>
          <w:color w:val="auto"/>
        </w:rPr>
      </w:pPr>
    </w:p>
    <w:p>
      <w:pPr>
        <w:ind w:left="460" w:right="160" w:hanging="452"/>
        <w:spacing w:after="0" w:line="26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November 2013, we sold the M/T Agamemnon II (51,238 dwt IMO II/III chemical product tanker built in 2008, STX Shipbuilding &amp; Offshore, South Korea) at a price of $33.5 million to unaffiliated third parties. In November 2013, we acquired an eco-type MR product tanker, the M/T Aristotelis (51,604 dwt IMO II/III chemical product tanker built in 2013, Hyundai Mipo Dockyard Ltd, South Korea). The acquisition price of $38.0 million was funded from the sale proceeds of the M/T Agamemnon II and available cash. The M/T Aristotelis replaced the M/T Agamemnon II as a security under our former $370.0 million credit facility entered into in 2007 (as amended, the “2007 credit facility”).</w:t>
      </w:r>
    </w:p>
    <w:p>
      <w:pPr>
        <w:spacing w:after="0" w:line="1" w:lineRule="exact"/>
        <w:rPr>
          <w:rFonts w:ascii="Arial" w:cs="Arial" w:eastAsia="Arial" w:hAnsi="Arial"/>
          <w:sz w:val="17"/>
          <w:szCs w:val="17"/>
          <w:color w:val="auto"/>
        </w:rPr>
      </w:pPr>
    </w:p>
    <w:p>
      <w:pPr>
        <w:ind w:left="460" w:hanging="452"/>
        <w:spacing w:after="0" w:line="26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September 2014, we completed an equity offering of 17,250,000 common units, which included the full exercise of the underwriters’ overallotment option of 2,250,000 common units, receiving net proceeds of $173.5 million after deducting expenses related to the offering. The net proceeds were used to repurchase from Capital Maritime 5,950,610 common units at an aggregate price of $60.0 million and to cancel such common units. Furthermore, we used the amount of $30.2 million of the net proceeds of the offering as an advance payment to Capital Maritime in connection with the acquisition of five new vessels acquired from Capital Maritime, our sponsor, comprising three newbuild Daewoo 9,160 TEU eco-flex containerships and two newbuild Samsung eco-medium range product tankers (the “Dropdown Vessels”), four of which were delivered between March and September 2015. The fifth Dropdown Vessel was delivered in February 2016. The total acquisition cost for these five vessels was $311.5 million. The remaining proceeds of the offering were used for general partnership purposes.</w:t>
      </w:r>
    </w:p>
    <w:p>
      <w:pPr>
        <w:spacing w:after="0" w:line="1" w:lineRule="exact"/>
        <w:rPr>
          <w:rFonts w:ascii="Arial" w:cs="Arial" w:eastAsia="Arial" w:hAnsi="Arial"/>
          <w:sz w:val="17"/>
          <w:szCs w:val="17"/>
          <w:color w:val="auto"/>
        </w:rPr>
      </w:pPr>
    </w:p>
    <w:p>
      <w:pPr>
        <w:ind w:left="460" w:right="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April 2015, we completed an equity offering of 14,555,000 common units, including 1,100,000 common units sold to Capital Maritime and 1,755,000 common units representing the overallotment option, at a net price of $9.53 per common unit, and received net proceeds before expenses of $133.3 million. The net proceeds were used to prepay the quarterly instalments scheduled for 2016 and the first quarter of 2017 under our former 2007 and 2008 credit facilities and our former $25.0 million credit facility entered into in 2011(the “2011 credit facility”), and to pay related fees and expenses and for general partnership purposes.</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31, June 10, June 30 and September 18, 2015, we acquired the shares of the companies owning four of the Dropdown Vessels, namely the M/T Active, the M/V Akadimos (renamed the “CMA CGM Amazon”), the M/T Amadeus and the M/V Adonis (renamed the “CMA CGM Uruguay”) for a total consideration of $230.0 million, which was funded by drawdowns under our former 2013 credit facility for a total of $115.0 million and from cash on hand.</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February 26, 2016, we acquired from Capital Maritime the shares of the company owning the M/V Anaxagoras (renamed the “CMA CGM Magdalena”), the last of the five Dropdown Vessels. We funded the acquisition by drawing under our former 2013 credit facility and using available cash. On October 24, 2016, we acquired from Capital Maritime the shares of the company owning the M/T Amor, an eco-type MR product tanker, for a total consideration of $16.9 million consisting of $16.0 million in cash and the issuance of 283,696 new common units to Capital Maritime, reflecting the fair value of the vessel of $31.6 million and the fair value of the time charter attached to the vessel of $1.1 million, less the assumption of a</w:t>
      </w:r>
    </w:p>
    <w:p>
      <w:pPr>
        <w:spacing w:after="0" w:line="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$15.8 million term loan under a credit facility previously arranged by Capital Maritime with ING Bank N.V. (the “2015 credit facility”).</w:t>
      </w:r>
    </w:p>
    <w:p>
      <w:pPr>
        <w:spacing w:after="0" w:line="9"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September 2016, the Partnership entered into an equity distribution agreement with UBS Securities LLC (“UBS”) under which the Partnership may sell, from time to time through UBS, as its sales agent, new common units having an aggregate offering amount of up to $50.0 million (the “ATM offering”). During the period between the launch of the ATM offering and December 31, 2016, we issued 1.4 million new common units in total translating into net proceeds of $4.5 million after payment of sales agent commission but before offering expenses. During the year ended December 31, 2017, we issued 5.2 million new common units in total translating into net proceeds of $17.8 million after payment of sales agent commission but before offering expenses.</w:t>
      </w:r>
    </w:p>
    <w:p>
      <w:pPr>
        <w:spacing w:after="0" w:line="2"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September 6, 2017, we entered into a loan agreement for a new senior secured term loan facility (the “2017 credit facility”) for an aggregate principal amount of up to $460.0 million. On October 2, 2017, we repaid $14.0 million outstanding under the 2011 credit facility through available cash. On October 4, 2017 (the “Drawdown Date”), we drew the full amount of $460.0 million under the 2017 credit facility and, together with available cash of $102.2 million, fully repaid total indebtedness of $562.2 million.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Please read Note 2 (Significant Accounting Policies), Note 3 (Acquisitions), Note 5 (Fixed Assets), Note 7 (Long-Term Debt), and Note 12 (Partners’ Capital) to our Financial Statements included herein for additional information.</w:t>
      </w:r>
    </w:p>
    <w:p>
      <w:pPr>
        <w:spacing w:after="0" w:line="319" w:lineRule="exact"/>
        <w:rPr>
          <w:sz w:val="20"/>
          <w:szCs w:val="20"/>
          <w:color w:val="auto"/>
        </w:rPr>
      </w:pPr>
    </w:p>
    <w:p>
      <w:pPr>
        <w:ind w:left="920" w:right="7060" w:firstLine="560"/>
        <w:spacing w:after="0" w:line="402" w:lineRule="auto"/>
        <w:tabs>
          <w:tab w:leader="none" w:pos="192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Capitalization and Indebtedness. Not applicable.</w:t>
      </w:r>
    </w:p>
    <w:p>
      <w:pPr>
        <w:spacing w:after="0" w:line="211" w:lineRule="exact"/>
        <w:rPr>
          <w:rFonts w:ascii="Arial" w:cs="Arial" w:eastAsia="Arial" w:hAnsi="Arial"/>
          <w:sz w:val="18"/>
          <w:szCs w:val="18"/>
          <w:b w:val="1"/>
          <w:bCs w:val="1"/>
          <w:color w:val="auto"/>
        </w:rPr>
      </w:pPr>
    </w:p>
    <w:p>
      <w:pPr>
        <w:ind w:left="920" w:right="6300" w:firstLine="560"/>
        <w:spacing w:after="0" w:line="402" w:lineRule="auto"/>
        <w:tabs>
          <w:tab w:leader="none" w:pos="192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Reasons for the Offer and Use of Proceeds. Not applicable.</w:t>
      </w:r>
    </w:p>
    <w:p>
      <w:pPr>
        <w:spacing w:after="0" w:line="207" w:lineRule="exact"/>
        <w:rPr>
          <w:rFonts w:ascii="Arial" w:cs="Arial" w:eastAsia="Arial" w:hAnsi="Arial"/>
          <w:sz w:val="18"/>
          <w:szCs w:val="18"/>
          <w:b w:val="1"/>
          <w:bCs w:val="1"/>
          <w:color w:val="auto"/>
        </w:rPr>
      </w:pPr>
    </w:p>
    <w:p>
      <w:pPr>
        <w:ind w:left="1920" w:hanging="440"/>
        <w:spacing w:after="0"/>
        <w:tabs>
          <w:tab w:leader="none" w:pos="19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i w:val="1"/>
          <w:iCs w:val="1"/>
          <w:color w:val="auto"/>
        </w:rPr>
        <w:t>An investment in our securities involves a high degree of risk. Some of the following risks relate principally to the countries and the industry in which we operate and the nature of our business in general. Although many of our business risks are comparable to those a corporation engaged in a similar business would face, limited partner interests are inherently different from the capital stock of a corporation. If any of the following risks actually occurs, our business, financial condition or operating results could be materially adversely affected. In that case, we might not be able to pay distributions on our common units or Class B Units, the trading price of our common units could decline and you could lose all or part of your investment. The risks described below also include forward-looking statements and our actual results may differ substantially from those discussed in such forward-looking statements. For more information, please read “Forward-Looking Statements”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TANKER INDUSTRY</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Changes to global economic conditions and oil and oil product demand, prices and supply could result in decreased demand for our vessels and services, materially affect our ability to re-charter our vessels at favorable rates and have a material adverse effect on our business, financial position, results of operations, cash flows and ability to make cash distributions and service or refinance our debt.</w:t>
      </w:r>
    </w:p>
    <w:p>
      <w:pPr>
        <w:spacing w:after="0" w:line="5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Global economic growth is a significant driver in the demand for oil and, as a result, the demand for shipping. The past several years were marked by major economic slowdowns, which have had a significant impact on the global economy and demand for oil. There is still significant uncertainty over long-term economic growth prospects.</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Furthermore, there is a general global trend towards energy efficient technologies and alternative sources of energy. In the long term, oil demand may be reduced by an increased reliance on alternative energy sources or a drive for increased efficiency in the use of oil, as a result of environmental concerns over carbon emissions or high oil prices, which has the potential to significantly decrease demand for oil and shipping.</w:t>
      </w:r>
    </w:p>
    <w:p>
      <w:pPr>
        <w:spacing w:after="0" w:line="166"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expect emerging markets, which historically have had more volatile economies, to be a key driver in future oil demand and a slowdown in these economies, such as China or India, could severely affect global demand for oil and may result in protracted, reduced consumption of oil products and a decreased demand for our vessels and lower charter rates.</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If global economic conditions deteriorate or oil prices increase and, as a result, demand for oil and oil products contracts or increases more slowly, we may not be able to operate our vessels profitably or employ our vessels at favorable charter rates as they come up for re-chartering. Furthermore, the market value of our vessels may decline as a result of such events, which may cause us to recognize losses upon disposition of the vessels or record impairments and affect our ability to comply with our loan covenants.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In addition, reduced global supply of oil due to coordinated action, such as the production cuts recently agreed by OPEC members and other oil producing nations, or other circumstances may adversely affect demand for the transportation of crude oil and oil tankers.</w:t>
      </w:r>
    </w:p>
    <w:p>
      <w:pPr>
        <w:spacing w:after="0" w:line="14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A deterioration of the current economic conditions or changes in oil demand and supply and the product and crude tanker markets would have a material adverse effect on our business, financial position, results of operations, cash flows and ability to make cash distributions and service or refinance our debt.</w:t>
      </w:r>
    </w:p>
    <w:p>
      <w:pPr>
        <w:spacing w:after="0" w:line="28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Charter rates for tanker vessels are highly volatile and may decrease in the future, which may adversely affect our earnings and our ability to make cash distributions, as we may not be able to re-charter our vessels or we may not be able to re-charter them at competitive rates.</w:t>
      </w:r>
    </w:p>
    <w:p>
      <w:pPr>
        <w:spacing w:after="0" w:line="3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shipping industry is cyclical. As a result, charter hire rates and vessel values have historically been volatile. We are particularly exposed to fluctuations in the product and crude tanker markets as the majority of our vessels are tankers. Therefore, as our charters expire, we may only be able to re-charter our tankers at reduced or unprofitable rates, or we may not be able to re-charter our tankers at all. We expect 20 of our charters to expire in the coming 12 months compared to 12 charter expirations in 2017. 18 of these charter expirations relate to tanker vessels compared to ten tanker charter expirations in 2017.</w:t>
      </w:r>
    </w:p>
    <w:p>
      <w:pPr>
        <w:spacing w:after="0" w:line="188" w:lineRule="exact"/>
        <w:rPr>
          <w:sz w:val="20"/>
          <w:szCs w:val="20"/>
          <w:color w:val="auto"/>
        </w:rPr>
      </w:pPr>
    </w:p>
    <w:p>
      <w:pPr>
        <w:ind w:right="340" w:firstLine="913"/>
        <w:spacing w:after="0" w:line="286" w:lineRule="auto"/>
        <w:rPr>
          <w:sz w:val="20"/>
          <w:szCs w:val="20"/>
          <w:color w:val="auto"/>
        </w:rPr>
      </w:pPr>
      <w:r>
        <w:rPr>
          <w:rFonts w:ascii="Arial" w:cs="Arial" w:eastAsia="Arial" w:hAnsi="Arial"/>
          <w:sz w:val="17"/>
          <w:szCs w:val="17"/>
          <w:color w:val="auto"/>
        </w:rPr>
        <w:t>The demand for period charters may remain stagnant or decrease. Even if we secure employment for our tankers under period charters, our charterers may go bankrupt, fail to perform their obligations under the charter agreements, delay payments or suspend payments altogether, terminate the charter agreements prior to the agreed-upon expiration date or attempt to renegotiate the terms of the charters.</w:t>
      </w:r>
    </w:p>
    <w:p>
      <w:pPr>
        <w:spacing w:after="0" w:line="166" w:lineRule="exact"/>
        <w:rPr>
          <w:sz w:val="20"/>
          <w:szCs w:val="20"/>
          <w:color w:val="auto"/>
        </w:rPr>
      </w:pPr>
    </w:p>
    <w:p>
      <w:pPr>
        <w:jc w:val="both"/>
        <w:ind w:right="200" w:firstLine="913"/>
        <w:spacing w:after="0" w:line="302" w:lineRule="auto"/>
        <w:rPr>
          <w:sz w:val="20"/>
          <w:szCs w:val="20"/>
          <w:color w:val="auto"/>
        </w:rPr>
      </w:pPr>
      <w:r>
        <w:rPr>
          <w:rFonts w:ascii="Arial" w:cs="Arial" w:eastAsia="Arial" w:hAnsi="Arial"/>
          <w:sz w:val="16"/>
          <w:szCs w:val="16"/>
          <w:color w:val="auto"/>
        </w:rPr>
        <w:t>Depending on market conditions, we may be forced to deploy our tankers in the spot market, which is cyclical and highly volatile. In the past, there have been periods during which spot rates have declined below the operating cost of tankers. If we deploy our tankers in the spot markets, we may be unable to obtain profitable spot charters or minimize the time spent waiting for charters or traveling to pick up cargo. Furthermore, as charter rates for spot charters are fixed for a single voyage of up to several weeks, we may experience delays in realizing the benefits from increases in spot charter rates.</w:t>
      </w:r>
    </w:p>
    <w:p>
      <w:pPr>
        <w:spacing w:after="0" w:line="15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factors affecting supply and demand for product and crude tankers are outside our control and the nature, timing, direction and degree of changes in industry conditions are difficult to predict with confidence. Some of the factors that may affect charter hire rates and the market value of tankers include the following:</w:t>
      </w:r>
    </w:p>
    <w:p>
      <w:pPr>
        <w:spacing w:after="0" w:line="87" w:lineRule="exact"/>
        <w:rPr>
          <w:sz w:val="20"/>
          <w:szCs w:val="20"/>
          <w:color w:val="auto"/>
        </w:rPr>
      </w:pPr>
    </w:p>
    <w:p>
      <w:pPr>
        <w:jc w:val="both"/>
        <w:ind w:left="1460" w:right="20" w:hanging="547"/>
        <w:spacing w:after="0" w:line="312" w:lineRule="auto"/>
        <w:tabs>
          <w:tab w:leader="none" w:pos="1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supply for oil and oil products, which is influenced by, among other things, international economic activity, geographic changes in oil production, processing and consumption, oil price levels, inventory policies of the major oil and oil trading companies, competition from alternative sources of energy and strategic inventory policies of countries such as the United States, China and India;</w:t>
      </w:r>
    </w:p>
    <w:p>
      <w:pPr>
        <w:spacing w:after="0" w:line="52" w:lineRule="exact"/>
        <w:rPr>
          <w:rFonts w:ascii="Arial" w:cs="Arial" w:eastAsia="Arial" w:hAnsi="Arial"/>
          <w:sz w:val="16"/>
          <w:szCs w:val="16"/>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demand for oil and oil products;</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the consumption of oil due to increases in its price relative to other energy sources, other factors making consumption of oil less attractive or energy conservation measures;</w:t>
      </w:r>
    </w:p>
    <w:p>
      <w:pPr>
        <w:spacing w:after="0" w:line="75" w:lineRule="exact"/>
        <w:rPr>
          <w:rFonts w:ascii="Arial" w:cs="Arial" w:eastAsia="Arial" w:hAnsi="Arial"/>
          <w:sz w:val="18"/>
          <w:szCs w:val="18"/>
          <w:color w:val="auto"/>
        </w:rPr>
      </w:pPr>
    </w:p>
    <w:p>
      <w:pPr>
        <w:ind w:left="1460" w:right="200" w:hanging="547"/>
        <w:spacing w:after="0" w:line="308" w:lineRule="auto"/>
        <w:tabs>
          <w:tab w:leader="none" w:pos="1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availability of refining capacity;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prevailing economic conditions in the market in which the tanker trades;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credit to charterers and traders in order to finance expenses associated with the relevant trades;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change;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supply of vessel capacity; and</w:t>
      </w:r>
    </w:p>
    <w:p>
      <w:pPr>
        <w:spacing w:after="0" w:line="130"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retrofitting or modifying existing vessels, as a result of technological advances in vessel design or equipment, changes in applicable environmental or other regulations or standards, or otherwise.</w:t>
      </w:r>
    </w:p>
    <w:p>
      <w:pPr>
        <w:spacing w:after="0" w:line="62" w:lineRule="exact"/>
        <w:rPr>
          <w:sz w:val="20"/>
          <w:szCs w:val="20"/>
          <w:color w:val="auto"/>
        </w:rPr>
      </w:pPr>
    </w:p>
    <w:p>
      <w:pPr>
        <w:ind w:right="460" w:firstLine="913"/>
        <w:spacing w:after="0" w:line="308" w:lineRule="auto"/>
        <w:rPr>
          <w:sz w:val="20"/>
          <w:szCs w:val="20"/>
          <w:color w:val="auto"/>
        </w:rPr>
      </w:pPr>
      <w:r>
        <w:rPr>
          <w:rFonts w:ascii="Arial" w:cs="Arial" w:eastAsia="Arial" w:hAnsi="Arial"/>
          <w:sz w:val="17"/>
          <w:szCs w:val="17"/>
          <w:color w:val="auto"/>
        </w:rPr>
        <w:t>If we have to re-charter our tankers when charter hire rates are low or are unable to re-charter our tankers, our business, financial condition, results of operations, cash flows and ability to make distributions and service or refinance our debt could be adversely affected.</w:t>
      </w:r>
    </w:p>
    <w:p>
      <w:pPr>
        <w:spacing w:after="0" w:line="25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The market values of tanker vessels are highly volatile and may decrease further in the future which may cause us to recognize losses if we sell our tankers or record impairments and affect our ability to comply with our loan covenants and refinance our debt.</w:t>
      </w:r>
    </w:p>
    <w:p>
      <w:pPr>
        <w:spacing w:after="0" w:line="3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market value of tankers is influenced, among other factors, by the prevailing charter market, replacement costs, the residual value of the vessels, expectations with regard to asset prices, availability of tankers for sale, as well as the ability of buyers to access financing and capital. If we sell a vessel at a time when its market value has fallen, the sale price may be less than the vessel’s carrying amount, resulting in a loss. In December 2017, we agreed to sell the M/T Aristotelis. In this connection, we recorded an impairment charge of $3.3 million representing the difference between the vessel’s carrying amount and its selling price, net of estimated sale expenses. Please also see Note 5 to our financial statements included herein. In addition, we may be required to record an impairment charge as a result of a decrease in the future charter rates or market values of our vessels. A decline in the market value of our vessels could also lead to a default under our credit facilities, affect our ability to refinance our existing credit facilities and limit our ability to obtain additional financing and service or refinance our debt. If any of these circumstances were to happen, our business, financial condition, results of operation, cash flows and ability to make distributions may be materially and adversely affected.</w:t>
      </w:r>
    </w:p>
    <w:p>
      <w:pPr>
        <w:spacing w:after="0" w:line="2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An oversupply of tanker vessels or an expansion of the capacity of newly built tankers may lead to reductions in charter hire rates, vessel values and profitability.</w:t>
      </w:r>
    </w:p>
    <w:p>
      <w:pPr>
        <w:spacing w:after="0" w:line="62"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The supply of tankers is affected by a number of factors, such as demand for energy resources and primarily oil and petroleum products, level of charter hire rates, asset and newbuilding prices, availability of financing, as well as overall economic growth in parts of the world economy, including Asia, and has been increasing as a result of the delivery of substantial newbuilding orders over the last few years. Newly built tankers were delivered in significant numbers starting at the beginning of 2006 through 2017. In addition, as of December 31, 2017, the newbuilding order book was estimated to equal approximately 11.7% of the existing world tanker fleet and may increase in proportion to the existing fleet. Furthermore, if newly built tankers have more capacity than the tankers being scrapped or lost, tanker capacity overall will expand. If the supply of tankers or their capacity increases over time but demand for tanker vessels does not grow correspondingly, charter rates and vessel values will materially decline. If that happens, as our charters expire, we may only be able to re-charter our vessels at reduced or unprofitable rates, or we may not be able to charter our vessels at all. A reduction in charter rates and the value of our vessels may have a material adverse effect on our business, financial condition, results of operations, cash flows and ability to make cash distributions and service or refinance our debt.</w:t>
      </w:r>
    </w:p>
    <w:p>
      <w:pPr>
        <w:spacing w:after="0" w:line="28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Over the last five years, a number of vessel owners have ordered and taken delivery of so-called “eco-type” vessel designs, which offer substantial bunker savings as compared to older designs. Increased demand for and supply of “eco-type” vessels could reduce demand for certain of our vessels that are not classified as such and expose us to lower vessel utilization and/or decreased charter rates.</w:t>
      </w:r>
    </w:p>
    <w:p>
      <w:pPr>
        <w:spacing w:after="0" w:line="57" w:lineRule="exact"/>
        <w:rPr>
          <w:sz w:val="20"/>
          <w:szCs w:val="20"/>
          <w:color w:val="auto"/>
        </w:rPr>
      </w:pPr>
    </w:p>
    <w:p>
      <w:pPr>
        <w:jc w:val="both"/>
        <w:ind w:right="120" w:firstLine="913"/>
        <w:spacing w:after="0" w:line="255" w:lineRule="auto"/>
        <w:rPr>
          <w:sz w:val="20"/>
          <w:szCs w:val="20"/>
          <w:color w:val="auto"/>
        </w:rPr>
      </w:pPr>
      <w:r>
        <w:rPr>
          <w:rFonts w:ascii="Arial" w:cs="Arial" w:eastAsia="Arial" w:hAnsi="Arial"/>
          <w:sz w:val="18"/>
          <w:szCs w:val="18"/>
          <w:color w:val="auto"/>
        </w:rPr>
        <w:t>We estimate that a significant proportion of newbuilding orders are based on new vessel designs, which purport to offer material bunker savings compared to older designs, such as a significant proportion of our tanker vessels. See “Item 4.B: Business Overview—Our Fleet.” New vessel designs could result in a substantial reduction of bunker cost for charterers. As the supply of “eco-type” tankers expands, if charterers prefer those vessels over our tankers that are not classified as such, this may reduce demand for our non-“eco-type” tankers, impair our ability to re-charter such tankers at competitive rates or at all and have a material adverse effect on our business, financial condition, results of operations, cash flows and ability to make cash distributions and service or refinance our debt.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DRYBULK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various risks in the international drybulk shipping industry, which is cyclical and volatile.</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Since our acquisition of the M/V Cape Agamemnon from Capital Maritime in June 2011, we have been subject to the various risks affecting the drybulk shipping industry, which is cyclical with attendant volatility in charter rates, vessel values and profitability, with wide disparities across different classes of drybulk carriers.</w:t>
      </w:r>
    </w:p>
    <w:p>
      <w:pPr>
        <w:spacing w:after="0" w:line="18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After reaching historical highs in mid-2008, charter hire rates for drybulk carriers, such as the M/V Cape Agamemnon, have declined significantly and reached historically low levels in 2016. Capesize charter rates remained below historical averages in 2017. The M/V Cape Agamemnon is currently deployed on a period time charter until June 2020. In the future, we may be forced to re-charter the M/V Cape Agamemnon pursuant to short-term time charters, and may be exposed to changes in the spot market and short-term charter rates for capesize drybulk carriers, all of which may affect our earnings and the value of the M/V Cape Agamemnon.</w:t>
      </w:r>
    </w:p>
    <w:p>
      <w:pPr>
        <w:spacing w:after="0" w:line="188"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The factors affecting supply and demand for drybulk vessels are outside our control and the nature, timing, direction and degree of changes in industry conditions are difficult to predict with confidence. Some of the factors that may influence demand for drybulk carriers include the following:</w:t>
      </w:r>
    </w:p>
    <w:p>
      <w:pPr>
        <w:spacing w:after="0" w:line="29"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and demand for drybulk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growth in China and other developing economies;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drybulk vessels;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drybulk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Some of the factors that may influence the supply of vessel capacity for drybulk carriers include the following:</w:t>
      </w:r>
    </w:p>
    <w:p>
      <w:pPr>
        <w:spacing w:after="0" w:line="131" w:lineRule="exact"/>
        <w:rPr>
          <w:sz w:val="20"/>
          <w:szCs w:val="20"/>
          <w:color w:val="auto"/>
        </w:rPr>
      </w:pPr>
    </w:p>
    <w:p>
      <w:pPr>
        <w:ind w:left="1460" w:right="400" w:hanging="547"/>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deliveries of newly built vessels, which among other factors depend upon the ability of shipyards to meet contracted delivery dates and the ability of purchasers to finance such new acquisitions;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scrapping rate of older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vessels that are in or out of service, including as a result of vessel casualties;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environmental and other regulations and standards that may limit the profitability, operations or useful lives of vessels;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 and canal congestion and closures.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We currently anticipate that the future demand for the M/V Cape Agamemnon following completion of its charter and, in turn, drybulk charter rates, will be dependent, among other things, upon the rate of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results of operations, cash flows and ability to make cash distributions and service or repay our debt.</w:t>
      </w:r>
    </w:p>
    <w:p>
      <w:pPr>
        <w:spacing w:after="0" w:line="2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The market values of drybulk vessels have declined and may further decline, which may cause us to recognize a loss if we sell the Cape Agamemnon or record impairments and affect our ability to comply with our loan covenants and service or refinance our debt.</w:t>
      </w:r>
    </w:p>
    <w:p>
      <w:pPr>
        <w:spacing w:after="0" w:line="3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market values of drybulk vessels have generally experienced high volatility. The market value of drybulk vessels may continue to fluctuate depending on a number of factors, including:</w:t>
      </w:r>
    </w:p>
    <w:p>
      <w:pPr>
        <w:spacing w:after="0" w:line="197"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prevailing level of charter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market conditions affecting the shipping industry;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types, sizes and ages of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supply of and demand for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modes of transportation;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newbuildings;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or other regulations;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need to upgrade vessels as a result of charterer requirements, technological advances in vessel design or equipment or otherwise;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other shipping companies and other modes of transportation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market value of the Cape Agamemnon deteriorates significantly, we may be required to record an impairment charge in our financial statements. Furthermore, if the current charter expires or is terminated, we may be unable to re-charter the vessel at an acceptable rate and, rather than continuing to incur costs to maintain the vessel, we may seek to dispose of it. Our inability to dispose of the vessel at a reasonable price however could result in a loss. A decline in the market value of the Cape Agamemnon could also lead to a default under our credit facilities, limit our ability to obtain additional financing and service or refinance our debt. If any of these circumstances were to happen, our business, financial condition, results of operation, cash flows and ability to make distributions may be adversely affected.</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M/V Cape Agamemnon is currently chartered at rates that are at a substantial premium to the spot and period markets. The loss of this charter could result in a significant loss of expected future revenues and cash flows.</w:t>
      </w:r>
    </w:p>
    <w:p>
      <w:pPr>
        <w:spacing w:after="0" w:line="6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M/V Cape Agamemnon is currently under a ten-year time charter to COSCO Bulk Carrier Co. Ltd. (“COSCO”) a member of the China Ocean Shipping (Group) Company (“COSCO Group”) and one of the largest drybulk charterers globally. The charter commenced in July 2010 and was amended in November 2011. The earliest expiry date under the charter is June 2020. Since the charter was amended in November 2011, the gross charter rate is a flat rate of $42,200 per day.</w:t>
      </w:r>
    </w:p>
    <w:p>
      <w:pPr>
        <w:spacing w:after="0" w:line="18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currently maintain insurance to protect us against the loss of income that would result from COSCO’s failure or refusal to pay hires under the time charter agreement. Under our revenue protection insurance, our insurer has agreed to pay us a maximum amount of $25,000 per day for each day of loss, defined as the difference between the hire contractually payable under the charter and the replacement hire earned or that could be earned by us during the policy period expiring on July 30, 2020. Replacement hires are defined as the greater of the actual hires earned during the policy period and the average hire rate that the M/V Cape Agamemnon is capable of earning, as determined by three independent shipbrokers. The revenue protection insurance is renewed annually. There is no guarantee that we will be able to renew and maintain this insurance.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COSCO Group has faced financial difficulties. Its listed affiliate China COSCO Holdings announced a profit of Rmb 3.4bn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$0.5bn) for the first six months of 2017, compared with a loss of Rmb 6.7bn in the same period last year. We could lose this charterer or the benefits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charter if, among other things:</w:t>
      </w:r>
    </w:p>
    <w:p>
      <w:pPr>
        <w:spacing w:after="0" w:line="116" w:lineRule="exact"/>
        <w:rPr>
          <w:sz w:val="20"/>
          <w:szCs w:val="20"/>
          <w:color w:val="auto"/>
        </w:rPr>
      </w:pPr>
    </w:p>
    <w:p>
      <w:pPr>
        <w:ind w:left="1460" w:right="42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charterer is unable or unwilling to perform its obligations under the charter, including the payment of the agreed rates in a timely manner;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charterer faces financial difficulties forcing it to declare bankruptcy, to restructure its operations or to default under the charter;</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charterer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1460" w:right="68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charterer seeks to re-negotiate the terms of the charter agreement due to prevailing economic and market conditions or due to continued poor performance by the charterer;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charterer exercises certain rights to terminate the charter;</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charterer terminates the charter because we fail to comply with the terms of the charter, the vessel is lost or damaged beyond repair, there are serious deficiencies in the vessel or prolonged periods of off-hire, or we default under the charter;</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prolonged force majeure event affecting the charterer, including war or political unrest, prevents us from performing services for that charterer; or</w:t>
      </w:r>
    </w:p>
    <w:p>
      <w:pPr>
        <w:spacing w:after="0" w:line="75"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charterer terminates the charter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the event we lose the benefit of the charter with COSCO prior to its expiration date, we would have to re-charter the vessel at the then prevailing charter rates. If that were to happen and insurance cover were to be unavailable or insurance payout were to be insufficient to cover our loss for any reason, this could materially and adversely affect our business, financial condition, results of operations, cash flows and our ability to make distributions and service or refinance our debt.</w:t>
      </w:r>
    </w:p>
    <w:p>
      <w:pPr>
        <w:spacing w:after="0" w:line="18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b w:val="1"/>
          <w:bCs w:val="1"/>
          <w:i w:val="1"/>
          <w:iCs w:val="1"/>
          <w:color w:val="auto"/>
        </w:rPr>
        <w:t>A negative change in the economic conditions in Asia, especially in China, Japan or India, including as a result of slowdowns in the United States or Europe, could reduce drybulk trade and demand, which would affect charter rates and have a material adverse effect on our business, financial condition, results of operations, cash flows and ability to make cash distribution and service or refinance our debt.</w:t>
      </w:r>
    </w:p>
    <w:p>
      <w:pPr>
        <w:spacing w:after="0" w:line="14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A significant number of the port calls made by Capesize bulk carriers involve the loading or discharging of raw materials in ports in Asia, particularly China, Japan and India. In past years, China and India have had two of the world’s fastest growing economies in terms of gross domestic product and have been the main force driving demand for drybulk vessels. If economic growth declines in China, Japan, India and other countries in Asia, we may face decreases in drybulk trade and demand. For example, the recent slowdown of the Chinese economy has adversely affected demand for capesize bulk carriers. Moreover, slowdowns in the United States or the economies of the European Union, as have occurred recently, may adversely affect economic growth in China, Japan, India and other Asian countries. A negative change in economic conditions in any Asian country, particularly China, Japan or India, could reduce demand for capesize bulk carriers and, as a result, charter rates and affect our ability to re-charter the M/V Cape Agamemnon at a profitable rate or at all and have a material adverse effect on our business, financial position, results of operations, cash flows and ability to make cash distribution and service or refinance our debt.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drybulk vessel capacity may lead to reductions in charter rates and profitability.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number of drybulk vessels on order as of December 2017 was estimated by market sources to be approximately 9.3% of the then-existing global drybulk fleet in dwt terms, with deliveries expected mainly during the next 24 months, although available data with regard to cancellations of existing newbuild orders or delays in newbuild deliveries are not always accurate or may not be readily available.</w:t>
      </w:r>
    </w:p>
    <w:p>
      <w:pPr>
        <w:spacing w:after="0" w:line="18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An oversupply of drybulk vessel capacity will likely result in protracted weakness in drybulk charter hire rates. Upon the expiration of the current charter period in June 2020, if we cannot enter into a new period time charter for the M/V Cape Agamemnon on acceptable terms, we may have to secure charters in the spot market, where charter rates are more volatile and revenues are, therefore, less predictable, or we may not be able to charter the vessel at all.</w:t>
      </w:r>
    </w:p>
    <w:p>
      <w:pPr>
        <w:spacing w:after="0" w:line="295" w:lineRule="exact"/>
        <w:rPr>
          <w:sz w:val="20"/>
          <w:szCs w:val="20"/>
          <w:color w:val="auto"/>
        </w:rPr>
      </w:pPr>
    </w:p>
    <w:p>
      <w:pPr>
        <w:ind w:right="880"/>
        <w:spacing w:after="0" w:line="375" w:lineRule="auto"/>
        <w:rPr>
          <w:sz w:val="20"/>
          <w:szCs w:val="20"/>
          <w:color w:val="auto"/>
        </w:rPr>
      </w:pPr>
      <w:r>
        <w:rPr>
          <w:rFonts w:ascii="Arial" w:cs="Arial" w:eastAsia="Arial" w:hAnsi="Arial"/>
          <w:sz w:val="15"/>
          <w:szCs w:val="15"/>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As a result, we may not be able to successfully operate the vessel.</w:t>
      </w:r>
    </w:p>
    <w:p>
      <w:pPr>
        <w:spacing w:after="0" w:line="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employ the M/V Cape Agamemnon in the highly competitive drybulk market, which is capital intensive and highly fragmented. Competition arises primarily from other vessel owners, some of which have substantially larger fleets of drybulk vessels or greater resources than we currently have or will have in the future. Competition for the transportation of drybulk cargo by sea is intense and depends on price, charterer relationships, operating expertise, professional reputation and size, age, location and condition of the vessel. In this highly fragmented market, companies operating larger fleets, as well as competitors with greater resources, may be able to offer lower charter rates than ours, which could have a material adverse effect on our ability to charter out the M/V Cape Agamemnon and, accordingly, its profitability.</w:t>
      </w:r>
    </w:p>
    <w:p>
      <w:pPr>
        <w:spacing w:after="0" w:line="30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The operation of drybulk vessels has certain unique operational risks, and failure to adequately maintain the M/V Cape Agamemnon could have a material adverse effect on our business, financial condition, results of operations, cash flows and ability to make distributions and service or refinance our debt.</w:t>
      </w:r>
    </w:p>
    <w:p>
      <w:pPr>
        <w:spacing w:after="0" w:line="7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 Maritime, as manager, do not adequately maintain the M/V Cape Agamemnon, we may be unable to prevent these events. The occurrence of any of these events could have a material adverse effect on our business, financial condition, results of operations, cash flows and ability to make distributions and service or refinance our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CONTAINER CARRIER INDUSTRY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various risks in the ocean-going container shipping industry, which is cyclical and volatile in terms of charter rates and profitability.</w:t>
      </w:r>
    </w:p>
    <w:p>
      <w:pPr>
        <w:spacing w:after="0" w:line="15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Since December 2012, we have acquired ten container vessels from Capital Maritime and have become subject to the risks affecting the container shipping industry.</w:t>
      </w:r>
    </w:p>
    <w:p>
      <w:pPr>
        <w:spacing w:after="0" w:line="17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ocean-going container shipping industry is both cyclical and volatile in terms of charter rates and profitability and demand for our vessels depends on a range of factors, including demand for the shipment of cargoes in containers. Containership charter rates peaked in 2005 but have declined sharply since then. Container charter rates remained at or close to historical lows in the beginning of 2017 and have since experienced modest improvement but remain overall below historical averages.</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Since the second half of 2011, liner companies have experienced a substantial downturn in container shipping activity, resulting in depressed average freight rates, which has caused financial distress at a number of liner companies, including our charterers, and could further impact them. In a number of instances, charterers have not performed under, or have requested modifications of, existing time charters.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Containership charter rates depend upon a range of factors, including changes in the supply and demand for ship capacity and changes in the supply and demand for major products transported by containerships. Demand for containerships and profitability of the container business have been affected negatively by a large order book of new containership vessels, including “ultra large container vessels”. Since the second half of 2015, a slowdown in demand in certain key container trade routes, including the Asia to Europe route, at a time of increased vessel supply has resulted in an increase of the idle container fleet. The percentage of the worldwide fleet remaining idle reached 7.1% at the end of 2016. Since then, the percentage of the idle container fleet has gradually reduced to 2.0% as of the end of 2017.</w:t>
      </w:r>
    </w:p>
    <w:p>
      <w:pPr>
        <w:spacing w:after="0" w:line="19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Furthermore, the decline in the containership market has adversely affected the value of container vessels, which follow the trends of freight rates and containership charter rates, and resulted in a less active secondhand market for the sale of vessels.</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The factors affecting the supply and demand for products shipped in containers and for containerships are outside our control and the nature, timing, direction and degree of changes in industry conditions are difficult to predict with confidence. Some of the factors that influence demand for containerships include:</w:t>
      </w:r>
    </w:p>
    <w:p>
      <w:pPr>
        <w:spacing w:after="0" w:line="87" w:lineRule="exact"/>
        <w:rPr>
          <w:sz w:val="20"/>
          <w:szCs w:val="20"/>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supply and demand, including consumer demand, for products suitable for shipping in containers;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containerships;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in the market for exports of containerized goods from emerging markets, including China;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in the market for imports of raw materials to emerging markets, such as India and China;</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relocation of regional and global manufacturing facilities from Asian and emerging markets to developed economies in Europe and the United States;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bunkers.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Some of the factors that influence the supply of containerships include the following:</w:t>
      </w:r>
    </w:p>
    <w:p>
      <w:pPr>
        <w:spacing w:after="0" w:line="131" w:lineRule="exact"/>
        <w:rPr>
          <w:sz w:val="20"/>
          <w:szCs w:val="20"/>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newbuilding orders and deliveries;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newbuilding vessel deferrals;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scrapping rate of containerships;</w:t>
      </w:r>
    </w:p>
    <w:p>
      <w:pPr>
        <w:spacing w:after="0" w:line="130" w:lineRule="exact"/>
        <w:rPr>
          <w:rFonts w:ascii="Arial" w:cs="Arial" w:eastAsia="Arial" w:hAnsi="Arial"/>
          <w:sz w:val="18"/>
          <w:szCs w:val="18"/>
          <w:color w:val="auto"/>
        </w:rPr>
      </w:pPr>
    </w:p>
    <w:p>
      <w:pPr>
        <w:ind w:left="5620" w:right="2320" w:hanging="4707"/>
        <w:spacing w:after="0" w:line="449" w:lineRule="auto"/>
        <w:tabs>
          <w:tab w:leader="none" w:pos="14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newbuilding prices and containership owner access to capital to finance the construction of newbuildings; 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charter rates and the price of steel and other raw materials;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environmental and other regulations and standards that may limit the profitability, operations or useful life of containerships;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containerships that are slow-steaming or extra slow-steaming to conserve fuel;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containerships that are off-charter;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port and canal congestion and closures;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fleet renewal.</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If the charter market is depressed when time charters for our containerships expire, we may be forced to re-charter our containerships at reduced or even unprofitable rates, or we may not be able to re-charter them at all, which may reduce or eliminate our earnings or make our earnings volatile and materially and adversely affect our business, financial condition, results of operations, cash flows and ability to make cash distributions and service or refinance our debt.</w:t>
      </w:r>
    </w:p>
    <w:p>
      <w:pPr>
        <w:spacing w:after="0" w:line="29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An oversupply of containership capacity may prolong or depress current charter rates and adversely affect our ability to re-charter our existing containerships at profitable rates or at all.</w:t>
      </w:r>
    </w:p>
    <w:p>
      <w:pPr>
        <w:spacing w:after="0" w:line="62"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From 2005 through the first quarter of 2010, the size of the containership order-book was at historically high levels. Although the container order-book declined compared to previous years, the order-book still represented 13.4% of the existing fleet as at the end of 2017. Deliveries of vessels ordered will significantly increase the size of the container fleet over the next two to three years.</w:t>
      </w:r>
    </w:p>
    <w:p>
      <w:pPr>
        <w:spacing w:after="0" w:line="181"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An oversupply of newbuilding vessels and/or re-chartered or idle containership capacity entering the market, combined with any further decline in the demand for containerships, may further depress charter rates and may decrease our ability to re-charter our containerships other than for reduced rates or unprofitable rates or to re-charter our containerships at all, which may materially and adversely affect our business, financial condition, results of operations, cash flows and ability to make cash distributions and service or refinance our debt.</w:t>
      </w:r>
    </w:p>
    <w:p>
      <w:pPr>
        <w:spacing w:after="0" w:line="2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A number of vessel owners have ordered and taken delivery of so-called “eco-type” vessel designs, which offer substantial bunker savings, higher container intake as compared to older designs and comply with the latest regulatory and charterers’ requirements. Increased demand for and supply of “eco-type” vessels could reduce demand for our vessels that are not classified as such and expose us to lower vessel utilization and/or decreased charter rates.</w:t>
      </w:r>
    </w:p>
    <w:p>
      <w:pPr>
        <w:spacing w:after="0" w:line="7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majority of new orders of container vessels are based on new vessel designs, which purport to offer material bunker savings compared to older designs and higher container intakes. Such savings could result in a substantial reduction of bunker cost for charterers on a per unit basis. In addition, older designs may require additional capital expenditure in order to comply with regulatory and charterers’ requirements, such as the installation of Alternative Maritime Power or other equipment and/or modifications. As the supply of “eco-type” vessels increases, if charterers prefer such vessels over our vessels that are not classified as such, this may reduce demand for our non-“eco-type” vessels, impair our ability to re-charter such vessels at competitive rates or to re-charter such vessels at all, and have a material adverse effect on our business, financial condition, results of operations, cash flows and ability to make cash distributions and service or refinance our debt. See “Item 4.B: Business Overview—Our Fleet” for more information about the vessels in our fleet.</w:t>
      </w:r>
    </w:p>
    <w:p>
      <w:pPr>
        <w:spacing w:after="0" w:line="275"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If our container carrier vessel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1"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Our ten container carrier vessels are currently under charters with Hyundai Merchant Marine Co. Ltd. (“HMM”), CMA CGM Group (“CMA CGM”) and Pacific International Lines (PTE) Ltd Singapore (“PIL”). Currently we have only short-term charters at market rates with PIL.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Many liner companies, including our charterers, are highly leveraged. In recent years, a combination of factors, including, among other things, unavailability of credit, volatility in financial markets, overcapacity, competitive pressure, declines in world trade and depressed freight rates, have severely affected the financial condition of liner companies and their ability to make charter payments, which has resulted in a material increase in the credit and counterparty risks to which we are exposed and our ability to re-charter our vessels at competitive rates.</w:t>
      </w:r>
    </w:p>
    <w:p>
      <w:pPr>
        <w:spacing w:after="0" w:line="171"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Furthermore, the surplus of containerships available at lower charter rates and lack of demand for our charterers’ liner services could negatively impact our charterers’ willingness to perform their obligations under our time charters that provide for charter rates above current market rates.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HMM, the charterer of five of our container vessels, completed a financial restructuring in July 2016. Our subsidiaries owning vessels under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charter with HMM agreed a reduction of the charter rate payable under their respective charters by 20% to $23,480 per day (from a gross daily rate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$29,350) for a three and a half year period starting in July 2016 and ending in December 2019. The charter restructuring agreement entered into with HMM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that at the end of the charter reduction period, the charter rate under the respective charter parties will be restored to the original gross daily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$29,350 until the expiry of each charter in 2024 and 2025. There can however be no assurance that the financial restructuring of HMM will prove sufficient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ensure the financial viability of HMM, which still has a high level of indebtedness, and continued charter payments to us.</w:t>
      </w:r>
    </w:p>
    <w:p>
      <w:pPr>
        <w:spacing w:after="0" w:line="21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CMA-CGM, the charterer of three of our container vessels, was under financial stress in 2016, in part following its acquisition of Neptune Orient Lines Limited (NOL) and reported a $427.4 million net loss for the twelve-month period ended December 31, 2016.</w:t>
      </w:r>
    </w:p>
    <w:p>
      <w:pPr>
        <w:spacing w:after="0" w:line="170"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If one of our charterers defaults on our time charters for any reason, we may be unable to redeploy the vessel previously employed by such charterer on similarly favorable or on competitive terms or at all. Also, we will incur expenses to maintain and insure the vessel but will not receive any revenue if a vessel remains idle before being re-chartered. A variety of factors, including containership overcapacity and the expected increase in the world containership fleet over the next few years, may make it difficult for us to secure substitute employment, and any new charter arrangements may be at significantly lower rates.</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 failure of our charterers to comply with the terms of their respective charters, and our inability to replace such charters at minimum charter rates and maintain minimum financial ratios may result in an event of default under our credit facilities. The loss of our charterers or a decline in payments under our time charters could have a material adverse effect on our business, financial condition, results of operations, cash flows and our ability to make cash distributions and service or refinance our debt.</w:t>
      </w:r>
    </w:p>
    <w:p>
      <w:pPr>
        <w:spacing w:after="0" w:line="29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Many of our container vessels are under time charters at rates that are at a substantial premium to the spot and period markets, and our charterers’ failure to perform under our time charters could result in a significant loss of expected future revenues and cash flows.</w:t>
      </w:r>
    </w:p>
    <w:p>
      <w:pPr>
        <w:spacing w:after="0" w:line="38"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Our five container vessels that are chartered to HMM are each currently employed under 12-year time charters. Following HMM’s financial restructuring that was completed in July 2016, the charter rate payable under the respective charter parties was reduced to $23,480 per day (from a gross daily rate of $29,350) from July 2016 to December 2019. Our container vessels that are chartered to CMA CGM are each employed under time charters for a minimum of five years, at a gross charter rate of $39,250 per day, all of which were entered into in December 2013.</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Given that the rates we charge under these time charters are significantly higher than the current spot and period rates, failure to perform by any of these charterers could result in a significant loss of revenues, which may materially and adversely affect our business, financial condition, results of operation, cash flows and our ability to maintain cash distributions and service or refinance our debt. We could lose these charterers or the benefits of the charters if, among other things:</w:t>
      </w:r>
    </w:p>
    <w:p>
      <w:pPr>
        <w:spacing w:after="0" w:line="92" w:lineRule="exact"/>
        <w:rPr>
          <w:sz w:val="20"/>
          <w:szCs w:val="20"/>
          <w:color w:val="auto"/>
        </w:rPr>
      </w:pPr>
    </w:p>
    <w:p>
      <w:pPr>
        <w:ind w:left="1460" w:right="34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charterer is unable or unwilling to perform its obligations under the charters, including the payment of the agreed rates in a timely manner;</w:t>
      </w:r>
    </w:p>
    <w:p>
      <w:pPr>
        <w:spacing w:after="0" w:line="75"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charterer continues to face financial difficulties forcing it to declare bankruptcy, further restructure its operations or default under the charters;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4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fails to make charter payments because of its financial inability or its inability to trade our and other vessels profitably or due to the occurrence of losses due to the weaker charter markets;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fails to make charter payments due to distress, disagreements with us or otherwise;</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seeks to renegotiate the terms of the charter agreements due to prevailing economic and market conditions or due to its continued poor performance;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exercises certain rights to terminate the charters;</w:t>
      </w:r>
    </w:p>
    <w:p>
      <w:pPr>
        <w:spacing w:after="0" w:line="130" w:lineRule="exact"/>
        <w:rPr>
          <w:rFonts w:ascii="Arial" w:cs="Arial" w:eastAsia="Arial" w:hAnsi="Arial"/>
          <w:sz w:val="18"/>
          <w:szCs w:val="18"/>
          <w:color w:val="auto"/>
        </w:rPr>
      </w:pPr>
    </w:p>
    <w:p>
      <w:pPr>
        <w:ind w:left="1460" w:right="340" w:hanging="547"/>
        <w:spacing w:after="0" w:line="308" w:lineRule="auto"/>
        <w:tabs>
          <w:tab w:leader="none" w:pos="1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51" w:lineRule="exact"/>
        <w:rPr>
          <w:rFonts w:ascii="Arial" w:cs="Arial" w:eastAsia="Arial" w:hAnsi="Arial"/>
          <w:sz w:val="17"/>
          <w:szCs w:val="17"/>
          <w:color w:val="auto"/>
        </w:rPr>
      </w:pPr>
    </w:p>
    <w:p>
      <w:pPr>
        <w:ind w:left="1460" w:right="20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prolonged force majeure event affecting the charterer, including war or political unrest, prevents us from performing services for that charterer; or</w:t>
      </w:r>
    </w:p>
    <w:p>
      <w:pPr>
        <w:spacing w:after="0" w:line="75"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terminates the charters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In the event we lose the benefit of the charters with HMM or CMA CGM prior to their respective expiration date, we would have to re-charter the vessels at the then prevailing charter rates. In such event, we may not be able to obtain competitive or profitable rates for these vessels or we may not be able to re-charter these vessels at all and our business, financial condition, results of operation, cash flows and ability to make distribution and service or refinance our debt may be materially and adversely affected.</w:t>
      </w:r>
    </w:p>
    <w:p>
      <w:pPr>
        <w:spacing w:after="0" w:line="29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A decrease in the level of export of goods, in particular from Asia, or an increase in trade protectionism globally, including from the United States, could have a material adverse impact on our charterers’ business and, in turn, could cause a material adverse impact on our business, financial condition, results of operations, cash flows and ability to make cash distributions and service or refinance our debt.</w:t>
      </w:r>
    </w:p>
    <w:p>
      <w:pPr>
        <w:spacing w:after="0" w:line="5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Our operations expose us to the risk that increased trade protectionism from the United States or other nations adversely affect our business. 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 Trade protectionism in the markets that our charterers serve may cause an increase in the cost of exported goods, the length of time required to deliver goods and the risks associated with exporting goods and, as a result, a decline in the volume of exported goods and demand for shipping.</w:t>
      </w:r>
    </w:p>
    <w:p>
      <w:pPr>
        <w:spacing w:after="0" w:line="173"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The new U.S. president was elected on a platform promoting trade protectionism. The results of the presidential election have thus created significant uncertainty about the future relationship between the United States and China and other exporting countries, including with respect to trade policies, treaties, government regulations and tariffs. On January 23, 2017, the U.S. President signed an executive order withdrawing the United States from the Trans-Pacific Partnership, a global trade agreement intended to include the United States, Canada, Mexico, Peru and a number of Asian countries. Protectionist developments, or the perception they may occur, may have a material adverse effect on global economic conditions, and may significantly reduce global trade and, in particular, trade between the United States and other countries, including China.</w:t>
      </w:r>
    </w:p>
    <w:p>
      <w:pPr>
        <w:spacing w:after="0" w:line="178"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Our containerships are deployed on routes involving containerized trade in and out of emerging markets, and our charterers’ container shipping and business revenue may be derived from the shipment of goods from Asia to various overseas export markets, including the United States and Europe. Increasing trade protectionism may cause an increase in (i) the cost of goods exported from regions globally, particularly the Asia-Pacific region, (ii) the length of time required to transport goods and (iii) the risks associated with exporting goods. Such increases may further reduce the quantity of goods to be shipped, shipping time schedules, voyage costs and other associated costs which may adversely affect the business of our charterers. Any reduction in or hindrance to the output of Asia-based exporters could have a material adverse effect on the growth rate of Asia’s exports and on our charterers’ business, which may in turn affect their ability to make timely charter hire payments to us and to renew and increase the number of their time charters with us.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w:t>
      </w:r>
    </w:p>
    <w:p>
      <w:pPr>
        <w:spacing w:after="0" w:line="18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For example, starting in August 2014, China imposed a new tax for non-resident international transportation companies engaged in the provision of services in and out of China using their own or chartered or leased vessels, including any stevedore, warehousing and other services connected with the transportation. The new regulation broadens the range of international transportation companies that may become subject to Chinese corporate income tax on profits generated from international transportation services passing through Chinese ports. This tax or other similar regulations by China may result in an increase in the cost of imports to China, as well as a decrease in the quantity of goods to be shipped by our charterers to China. This could have an adverse impact on our charterers’ business, operating results and financial condition and could affect their willingness to renew or enter into their time charters with us.</w:t>
      </w:r>
    </w:p>
    <w:p>
      <w:pPr>
        <w:spacing w:after="0" w:line="189"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In addition, reforms in China for a gradual shift to a “market economy” including with respect to the prices of certain commodities, are unprecedented or experimental and may be subject to revision, change or abolition and if these reforms are reversed or amended, the level of imports to and exports from China could be adversely affected.</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Any new or increased trade barriers or restrictions on trade would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flows and our ability to make cash distributions and service or refinance our debt.</w:t>
      </w:r>
    </w:p>
    <w:p>
      <w:pPr>
        <w:spacing w:after="0" w:line="29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Containership values have been volatile over the last five years. Containership values may decrease and over time may fluctuate substantially, which may cause us to recognize losses if we sell our container vessels or record impairments and affect our ability to comply with our loan covenants or refinance our debt.</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Containership values can fluctuate substantially over time due to a number of different factors, including:</w:t>
      </w:r>
    </w:p>
    <w:p>
      <w:pPr>
        <w:spacing w:after="0" w:line="131" w:lineRule="exact"/>
        <w:rPr>
          <w:sz w:val="20"/>
          <w:szCs w:val="20"/>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economic conditions in the markets in which containerships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demand for containerships, including as a result of a substantial or extended decline in world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supply of containership capacity;</w:t>
      </w:r>
    </w:p>
    <w:p>
      <w:pPr>
        <w:spacing w:after="0" w:line="130"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charter rates and the cost of retrofitting or modifying existing ships to respond to technological advances in vessel design or equipment;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applicable environmental or other regulations or standards, or otherwise.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newbuilding prices for similar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demolition prices for similar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capital for investment in containerships including ship finance and public equity;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of containerships in the market for sale including mass disposals of containerships controlled by financing institutions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In addition, fire sales of vessels by some of our competitors, other fleet-owners that may be in distress or commercial banks foreclosing on collateral from time to time could, among other consequences, drive down vessel values.</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If the market values of our vessels deteriorate further,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the containerships at a reasonable price however could result in a loss. A further decline in the market value of our vessels could also lead to a default under our credit facilities and limit our ability to obtain additional financing and service or refinance our debt. If any of these circumstances were to happen, our business, financial condition, results of operation, cash flows and ability to make distributions may be materially and adversely affected.</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growth and our ability to re-charter our containerships depend on, among other things, our ability to expand relationships with existing charterers and develop relationships with new charterers, for which we will face substantial competition.</w:t>
      </w:r>
    </w:p>
    <w:p>
      <w:pPr>
        <w:spacing w:after="0" w:line="62"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process of obtaining new long-term time charters on containerships is highly competitive and generally involves an intensive screening process and competitive bids, and often extends for several months.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Containership charters are awarded based upon a variety of factors related to the vessel owner, including, among other things:</w:t>
      </w:r>
    </w:p>
    <w:p>
      <w:pPr>
        <w:spacing w:after="0" w:line="131"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charterer service and safety;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container shipping experience and quality of vessel operations, including cost 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the vessel owner’s financial stability generally;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130" w:lineRule="exact"/>
        <w:rPr>
          <w:rFonts w:ascii="Arial" w:cs="Arial" w:eastAsia="Arial" w:hAnsi="Arial"/>
          <w:sz w:val="18"/>
          <w:szCs w:val="18"/>
          <w:color w:val="auto"/>
        </w:rPr>
      </w:pPr>
    </w:p>
    <w:p>
      <w:pPr>
        <w:ind w:left="1460" w:right="96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obtain on-time delivery of new vessel according to charterer’s specifications;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willingness to accept operational risks under the charter, such as allowing termination of the charter for force majeure events; and</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Competition for providing containerships for chartering purposes comes from a number of experienced shipping companies, including direct competition from other independent charter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containership sector, including many with strong reputations and extensive resources and experience in the marine transportation industry. This increased competition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flows and ability to make cash distributions and to service or refinance our debt.</w:t>
      </w:r>
    </w:p>
    <w:p>
      <w:pPr>
        <w:spacing w:after="0" w:line="3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a more active short-term or spot containership market develops, we may have more difficulty entering into medium- to long-term, fixed-rate time charters and our existing charterers may begin to pressure us to reduce our charter rates.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One of our principal strategies is to enter into medium- to long-term, fixed-rate time charters. As more containerships become available for the short-term or spot market, we may have difficulty entering into additional medium- to long-term, fixed-rate time charters for our vessels due to the increased supply of vessels and possibly lower rates in the spot market. As a result, our cash flows may be subject to instability in the long term. Currently, two of our container vessels are chartered for less than two years. A more active short-term or spot containership market may require us to enter into charters based on changing market prices, as opposed to contracts based on a fixed rate, which could result in a decrease in our cash flows in periods when the market price for vessels is depressed or insufficient funds to cover our financing costs for related vessels. In addition, the development of an active short-term or spot containership market could affect rates under our existing time charters as our current charterers may begin to pressure us to reduce our rates.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to effectively manage our growth.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future growth will depend upon a number of factors, some of which we cannot control. These factors include, among other things, our 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460" w:right="36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capitalize on opportunities in the crude and product tanker, drybulk and container markets by fixing period charters for our vessels at attractive rates;</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financing for existing and new operations, including refinancing of indebtedness, and access to capital markets, including equity and debt capital markets;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businesses engaged in managing, operating or owning vessels for acquisitions or joint ventures;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vessels and/or shipping companies for acquisitions;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integrate any acquired businesses or vessels successfully with existing operations;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train and retain qualified personnel to manage, maintain and operate our business and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additional new markets;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improve operating and financial systems and controls;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accretive transactions in the future;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our commercial and technical management agreements with Capital Maritime or other competent managers.</w:t>
      </w:r>
    </w:p>
    <w:p>
      <w:pPr>
        <w:spacing w:after="0" w:line="225"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Our ability to grow is in part dependent on our ability to expand our fleet through acquisitions of suitable vessels. We may not be able to acquire newly built or secondhand vessels on favorable terms, which could impede our growth and negatively impact our financial condition and ability to pay cash distributions. We may not be able to contract for newbuildings or locate suitable vessels or negotiate acceptable construction or purchase contracts with shipyards and owners, or obtain financing for such acquisitions on economically acceptable terms, or at all. See also “—Risks Related to Financing Activities</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rely on the master limited partnership (“MLP”) structure and its appeal to investors for accessing debt and equity markets to finance our growth and</w:t>
      </w:r>
      <w:r>
        <w:rPr>
          <w:rFonts w:ascii="Arial" w:cs="Arial" w:eastAsia="Arial" w:hAnsi="Arial"/>
          <w:sz w:val="18"/>
          <w:szCs w:val="18"/>
          <w:color w:val="auto"/>
        </w:rPr>
        <w:t xml:space="preserve"> </w:t>
      </w:r>
      <w:r>
        <w:rPr>
          <w:rFonts w:ascii="Arial" w:cs="Arial" w:eastAsia="Arial" w:hAnsi="Arial"/>
          <w:sz w:val="18"/>
          <w:szCs w:val="18"/>
          <w:i w:val="1"/>
          <w:iCs w:val="1"/>
          <w:color w:val="auto"/>
        </w:rPr>
        <w:t>repay or refinance our debt.</w:t>
      </w:r>
      <w:r>
        <w:rPr>
          <w:rFonts w:ascii="Arial" w:cs="Arial" w:eastAsia="Arial" w:hAnsi="Arial"/>
          <w:sz w:val="18"/>
          <w:szCs w:val="18"/>
          <w:color w:val="auto"/>
        </w:rPr>
        <w:t>”</w:t>
      </w:r>
    </w:p>
    <w:p>
      <w:pPr>
        <w:spacing w:after="0" w:line="184"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Failure to effectively identify, purchase, develop, employ and integrate any vessels or businesses could negatively affect our competitiveness, which in turn could adversely affect our business, financial condition, results of operations, cash flows and our ability to make cash distributions and service or refinance our debt.</w:t>
      </w: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fees and expenses we pay to Capital Ship Management, a subsidiary of Capital Maritime, for services provided to us are substantial, fluctuate, cannot be easily predicted and may reduce our cash available for distribution to our unitholders.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have entered into three separate technical and commercial management agreements with Capital Ship Management, our Manager, for the management of our fleet. These include a fixed fee management agreement, a floating fee management agreement and, with respect to the vessels acquired as part of the merger with Crude Carriers, the Crude Carriers management agreement. Each vessel in our fleet is managed under the terms of one of these three agreements. Please read “Item 4B: Business Overview—Our Management Agreements” for information on the main terms of our three management agreements.</w:t>
      </w:r>
    </w:p>
    <w:p>
      <w:pPr>
        <w:spacing w:after="0" w:line="188"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Expenses incurred to manage our fleet depend upon a variety of factors, many of which are beyond our or our Manager’s control. Some of these costs, primarily relating to crewing, insurance and enhanced security measures, have increased in the past and may continue to increase in the future. Rises in any of these costs, to the extent charged to us, will reduce our earnings, cash flows and the amount of cash available for distribution to our unitholders.</w:t>
      </w:r>
    </w:p>
    <w:p>
      <w:pPr>
        <w:spacing w:after="0" w:line="14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Furthermore, we expect that as the fixed fee management agreement expires for the two remaining vessels to which it currently applies or as we acquire new vessels, these vessels will be managed under floating fee management agreements on terms similar to those currently in place. The level of our operating costs is likely to be more volatile under floating fee arrangements than under fixed fee arrangements. In particular, any increase in the costs and expenses associated with the provision of our Manager’s services, by reason, for example, of the condition and age of our vessels, costs of crews for our time chartered vessels and insurance, will be borne by us.</w:t>
      </w:r>
    </w:p>
    <w:p>
      <w:pPr>
        <w:spacing w:after="0" w:line="188" w:lineRule="exact"/>
        <w:rPr>
          <w:sz w:val="20"/>
          <w:szCs w:val="20"/>
          <w:color w:val="auto"/>
        </w:rPr>
      </w:pPr>
    </w:p>
    <w:p>
      <w:pPr>
        <w:ind w:right="440" w:firstLine="913"/>
        <w:spacing w:after="0" w:line="286" w:lineRule="auto"/>
        <w:rPr>
          <w:sz w:val="20"/>
          <w:szCs w:val="20"/>
          <w:color w:val="auto"/>
        </w:rPr>
      </w:pPr>
      <w:r>
        <w:rPr>
          <w:rFonts w:ascii="Arial" w:cs="Arial" w:eastAsia="Arial" w:hAnsi="Arial"/>
          <w:sz w:val="17"/>
          <w:szCs w:val="17"/>
          <w:color w:val="auto"/>
        </w:rPr>
        <w:t>The payment of fees to Capital Ship Management and compensation for expenses and liabilities incurred on our behalf, as well as the costs associated with future drydockings and/or intermediate surveys on our vessels, which can be significant, may adversely affect our business, financial condition, results of operations, cash flows and our ability to make cash distributions and service or refinance our debt.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pay any distributions on our units.</w:t>
      </w:r>
    </w:p>
    <w:p>
      <w:pPr>
        <w:spacing w:after="0" w:line="117"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Our board of directors determines our cash distribution policy and the level of our cash distributions. Generally, our board of directors seeks to maintain a balance between the level of reserves it takes to protect our financial position and liquidity against the desirability of maintaining distributions on our limited partnership interests. We intend to review our distributions from time to time in the light of a range of factors, including our ability to obtain required financing and access financial markets, the repayment or refinancing of our external debt, the level of our capital expenditures, our ability to pursue accretive transactions, our financial condition, results of operations, prospects and applicable provisions of Marshall Islands law.</w:t>
      </w:r>
    </w:p>
    <w:p>
      <w:pPr>
        <w:spacing w:after="0" w:line="15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Under the terms of our partnership agreement, we are prohibited from declaring and paying distributions on our common units until we declare and pay, or set aside for payment, full distributions on our Class B Units. As of December 31, 2017, there were 12,983,333 Class B Units issued and outstanding. The minimum quarterly distribution on our Class B Units is $0.21375 per unit, which is equal to $0.86 per unit per year, until May 22, 2022 and will thereafter increase to a rate that is 1.25 times the then applicable distribution rate on May 22, 2022, and continue to increase quarterly at a rate of 1.25 times the prior quarterly distribution rate, subject to certain adjustments and a limit of $0.33345 per Class B Unit, which is equal to $1.3338 per unit per year. Among other consequences, if we fail to pay the minimum Class B Unit distribution for six or more quarters, the holders of the Class B Units will have the right to appoint a director to our board of directors and, if such arrearages exist after March 1, 2018, to replace the directors appointed by our General Partner, in each case by the affirmative vote of the holders of a majority of the Class B Units.</w:t>
      </w:r>
    </w:p>
    <w:p>
      <w:pPr>
        <w:spacing w:after="0" w:line="179"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We may not have sufficient cash available each quarter to pay a minimum quarterly distribution on our common units following the payment of fees and expenses, the establishment by our board of directors of cash reserves, and the declaration of the minimum quarterly distribution on our Class B Units. In April 2016, in the face of severely depressed trading prices for master limited partnerships, including us, a significant increase in our cost of capital and potential loss of revenue, our board of directors took the decision to protect our liquidity position by creating a capital reserve and setting distributions on our common units at a level that our board of directors believed to be sustainable and consistent with the proper conduct of our business. We have paid significantly less than the minimum quarterly distribution on our common units since the first quarter of 2016. The minimum quarterly distribution is a target set in our limited partnership agreement. There is no requirement that we make a distribution in this amount.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distribution policy from time to time will depend on, among other things, shipping market developments and the charter rates we are able to negotiate when we re-charter our vessels, our cash earnings, financial condition and cash requirements, and could be affected by a variety of factors, including increased or unanticipated expenses, the loss of a vessel, required capital expenditures, reserves established by our board of directors, refinancing or repayment of indebtedness, additional borrowings, compliance with our loan covenants, our anticipated future cost of capital, access to financing and equity and debt capital markets, including for the purposes of refinancing or repaying existing indebtedness, and asset valuations. Our distribution policy may be changed at any time, and from time to time, by our board of directors.</w:t>
      </w:r>
    </w:p>
    <w:p>
      <w:pPr>
        <w:spacing w:after="0" w:line="193"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Our ability to make cash distributions is also limited under Marshall Islands law. A Marshall Islands limited partnership cannot make a cash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its assets. For purposes of this test, the fair value of property that is subject to a liability for which the recourse of creditors is limited shall be included in the assets of the limited partnership only to the extent that the fair value of that property exceeds such liability.</w:t>
      </w:r>
    </w:p>
    <w:p>
      <w:pPr>
        <w:spacing w:after="0" w:line="158"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we may not make cash distributions in certain periods even if we were to record a positive net income in those periods. Conversely, we may make cash distributions during periods when we record losses.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light of the factors described above and elsewhere in this annual report, there can be no assurance that we will pay any distributions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units are equity securities and are subordinated to our existing and future indebtedness and our Class B Units.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Our common units are equity interests and do not constitute indebtedness. Our common units rank junior to all indebtedness and other non-equity claims on us with respect to the assets available to satisfy claims, including in a liquidation of the Partnership. Additionally, holders of our common units are subject to the prior distribution and liquidation rights of any holders of the Class B Units and any other preferred units we may issue in the future. Therefore, we are prohibited from making distributions on our common units under our partnership agreement until all accrued and unpaid distributions are paid on the Class B Units.</w:t>
      </w:r>
    </w:p>
    <w:p>
      <w:pPr>
        <w:spacing w:after="0" w:line="188"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Our board of directors is authorized to issue additional classes or series of preferred units without the approval or consent of the holders of our common units. In addition, holders of the Class B Units have the right to convert all or a portion of their Class B Units at any time into common units. As of December 31, 2017, there were 12,983,333 Class B Units issued and outstanding.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reduction in the amount of distributions made on our common units could materially and adversely affect the market price of the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Since 2011, our board of directors has elected not to deduct cash reserves for estimated replacement capital expenditures from our operating surplus. If this practice continues, our asset base and the income generating capacity of our fleet may be significantly affected.</w:t>
      </w:r>
    </w:p>
    <w:p>
      <w:pPr>
        <w:spacing w:after="0" w:line="3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partnership agreement provides that our board of directors shall deduct from operating surplus cash reserves that it determines are necessary to fund our future operating expenditures, including estimated maintenance capital expenditures. The amount of estimated maintenance capital expenditures deducted from operating surplus is subject to review and change by our board of directors, provided that any change must be approved by our conflicts committee.</w:t>
      </w:r>
    </w:p>
    <w:p>
      <w:pPr>
        <w:spacing w:after="0" w:line="187"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Replacement capital expenditures are made in order to maintain our asset base and the income generating capacity of our fleet. We have in the past incurred substantial replacement capital expenditures. Replacement capital expenditures may vary over time as a result of a range of factors, including changes in:</w:t>
      </w:r>
    </w:p>
    <w:p>
      <w:pPr>
        <w:spacing w:after="0" w:line="87" w:lineRule="exact"/>
        <w:rPr>
          <w:sz w:val="20"/>
          <w:szCs w:val="20"/>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the vessels in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governmental regulations, industry and maritime self-regulatory organization standards relating to safety, security or the environment.</w:t>
      </w:r>
    </w:p>
    <w:p>
      <w:pPr>
        <w:spacing w:after="0" w:line="24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Since 2011, our board of directors has elected not to deduct any cash reserves for estimated replacement capital expenditures from our operating surplus. We account for maintenance capital expenditures required to maintain the operating capacity of our vessels, including any amortization of drydocking costs associated with scheduled drydockings, as part of our operating costs, which are reflected in our operating income.</w:t>
      </w:r>
    </w:p>
    <w:p>
      <w:pPr>
        <w:spacing w:after="0" w:line="166"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As a result of this practice, we have become significantly more reliant on our ability to obtain required financing and access the financial markets to fund our replacement capital expenditures from time to time. If this practice continues and external funding is not available to us for any reason, our ability to acquire new vessels or replace a vessel in our fleet to maintain our asset base and our income generating capacity may be significantly impaired, which would negatively affect our business, financial condition, results of operations, cash flows and ability to make cash distributions and service or refinance our debt.</w:t>
      </w:r>
    </w:p>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our vessels come up for their scheduled drydockings the number of off-hire days of our fleet will increase and we will incur expenses related to the drydockings and as a result our cash available for distribution to our unitholders may decrease.</w:t>
      </w:r>
    </w:p>
    <w:p>
      <w:pPr>
        <w:spacing w:after="0" w:line="62"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Once one of our vessels is drydocked, it is automatically considered to be off-hire for the duration of the special or intermediate survey and associated drydocking, which means that for such period of time that vessel will not be earning any revenues. None of our vessels was drydocked in 2017. Five of our vessels are scheduled to be drydocked in 2018.</w:t>
      </w:r>
    </w:p>
    <w:p>
      <w:pPr>
        <w:spacing w:after="0" w:line="18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During the drydocking of our vessels, we may incur or may be obligated to reimburse our manager for certain costs, including, among other things, the installation of the ballast water treatment system for vessels.Consequently, as scheduled drydockings for our vessels approach, the number of off-hire days of our fleet and operating expenses increase, which may materially affect our cash available for distribution to our unitholders. In addition, we may decide to put any of our vessels into drydock before the scheduled drydocking date in anticipation of regulatory changes, opportunities in the charter market or if we deem that, due to the position of the vessel, it will be less costly to put the vessel into drydock at the time.</w:t>
      </w: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62"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Our vessels and their cargoes are at risk of being damaged or lost because of events such as marine disasters, bad weather, business interruptions caused by mechanical failures, grounding, fire, explosions and collisions, human error, war, terrorism, piracy and other circumstances or events. In addition, the operation of tankers has unique operational risks associated with the transportation of oil. Compared to other types of vessels, tankers are exposed to a higher risk of damage and loss by fire, whether ignited by a terrorist attack, collision or other cause, due to the high flammability and high volume of the oil transported in tankers.</w:t>
      </w:r>
    </w:p>
    <w:p>
      <w:pPr>
        <w:spacing w:after="0" w:line="188"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vessels are forced to wait for space or to travel to more distant drydocking facilities may adversely affect our business and financial condition. Further, the total loss of any of our vessels could harm our reputation as a safe and reliable vessel owner and operator. If we are unable to adequately maintain or safeguard our vessels, we may be unable to prevent any such damage, costs or loss, which could negatively impact our business, financial condition, results of operations, cash flows and ability to make cash distributions and service or refinance our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Arrests of our vessels by maritime claimants could cause a significant loss of earnings for the related off-hire period.</w:t>
      </w:r>
    </w:p>
    <w:p>
      <w:pPr>
        <w:spacing w:after="0" w:line="11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a significant loss of earnings for the related off-hire period, which could adversely affect our business, financial condition, results of operations, cash flows and ability to make cash distributions and service or refinance our debt.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loss of earnings.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make cash distributions and service or refinance our debt.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continued and could adversely affect our business.</w:t>
      </w:r>
    </w:p>
    <w:p>
      <w:pPr>
        <w:spacing w:after="0" w:line="117" w:lineRule="exact"/>
        <w:rPr>
          <w:sz w:val="20"/>
          <w:szCs w:val="20"/>
          <w:color w:val="auto"/>
        </w:rPr>
      </w:pPr>
    </w:p>
    <w:p>
      <w:pPr>
        <w:jc w:val="both"/>
        <w:ind w:right="180" w:firstLine="913"/>
        <w:spacing w:after="0" w:line="286" w:lineRule="auto"/>
        <w:rPr>
          <w:sz w:val="20"/>
          <w:szCs w:val="20"/>
          <w:color w:val="auto"/>
        </w:rPr>
      </w:pPr>
      <w:r>
        <w:rPr>
          <w:rFonts w:ascii="Arial" w:cs="Arial" w:eastAsia="Arial" w:hAnsi="Arial"/>
          <w:sz w:val="17"/>
          <w:szCs w:val="17"/>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off the coast of Somalia and increasingly in the Gulf of Guinea.</w:t>
      </w:r>
    </w:p>
    <w:p>
      <w:pPr>
        <w:spacing w:after="0" w:line="166"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If these piracy attacks result in regions in which our vessels are deployed being characterized by insurers as “war risk” zones or Joint War Committee “war and strikes”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We may not be adequately insured to cover aspects of loss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 and service or refinance our debt, as well as result in increased costs and decreased cash flows to our charterers impairing their ability to make payments to us under our charters.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fuel prices could adversely affect our profits.</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bunkers consumed, which can be a significant vessel expense. Spot charter arrangements generally provide that the vessel owner, or pool operator where relevant, bear the cost of fuel. Because we do not intend to hedge our fuel costs, an increase in the price of fuel beyond our expectations may adversely affect our profitability, cash flows and ability to pay cash distributions and service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or refinance our debt. The price and supply of fuel is unpredictable and fluctuates as a result of events outside our control, including geo-political developments,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addition, the International Maritime Organization confirmed in October 2016 that a global 0.5% sulphur cap on marine fuels will come into force on January 1, 2020, as stipulated in 2008 amendments to Annex VI to the International Convention for the Prevention of Pollution from ships (“MARPOL”). See “—Risks Inherent in Our Operations—</w:t>
      </w:r>
      <w:r>
        <w:rPr>
          <w:rFonts w:ascii="Arial" w:cs="Arial" w:eastAsia="Arial" w:hAnsi="Arial"/>
          <w:sz w:val="18"/>
          <w:szCs w:val="18"/>
          <w:i w:val="1"/>
          <w:iCs w:val="1"/>
          <w:color w:val="auto"/>
        </w:rPr>
        <w:t>The maritime transportation industry is subject to substantial environmental and other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international standards, which may significantly limit our operations or increase our expenditures</w:t>
      </w:r>
      <w:r>
        <w:rPr>
          <w:rFonts w:ascii="Arial" w:cs="Arial" w:eastAsia="Arial" w:hAnsi="Arial"/>
          <w:sz w:val="18"/>
          <w:szCs w:val="18"/>
          <w:color w:val="auto"/>
        </w:rPr>
        <w:t>”. A potential shortage of low sulphur marine fuels</w:t>
      </w:r>
      <w:r>
        <w:rPr>
          <w:rFonts w:ascii="Arial" w:cs="Arial" w:eastAsia="Arial" w:hAnsi="Arial"/>
          <w:sz w:val="18"/>
          <w:szCs w:val="18"/>
          <w:i w:val="1"/>
          <w:iCs w:val="1"/>
          <w:color w:val="auto"/>
        </w:rPr>
        <w:t xml:space="preserve"> </w:t>
      </w:r>
      <w:r>
        <w:rPr>
          <w:rFonts w:ascii="Arial" w:cs="Arial" w:eastAsia="Arial" w:hAnsi="Arial"/>
          <w:sz w:val="18"/>
          <w:szCs w:val="18"/>
          <w:color w:val="auto"/>
        </w:rPr>
        <w:t>could drive prices upwards, which could adversely affect our profit margins if our vessels are being chartered on the spot market or are off-hire or the profit margins of our charterers.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Investigations of Greek Professional Football (Soccer).</w:t>
      </w:r>
    </w:p>
    <w:p>
      <w:pPr>
        <w:spacing w:after="0" w:line="117"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Since 2011, Greek authorities have investigated allegations of match-fixing and other improprieties related to professional football in Greece. Mr. Evangelos M. Marinakis, our former chairman and the founder and current chairman of Capital Maritime, together with a number of other individuals, were identified as subjects of these investigations. Mr. Marinakis has been the principal owner of Olympiacos, a Greek professional football team, since January 2011 and has served as President of Olympiacos since December 2010. In June 2015, the judge in charge of the investigations provisionally ordered Mr. Marinakis to report periodically to a police station, deposit €200,000 as security and refrain from football-related activities pending determination of the charges. Mr. Marinakis has advised us that he cooperated with the investigations and denies any wrongdoing.</w:t>
      </w:r>
    </w:p>
    <w:p>
      <w:pPr>
        <w:spacing w:after="0" w:line="16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Mr. Marinakis has advised us that, in November 2017, the judicial council of the Court of Appeals (the “judicial council”) indicted him, together with 27 other individuals, for the charge of match-fixing in respect of two soccer matches, as well as, together with seven other individuals, for the attendant charge of joint criminal enterprise, while unanimously dropping all other charges that had previously been investigated. The judicial council unanimously rejected imposing provisional custody on Mr. Marinakis; however, the provisional measures described above continue to apply. The judicial council’s decision was appealed by the Supreme Court deputy public prosecutor in December 2017. If the appeal is successful the judicial council will re-examine all charges </w:t>
      </w:r>
      <w:r>
        <w:rPr>
          <w:rFonts w:ascii="Arial" w:cs="Arial" w:eastAsia="Arial" w:hAnsi="Arial"/>
          <w:sz w:val="18"/>
          <w:szCs w:val="18"/>
          <w:i w:val="1"/>
          <w:iCs w:val="1"/>
          <w:color w:val="auto"/>
        </w:rPr>
        <w:t>de novo</w:t>
      </w:r>
      <w:r>
        <w:rPr>
          <w:rFonts w:ascii="Arial" w:cs="Arial" w:eastAsia="Arial" w:hAnsi="Arial"/>
          <w:sz w:val="18"/>
          <w:szCs w:val="18"/>
          <w:color w:val="auto"/>
        </w:rPr>
        <w:t>. None of the potential sentences that the charges carry would require Mr. Marinakis to dispose of his ownership interest in Capital Maritime or us.</w:t>
      </w:r>
    </w:p>
    <w:p>
      <w:pPr>
        <w:spacing w:after="0" w:line="189"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Capital Maritime has advised us that it is unable to assess what, if any, reputational and other harm Capital Maritime and we may suffer as a result of the proceedings described above. For more information on the risks arising from our relationship with Capital Maritime, see “Item 3.D—Risk Factors—Risk inherent in our operations—</w:t>
      </w:r>
      <w:r>
        <w:rPr>
          <w:rFonts w:ascii="Arial" w:cs="Arial" w:eastAsia="Arial" w:hAnsi="Arial"/>
          <w:sz w:val="17"/>
          <w:szCs w:val="17"/>
          <w:i w:val="1"/>
          <w:iCs w:val="1"/>
          <w:color w:val="auto"/>
        </w:rPr>
        <w:t>We depend on Capital Maritime and its affiliates to assist us in operating and expanding our business. If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Maritime is materially adversely affected by market fluctuations, and risks or suffers material damage to its reputation, its ability to comply with the terms of its charters with us or provide us with the necessary level of services to support and expand our business may be negatively affected.</w:t>
      </w:r>
      <w:r>
        <w:rPr>
          <w:rFonts w:ascii="Arial" w:cs="Arial" w:eastAsia="Arial" w:hAnsi="Arial"/>
          <w:sz w:val="17"/>
          <w:szCs w:val="17"/>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The vessels that we have acquired or may acquire in the future, from Capital Maritime or third parties, may not meet our design or cost savings expectations.</w:t>
      </w:r>
    </w:p>
    <w:p>
      <w:pPr>
        <w:spacing w:after="0" w:line="62"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Since 2015 we have acquired or agreed to acquire eight vessels from our sponsor Capital Maritime, comprising three newbuild Daewoo eco-flex containerships, one Aframax crude oil tanker and four newbuild Samsung eco medium range product tankers. These vessels incorporate many technological and design features, such as new hull and propulsion designs, energy saving devices, de-rated electronic engines and other equipment not previously tested on our other vessels. Certain of these vessels were also constructed at shipyards and by vessel construction firms with which we have not previously worked. While we expect that vessels with such features will generate increased cost savings and, in turn, increase demand for our charters, there is no assurance that they will do so. For example, if the current trend of decreased costs for oil and bunkers were to continue, it could substantially reduce the cost savings these vessels are expected to deliver to our charterers. If they do not generate the cost reduction benefits that we anticipate, competition from vessels without these features, but with lower charter rates, could adversely affect the amount of charter hire payments we receive for the vessels and, in turn, our return on investment on such vessels. As a result, our business, financial condition, results of operations, cash flows, and ability to make distributions and service or refinance our debt could be adversely affected.</w:t>
      </w:r>
    </w:p>
    <w:p>
      <w:pPr>
        <w:spacing w:after="0" w:line="286"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We rely on information systems to conduct our business, and failure to protect these systems against security breaches could have a material adverse impact on our business, financial condition, results of operations, cash flows and ability to make cash distributions and service or refinance our debt.</w:t>
      </w:r>
    </w:p>
    <w:p>
      <w:pPr>
        <w:spacing w:after="0" w:line="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efficient operation of our business is dependent on information technology systems and networks, which are provided by our Manager. Our operations could be targeted by individuals or groups seeking to sabotage or disrupt our information technology systems and networks, or to steal data. A successful cyber-attack could materially disrupt our operations, including the safety or operation of our vessels, or lead to unauthorized release of information or alteration of information on our systems. Any such attack or other breach of our information technology systems could have a material adverse impact on our business, financial condition, results of operations, cash flows and ability to make cash distributions and service or refinance our debt.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FINANCING ACTIVITIES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We are reliant on our ability to obtain required financing and access the financial markets. Therefore, we may be 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reliant on our ability to obtain required financing and access the financial markets to operate and grow our business.</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However, asset impairments, financial stress, enforcement actions and credit rating pressures experienced in recent years by financial institutions, in particular in the wake of the 2008 financial crisis, combined with a general decline in the willingness of financial institutions to extend credit to the shipping industry due to depressed shipping rates and the deterioration of asset values that have led to losses in many banks’ shipping portfolios, as well as changes in overall banking regulations (including, for example, Basel III) have severely constrained the availability of credit supply for shipping companies such as us. For example, following heavy losses in its shipping portfolio and at the EU Commission’s behest, one of our main lenders, state-backed HSH Nordbank AG (“HSH”), must be privatized or mandatorily wound down.</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addition, 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product tankers, drybulk and container vessels, whether as a result of general economic conditions or the financial condition of charterers and operators of vessels, (iii) weaknesses in the financial markets, (iv) restrictions imposed by our credit facilities, such as collateral maintenance requirements, which could limit our ability to incur additional secured financing and (v) other contingencies and uncertainties, which may be beyond our control. Continued access to external financing and the capital markets is not assured.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As a result, our ability to obtain financing to fund capital expenditures, acquire new vessels or refinance our existing indebtedness is and may continue to be limited. If we are unable to obtain additional financing or issue further equity or debt securities, our ability to fund current and future obligations may be impaired. In addition, restrictions in the availability of credit supply may result in higher interest costs, which would reduce our available cash for distributions. Any failure to obtain funds for necessary future capital expenditures, to grow our asset base or, in time, to refinance our existing indebtedness on terms that are commercially acceptable could have a material adverse impact on our business, financial condition, results of operations, cash flows and our ability to make cash distributions and service or refinance our debt, and could cause the market price of our common units to decline.</w:t>
      </w:r>
    </w:p>
    <w:p>
      <w:pPr>
        <w:spacing w:after="0" w:line="2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rely on the master limited partnership (“MLP”) structure and its appeal to investors for accessing debt and equity markets to finance our growth and repay or refinance our debt. The recent drop in energy prices has, among other factors, caused increased volatility and contributed to a dislocation in pricing for MLPs.</w:t>
      </w:r>
    </w:p>
    <w:p>
      <w:pPr>
        <w:spacing w:after="0" w:line="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fall in energy prices and, in particular, the price of oil, among other factors, has contributed to increased volatility in the pricing of MLPs and the energy debt markets, as a number of MLPs and other energy companies may be adversely affected by a lower energy prices environment. A number of MLPs, including certain maritime MLPs and us, have reduced or eliminated their distributions to unitholders.</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rely on our ability to obtain financing and to raise capital in the equity and debt markets to fund our capital replacement, growth and investment expenditures, and to refinance our debt. A protracted deterioration in the valuation of our common units would increase our cost of capital, make any equity issuance significantly dilutive and may affect our ability to access capital markets and, as a result, our capacity to pay distributions to our unitholders and service or refinance our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financial institutions hold our cash, including, from time to time, financial institutions located in Greece.</w:t>
      </w:r>
    </w:p>
    <w:p>
      <w:pPr>
        <w:spacing w:after="0" w:line="117"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We maintain our cash with a limited number of financial institutions, occasionally including institutions located in Greece. Of these financial institutions located in Greece, some are subsidiaries of international banks and others are Greek financial institutions. These balances may not be covered by insurance in the event of default by these financial institutions. The ongoing fiscal situation and political uncertainty in Greece may result in an event of default by some or all of these financial institutions. The occurrence of such a default could have a material adverse effect on our business, financial condition, results of operations, cash flows and ability to make cash distribution and service or refinance our debt.</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could adversely affect our ability to finance our operations, refinance our existing indebtedness, pursue desirable business opportunities, successfully run our business or make cash distributions.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 of December 31, 2017, our total debt was $475.8 million, consisting of (i) $460.0 million outstanding under our 2017 credit facility and</w:t>
      </w:r>
    </w:p>
    <w:p>
      <w:pPr>
        <w:spacing w:after="0" w:line="35" w:lineRule="exact"/>
        <w:rPr>
          <w:sz w:val="20"/>
          <w:szCs w:val="20"/>
          <w:color w:val="auto"/>
        </w:rPr>
      </w:pPr>
    </w:p>
    <w:p>
      <w:pPr>
        <w:ind w:right="140" w:firstLine="8"/>
        <w:spacing w:after="0" w:line="261"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$15.8 million outstanding under the 2015 credit facility. Please see “Item 5.B. Liquidity and Capital Resources—Borrowings—Our Credit Facilities” for further information on our existing facilities.</w:t>
      </w:r>
    </w:p>
    <w:p>
      <w:pPr>
        <w:spacing w:after="0" w:line="18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Our 2017 credit facility is amortizing and is comprised of two tranches. Tranche A, amounting to $259.0 million, is secured by 11 of our vessels and is required to be repaid in 24 equal quarterly instalments of $4.8 million in addition to a balloon instalment of $143.0 million, which is payable together with the final quarterly instalment in the fourth quarter of 2023. Tranche B, amounting to $201.0 million, is secured by 24 of our vessels and is required to be repaid fully in 24 equal quarterly instalments of $8.4 million with the final quarterly instalment in the fourth quarter of 2023. The loans drawn under the 2017 credit facility bear interest at LIBOR plus a margin of 3.25%.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2017, the principal repayment schedule under our existing credit facilities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gridSpan w:val="4"/>
          </w:tcPr>
          <w:p>
            <w:pPr>
              <w:spacing w:after="0"/>
              <w:rPr>
                <w:sz w:val="20"/>
                <w:szCs w:val="20"/>
                <w:color w:val="auto"/>
              </w:rPr>
            </w:pPr>
            <w:r>
              <w:rPr>
                <w:rFonts w:ascii="Arial" w:cs="Arial" w:eastAsia="Arial" w:hAnsi="Arial"/>
                <w:sz w:val="14"/>
                <w:szCs w:val="14"/>
                <w:color w:val="auto"/>
              </w:rPr>
              <w:t>Facility</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4"/>
                <w:szCs w:val="14"/>
                <w:color w:val="auto"/>
                <w:w w:val="96"/>
              </w:rPr>
              <w:t>(Expressed in millions of United States Dollars)</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22"/>
        </w:trPr>
        <w:tc>
          <w:tcPr>
            <w:tcW w:w="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7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Facility(1)</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4"/>
              </w:rPr>
              <w:t>2015</w:t>
            </w: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Credit Facility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w:t>
            </w:r>
          </w:p>
        </w:tc>
        <w:tc>
          <w:tcPr>
            <w:tcW w:w="6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186.7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475.8</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6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repayment schedule of the 2017 credit facility reflects the estimated partial prepayment of $14.8 million of Tranche A in connection to the sale of the M/T Aristotelis in 2018.</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On January 17, 2018, we acquired the eco-type crude tanker “Aristaios” for a total consideration of $52.5 million from Capital Maritime. We funded the acquisition through available cash and the assumption of a $28.3 million term loan under a credit facility (the “Aristaios credit facility”) previously arranged by Capital Maritime with Credit Agricole Corporate and Investment Bank and ING Bank NV. The term loan bears interest at LIBOR plus a margin of 2.85% and is payable in twelve consecutive semi-annual instalments of approximately $0.9 million beginning in July 2018, plus a balloon payment payable together with the last semi-annual instalment due in January 2024.</w:t>
      </w:r>
    </w:p>
    <w:p>
      <w:pPr>
        <w:spacing w:after="0" w:line="18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addition, on January 22, 2018, we agreed to acquire, subject to the successful completion of the sale of the M/T Aristotelis, the eco-type MR product tanker M/T Anikitos for a total consideration of approximately $31.5 million from Capital Maritime. We intend to fund the acquisition of the M/T Anikitos with the net proceeds to be received from the sale of the M/T Aristotelis, available cash and the assumption of a term loan under a credit facility previously arranged by Capital Maritime with ING Bank NV in a principal amount equal to approximately 50% of the vessel’s charter free market value at the time of the dropdown. The term loan is non-amortizing for a period of two years from the anniversary of the dropdown with an expected final maturity date in June 2023 and bears interest at LIBOR plus a margin of 2.50%.</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leverage and debt service obligations could have a significant impact on our operations, including the following:</w:t>
      </w:r>
    </w:p>
    <w:p>
      <w:pPr>
        <w:spacing w:after="0" w:line="131" w:lineRule="exact"/>
        <w:rPr>
          <w:sz w:val="20"/>
          <w:szCs w:val="20"/>
          <w:color w:val="auto"/>
        </w:rPr>
      </w:pPr>
    </w:p>
    <w:p>
      <w:pPr>
        <w:ind w:left="1460" w:right="22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amortization expenses under our existing credit facilities may restrict our ability to pay cash distributions to our unitholders, to manage ongoing business activities and to pursue new acquisitions, investments or capital expenditures;</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indebtedness will have the general effect of reducing our flexibility to react to changing business and economic conditions and, therefore, may pose substantial risks to our business and our unitholders;</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that we are liquidated, any of our senior or subordinated creditors and any senior or subordinated creditors of our subsidiaries will be entitled to payment in full prior to any distributions to our unitholders;</w:t>
      </w:r>
    </w:p>
    <w:p>
      <w:pPr>
        <w:spacing w:after="0" w:line="75"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secure additional financing, or to refinance our credit facilities, may be substantially restricted by the existing level of our indebtedness and the restrictions contained in our debt instruments;</w:t>
      </w:r>
    </w:p>
    <w:p>
      <w:pPr>
        <w:spacing w:after="0" w:line="170"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While our leverage is significant, if future cash flows are insufficient to fund capital expenditures and other expenses or investments, we may need to incur further indebtedness. See “Risks Related to Our Business and Operations—</w:t>
      </w:r>
      <w:r>
        <w:rPr>
          <w:rFonts w:ascii="Arial" w:cs="Arial" w:eastAsia="Arial" w:hAnsi="Arial"/>
          <w:sz w:val="18"/>
          <w:szCs w:val="18"/>
          <w:i w:val="1"/>
          <w:iCs w:val="1"/>
          <w:color w:val="auto"/>
        </w:rPr>
        <w:t>Since 2011, our board of directors has elected not to deduct cash</w:t>
      </w:r>
      <w:r>
        <w:rPr>
          <w:rFonts w:ascii="Arial" w:cs="Arial" w:eastAsia="Arial" w:hAnsi="Arial"/>
          <w:sz w:val="18"/>
          <w:szCs w:val="18"/>
          <w:color w:val="auto"/>
        </w:rPr>
        <w:t xml:space="preserve"> </w:t>
      </w:r>
      <w:r>
        <w:rPr>
          <w:rFonts w:ascii="Arial" w:cs="Arial" w:eastAsia="Arial" w:hAnsi="Arial"/>
          <w:sz w:val="18"/>
          <w:szCs w:val="18"/>
          <w:i w:val="1"/>
          <w:iCs w:val="1"/>
          <w:color w:val="auto"/>
        </w:rPr>
        <w:t>reserves for estimated replacement capital expenditures from our operating surplus. If this practice continues, our asset base and the income generating capacity of our fleet may be significantly affected.</w:t>
      </w:r>
      <w:r>
        <w:rPr>
          <w:rFonts w:ascii="Arial" w:cs="Arial" w:eastAsia="Arial" w:hAnsi="Arial"/>
          <w:sz w:val="18"/>
          <w:szCs w:val="18"/>
          <w:color w:val="auto"/>
        </w:rPr>
        <w:t>”</w:t>
      </w:r>
    </w:p>
    <w:p>
      <w:pPr>
        <w:spacing w:after="0" w:line="18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Any of the risks described above may have a material adverse effect on our business, financial condition, results of operations, cash flows and ability to make cash distributions and to service or refinance our debt.</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credit facilities contain, and we expect that any new or amended credit facilities we may enter into will contain, restrictive covenants, which may limit our business and financing activities, including our ability to make cash distributions.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Operating and financial restrictions and covenants under our credit facilities and any new or amended credit facility we enter into in the future could adversely affect our ability to finance future operations or capital needs or to engage, expand or pursue our business activities. For example, our credit facilities require the consent of our lenders to, or limit our ability to, among other things:</w:t>
      </w:r>
    </w:p>
    <w:p>
      <w:pPr>
        <w:spacing w:after="0" w:line="87"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 charge, pledge or allow our vessels to be encumbered by any maritime or other lien or any other security interest of any kind except in the ordinary course of business;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our vessels, including fees payable under the management agreements.</w:t>
      </w:r>
    </w:p>
    <w:p>
      <w:pPr>
        <w:spacing w:after="0" w:line="170" w:lineRule="exact"/>
        <w:rPr>
          <w:sz w:val="20"/>
          <w:szCs w:val="20"/>
          <w:color w:val="auto"/>
        </w:rPr>
      </w:pPr>
    </w:p>
    <w:p>
      <w:pPr>
        <w:ind w:right="660" w:firstLine="913"/>
        <w:spacing w:after="0" w:line="342" w:lineRule="auto"/>
        <w:rPr>
          <w:sz w:val="20"/>
          <w:szCs w:val="20"/>
          <w:color w:val="auto"/>
        </w:rPr>
      </w:pPr>
      <w:r>
        <w:rPr>
          <w:rFonts w:ascii="Arial" w:cs="Arial" w:eastAsia="Arial" w:hAnsi="Arial"/>
          <w:sz w:val="16"/>
          <w:szCs w:val="16"/>
          <w:color w:val="auto"/>
        </w:rPr>
        <w:t>Our credit facilities also require us to comply with the International Safety Management Code and to maintain valid safety management certificates and documents of compliance at all times. In addition, our credit facilities require us to comply with certain financial covenants:</w:t>
      </w:r>
    </w:p>
    <w:p>
      <w:pPr>
        <w:spacing w:after="0" w:line="29"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maintain minimum free consolidated liquidity of at least $500,000 per collateralized vessel;</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maintain a ratio of EBITDA (as defined in each credit facility) to net interest expense of at least 2.00 to 1.00 on a trailing four-quarter basis;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 to exceed a specified maximum leverage ratio in the form of a ratio of total net indebtedness to (fair value adjusted) total assets of</w:t>
      </w:r>
    </w:p>
    <w:p>
      <w:pPr>
        <w:spacing w:after="0" w:line="46" w:lineRule="exact"/>
        <w:rPr>
          <w:rFonts w:ascii="Arial" w:cs="Arial" w:eastAsia="Arial" w:hAnsi="Arial"/>
          <w:sz w:val="16"/>
          <w:szCs w:val="16"/>
          <w:color w:val="auto"/>
        </w:rPr>
      </w:pPr>
    </w:p>
    <w:p>
      <w:pPr>
        <w:ind w:left="1460" w:right="100"/>
        <w:spacing w:after="0" w:line="261" w:lineRule="auto"/>
        <w:rPr>
          <w:rFonts w:ascii="Arial" w:cs="Arial" w:eastAsia="Arial" w:hAnsi="Arial"/>
          <w:sz w:val="16"/>
          <w:szCs w:val="16"/>
          <w:color w:val="auto"/>
        </w:rPr>
      </w:pPr>
      <w:r>
        <w:rPr>
          <w:rFonts w:ascii="Arial" w:cs="Arial" w:eastAsia="Arial" w:hAnsi="Arial"/>
          <w:sz w:val="18"/>
          <w:szCs w:val="18"/>
          <w:color w:val="auto"/>
        </w:rPr>
        <w:t>0.750 in the case of our 2017 credit facility and a ratio of total net indebtedness to the market value of the vessel of 0.725 (in the case of the 2015 credit facility and the Aristaios facility).</w:t>
      </w:r>
    </w:p>
    <w:p>
      <w:pPr>
        <w:spacing w:after="0" w:line="18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In addition, our credit facilities require that we maintain a minimum security coverage ratio, usually defined as the ratio of the market value of the collateralized vessels or vessel and net realizable value of additional acceptable security to our outstanding loans under the credit facility. The security coverage ratio is 125% under our 2017 credit facility, 125% (as long as the vessel is under charter with Tesoro Far East Maritime Company (“Tesoro”)) and 140% (at all other times) under the Aristaios credit facility and 120% under the 2015 credit facility.</w:t>
      </w:r>
    </w:p>
    <w:p>
      <w:pPr>
        <w:spacing w:after="0" w:line="17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Our ability to comply with the covenants and restrictions contained in our credit facilities may be affected by events beyond our control, including prevailing economic, financial and industry conditions, interest rate developments, changes in the funding costs of our banks and changes in vessel earnings and asset valuations. If market or other economic conditions deteriorate, our ability to comply with these covenants may be impaired. If we are in breach of any of the restrictions, covenants, ratios or tests in our credit facilities, or if we trigger a cross-default currently contained in our credit facilities, we may be forced to suspend our distributions, a significant portion of our obligations may become immediately due and payable, and our lenders’ commitment (if any)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92"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Furthermore, any contemplated vessel acquisitions will have to be at levels that do not impair the required ratios described above. The global economic downturn that occurred within the past several years, depressed shipping markets, lack of capital in the industry and prolonged overcapacity had an adverse effect on vessel values. If the estimated asset values of our vessels decrease, we may be obligated to prepay part of our outstanding debt in order to remain in compliance with the relevant covenants in our credit facilities, which could have a material adverse effect on our business, financial condition, results of operations, cash flows and our ability to make cash distributions and service or refinance our debt.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default under our credit facilities, our ability to make cash distributions may be impaired and we could forfeit our rights in certain of our vessels and their charters.</w:t>
      </w:r>
    </w:p>
    <w:p>
      <w:pPr>
        <w:spacing w:after="0" w:line="62"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We have pledged all of our vessels as security to the lenders under our credit facilities. Default under these credit facilities, if not waived or modified, would permit the lenders to foreclose on the mortgages over the vessels and the related collateral, and we could lose our rights in the vessels and their charters.</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Under our credit facilities, we are required to make quarterly amortization payments and an additional balloon payment upon maturity. Please see “Item 5.B. Liquidity and Capital Resources</w:t>
      </w:r>
      <w:r>
        <w:rPr>
          <w:rFonts w:ascii="Arial" w:cs="Arial" w:eastAsia="Arial" w:hAnsi="Arial"/>
          <w:sz w:val="17"/>
          <w:szCs w:val="17"/>
          <w:i w:val="1"/>
          <w:iCs w:val="1"/>
          <w:color w:val="auto"/>
        </w:rPr>
        <w:t>—Borrowings—Our Credit Facilities</w:t>
      </w:r>
      <w:r>
        <w:rPr>
          <w:rFonts w:ascii="Arial" w:cs="Arial" w:eastAsia="Arial" w:hAnsi="Arial"/>
          <w:sz w:val="17"/>
          <w:szCs w:val="17"/>
          <w:color w:val="auto"/>
        </w:rPr>
        <w:t>” and “—Risks Relating to Financing Activities</w:t>
      </w:r>
      <w:r>
        <w:rPr>
          <w:rFonts w:ascii="Arial" w:cs="Arial" w:eastAsia="Arial" w:hAnsi="Arial"/>
          <w:sz w:val="17"/>
          <w:szCs w:val="17"/>
          <w:i w:val="1"/>
          <w:iCs w:val="1"/>
          <w:color w:val="auto"/>
        </w:rPr>
        <w:t>—We have incurred</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indebtedness, which could adversely affect our ability to finance our operations, refinance our existing indebtedness, pursue desirable business opportunities, successfully run our business or make cash distributions</w:t>
      </w:r>
      <w:r>
        <w:rPr>
          <w:rFonts w:ascii="Arial" w:cs="Arial" w:eastAsia="Arial" w:hAnsi="Arial"/>
          <w:sz w:val="17"/>
          <w:szCs w:val="17"/>
          <w:color w:val="auto"/>
        </w:rPr>
        <w:t>” for further information on our credit facilities.</w:t>
      </w:r>
    </w:p>
    <w:p>
      <w:pPr>
        <w:spacing w:after="0" w:line="171"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To the extent that cash flows are insufficient to make required service payments under our credit facilities or asset cover is inadequate due to a deterioration in vessel values, we will need to refinance some or all of our credit facilities, replace them with alternate credit arrangements or provide additional security. We may not be able to refinance or replace our credit facilities or provide additional security at the time they become due.</w:t>
      </w:r>
    </w:p>
    <w:p>
      <w:pPr>
        <w:spacing w:after="0" w:line="14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the event we default under our credit facilities or we are not able to refinance our existing debt obligations with new debt facilities on commercially acceptable terms, or if our operating results are not sufficient to service current or future indebtedness, or to make relevant principal repayments if necessary, we may be forced to take actions such as reducing or eliminating distributions, reducing or delaying business activities, acquisitions, investments or capital expenditures, selling assets, restructuring or refinancing debt, or seeking additional equity capital or bankruptcy protection. In addition, the terms of any refinancing or alternate credit arrangement may restrict our financial and operating flexibility and our ability to make cash distributions.</w:t>
      </w:r>
    </w:p>
    <w:p>
      <w:pPr>
        <w:spacing w:after="0" w:line="2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are in breach of any of the terms of our credit facilities, a significant portion of our obligations may become immediately due and payable, and our lenders’ commitments to make further loans to us, if any, may terminate. This can adversely affect our ability to execute our business strategy or make cash distributions.</w:t>
      </w:r>
    </w:p>
    <w:p>
      <w:pPr>
        <w:spacing w:after="0" w:line="7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Our ability to comply with the covenants and restrictions contained in our credit facilities and any other debt instruments we may enter into in the future may be affected by events beyond our control, including prevailing economic, financial and industry conditions. If we are in breach of any of the restrictions, covenants, ratios or tests in our credit facilities, or if we trigger a cross-default currently contained in our credit facilities or any interest rate swap agreements, or in any such facility or agreement we may enter into, pursuant to their terms, a significant portion of our obligations may become immediately due and payable, and our lenders’ commitment to make further loans to us, if any, may terminate. We may not be able to reach agreement with our lenders to amend the terms of the loan agreements or waive any breaches and we may not have, or be able to obtain, sufficient funds to make any accelerated payments, which could have a material adverse effect on our business, results of operations and financial condition and our ability to make cash distributions.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11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Our payment of interest and principal on our debt may reduce cash available for distribution on our units. In addition, our credit facilities prohibit the payment of distributions if we are not in compliance with certain financial covenants or security coverage ratios or upon the occurrence of any other event of default.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Events of default under our credit facilities include:</w:t>
      </w:r>
    </w:p>
    <w:p>
      <w:pPr>
        <w:spacing w:after="0" w:line="131" w:lineRule="exact"/>
        <w:rPr>
          <w:sz w:val="20"/>
          <w:szCs w:val="20"/>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130" w:lineRule="exact"/>
        <w:rPr>
          <w:rFonts w:ascii="Arial" w:cs="Arial" w:eastAsia="Arial" w:hAnsi="Arial"/>
          <w:sz w:val="18"/>
          <w:szCs w:val="18"/>
          <w:color w:val="auto"/>
        </w:rPr>
      </w:pPr>
    </w:p>
    <w:p>
      <w:pPr>
        <w:ind w:left="1460" w:right="120" w:hanging="547"/>
        <w:spacing w:after="0" w:line="286" w:lineRule="auto"/>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 owning subsidiaries or any of the assets of the vessel-owning subsidiaries and failure to maintain proper insurance;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 w:hanging="547"/>
        <w:spacing w:after="0" w:line="264"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following prior written notice of the lenders for a period of 14 days;</w:t>
      </w:r>
    </w:p>
    <w:p>
      <w:pPr>
        <w:spacing w:after="0" w:line="86" w:lineRule="exact"/>
        <w:rPr>
          <w:rFonts w:ascii="Arial" w:cs="Arial" w:eastAsia="Arial" w:hAnsi="Arial"/>
          <w:sz w:val="18"/>
          <w:szCs w:val="18"/>
          <w:color w:val="auto"/>
        </w:rPr>
      </w:pPr>
    </w:p>
    <w:p>
      <w:pPr>
        <w:ind w:left="1460" w:right="68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cross-default of our other indebtedness of $5.0 million or greater;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become, in the reasonable opinion of the lenders, unable to pay our debts when due;</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of our or our subsidiaries’ assets are subject to any form of execution, attachment, arrest, sequestration or distress in respect of a sum of $5.0 million or more that is not discharged within 10 business days;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facility, of any of the related finance and guarantee documents or of our interest rate swap agreements;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common units cease to be listed on the Nasdaq Global Select Market or on any other recognized securities exchange;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breach under any provisions contained in our interest rate swap agreements, if we decide to enter into such agreements in the future;</w:t>
      </w:r>
    </w:p>
    <w:p>
      <w:pPr>
        <w:spacing w:after="0" w:line="153" w:lineRule="exact"/>
        <w:rPr>
          <w:rFonts w:ascii="Arial" w:cs="Arial" w:eastAsia="Arial" w:hAnsi="Arial"/>
          <w:sz w:val="16"/>
          <w:szCs w:val="16"/>
          <w:color w:val="auto"/>
        </w:rPr>
      </w:pPr>
    </w:p>
    <w:p>
      <w:pPr>
        <w:ind w:left="1460" w:right="18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any interest rate swap agreements or an event of default thereunder that is not timely remedied, if we decide to enter into such agreements in the future;</w:t>
      </w:r>
    </w:p>
    <w:p>
      <w:pPr>
        <w:spacing w:after="0" w:line="75"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invalidity of a security document in any material respect or if any security document ceases to provide a perfected first priority security interest;</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key charter parties, such as HMM, CMA CGM, Petróleo Brasileiro S.A. (“Petrobras”), and Capital Maritime or other charterers we may have from time to time, to comply with the terms of their charters to the extent that we are unable to replace the charter in a manner that meets our obligations under the facilities; or</w:t>
      </w:r>
    </w:p>
    <w:p>
      <w:pPr>
        <w:spacing w:after="0" w:line="86"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18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Certain dealings in connection with sanctioned countries could also trigger a mandatory prepayment event. See “—Risk Inherent in Our Operations—</w:t>
      </w:r>
      <w:r>
        <w:rPr>
          <w:rFonts w:ascii="Arial" w:cs="Arial" w:eastAsia="Arial" w:hAnsi="Arial"/>
          <w:sz w:val="18"/>
          <w:szCs w:val="18"/>
          <w:i w:val="1"/>
          <w:iCs w:val="1"/>
          <w:color w:val="auto"/>
        </w:rPr>
        <w:t>Our vessels may be chartered or sub-chartered to parties, or call on ports, located in countries that are subject to restrictions and sanctions</w:t>
      </w:r>
      <w:r>
        <w:rPr>
          <w:rFonts w:ascii="Arial" w:cs="Arial" w:eastAsia="Arial" w:hAnsi="Arial"/>
          <w:sz w:val="18"/>
          <w:szCs w:val="18"/>
          <w:color w:val="auto"/>
        </w:rPr>
        <w:t xml:space="preserve"> </w:t>
      </w:r>
      <w:r>
        <w:rPr>
          <w:rFonts w:ascii="Arial" w:cs="Arial" w:eastAsia="Arial" w:hAnsi="Arial"/>
          <w:sz w:val="18"/>
          <w:szCs w:val="18"/>
          <w:i w:val="1"/>
          <w:iCs w:val="1"/>
          <w:color w:val="auto"/>
        </w:rPr>
        <w:t>imposed by the United States, the European Union and other jurisdictions</w:t>
      </w:r>
      <w:r>
        <w:rPr>
          <w:rFonts w:ascii="Arial" w:cs="Arial" w:eastAsia="Arial" w:hAnsi="Arial"/>
          <w:sz w:val="18"/>
          <w:szCs w:val="18"/>
          <w:color w:val="auto"/>
        </w:rPr>
        <w:t>.”</w:t>
      </w:r>
    </w:p>
    <w:p>
      <w:pPr>
        <w:spacing w:after="0" w:line="181"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We anticipate that any subsequent refinancing of our current debt or any new debt could have similar or more onerous restrictions. Please see “Item 5.B. Liquidity and Capital Resources—Borrowings—Our Credit Facilities” for further information on our existing facilities.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OPERATIONS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charterers and the loss of any charterer or charter or vessel could result in a significant loss of revenues and cash flows.</w:t>
      </w:r>
    </w:p>
    <w:p>
      <w:pPr>
        <w:spacing w:after="0" w:line="6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have derived, and expect that we will continue to derive, all of our revenues and cash flows from a limited number of charterers. For the year ended December 31, 2017, our charterers who individually accounted for more than 10% of total revenues were Petrobras, Capital Maritime, HMM and CMA CGM who accounted for 19%, 18%, 18% and 17% of our revenues, respectively. For the year ended December 31, 2016, HMM, Petrobras, CMA CGM and Capital Maritime accounted for 19%, 18%, 17% and 15% of our revenues, respectively. For the year ended December 31, 2015, Capital Maritime and HMM accounted for 29% and 21% of our revenues, respectively.</w:t>
      </w:r>
    </w:p>
    <w:p>
      <w:pPr>
        <w:spacing w:after="0" w:line="18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could lose a charterer, including charterers who individually account for more than 10% of our total revenues or the benefits of some or all of our charters, including in the following circumstances:</w:t>
      </w:r>
    </w:p>
    <w:p>
      <w:pPr>
        <w:spacing w:after="0" w:line="76" w:lineRule="exact"/>
        <w:rPr>
          <w:sz w:val="20"/>
          <w:szCs w:val="20"/>
          <w:color w:val="auto"/>
        </w:rPr>
      </w:pPr>
    </w:p>
    <w:p>
      <w:pPr>
        <w:ind w:left="1460" w:right="340" w:hanging="547"/>
        <w:spacing w:after="0" w:line="277"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charterer is unable or unwilling to perform its obligations under the charters, including the payment of the agreed rates in a timely manner;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charterer faces financial difficulties forcing it to declare bankruptcy or to restructure its operations or default under the charters;</w:t>
      </w:r>
    </w:p>
    <w:p>
      <w:pPr>
        <w:spacing w:after="0" w:line="142" w:lineRule="exact"/>
        <w:rPr>
          <w:rFonts w:ascii="Arial" w:cs="Arial" w:eastAsia="Arial" w:hAnsi="Arial"/>
          <w:sz w:val="17"/>
          <w:szCs w:val="17"/>
          <w:color w:val="auto"/>
        </w:rPr>
      </w:pPr>
    </w:p>
    <w:p>
      <w:pPr>
        <w:ind w:left="1460" w:right="300" w:hanging="547"/>
        <w:spacing w:after="0" w:line="277"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charterer fails to make charter payments because of its financial inability or its inability to trade our and other vessels profitably or due to the occurrence of losses due to the weaker charter markets;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charterer fails to make charter payments due to distress, disagreements with us or otherwise;</w:t>
      </w:r>
    </w:p>
    <w:p>
      <w:pPr>
        <w:spacing w:after="0" w:line="130"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charterer seeks to renegotiate the terms of the charter agreement due to prevailing economic and market conditions or due to its continued poor performance;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charterer exercises certain rights to terminate the charter or purchase the vessel;</w:t>
      </w:r>
    </w:p>
    <w:p>
      <w:pPr>
        <w:spacing w:after="0" w:line="130" w:lineRule="exact"/>
        <w:rPr>
          <w:rFonts w:ascii="Arial" w:cs="Arial" w:eastAsia="Arial" w:hAnsi="Arial"/>
          <w:sz w:val="18"/>
          <w:szCs w:val="18"/>
          <w:color w:val="auto"/>
        </w:rPr>
      </w:pPr>
    </w:p>
    <w:p>
      <w:pPr>
        <w:ind w:left="1460" w:right="280" w:hanging="547"/>
        <w:spacing w:after="0" w:line="264"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charterer terminates the charter because we fail to comply with the terms of the charters, deliver the vessel within a fixed period of time, the vessel is lost or damaged beyond repair, there are serious deficiencies in the vessel or prolonged periods of off-hire, or we default under the charter;</w:t>
      </w:r>
    </w:p>
    <w:p>
      <w:pPr>
        <w:spacing w:after="0" w:line="86" w:lineRule="exact"/>
        <w:rPr>
          <w:rFonts w:ascii="Arial" w:cs="Arial" w:eastAsia="Arial" w:hAnsi="Arial"/>
          <w:sz w:val="18"/>
          <w:szCs w:val="18"/>
          <w:color w:val="auto"/>
        </w:rPr>
      </w:pPr>
    </w:p>
    <w:p>
      <w:pPr>
        <w:ind w:left="1460" w:right="540" w:hanging="547"/>
        <w:spacing w:after="0" w:line="277"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prolonged force majeure event affecting the charterer, including damage to or destruction of relevant production facilities, war or political unrest prevents us from performing services for that customer; or</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charterer terminates the charters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color w:val="auto"/>
        </w:rPr>
        <w:t>A number of our charterers, including Capital Maritime, are private companies and we may have limited access to their financial affairs, which may result in us having limited information on their financial strength and ability to meet their financial obligations. In addition, some of our charterers including HMM, Petrobras and CMA-CGM have been reported to be under significant financial pressure. Please read “Item 4B: Business Overview—Our Charterers” and “—Our Charters” for further information on our charterers. See also “—Risks Related to the Container Carrier Industry—</w:t>
      </w:r>
      <w:r>
        <w:rPr>
          <w:rFonts w:ascii="Arial" w:cs="Arial" w:eastAsia="Arial" w:hAnsi="Arial"/>
          <w:sz w:val="17"/>
          <w:szCs w:val="17"/>
          <w:i w:val="1"/>
          <w:iCs w:val="1"/>
          <w:color w:val="auto"/>
        </w:rPr>
        <w:t>Many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container vessels are under time charters at rates that are at a substantial premium to the spot and period markets, and our charterers’ failure to perform under our time charters could result in a significant loss of expected future revenues and cash flows.</w:t>
      </w:r>
      <w:r>
        <w:rPr>
          <w:rFonts w:ascii="Arial" w:cs="Arial" w:eastAsia="Arial" w:hAnsi="Arial"/>
          <w:sz w:val="17"/>
          <w:szCs w:val="17"/>
          <w:color w:val="auto"/>
        </w:rPr>
        <w:t>”</w:t>
      </w:r>
    </w:p>
    <w:p>
      <w:pPr>
        <w:spacing w:after="0" w:line="17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If we lose a key charter, we may be unable to redeploy the related vessel on terms as favorable to us due to the long-term nature of most charters or at all. If we are unable to redeploy a vessel for which the charter has been terminated, we will not receive any revenues from that vessel, but we may be required to pay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necessary to maintain the vessel in proper operating condition and may also have to enter into costly and lengthy legal proceedings in order to reserve our rights. Until such time as the vessel is re-chartered, we may have to operate it in the spot market or for short periods at charter rates which may not be as favorable to us as our current charter rates.</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 charterer exercises its right to purchase a vessel, we would not receive any further revenue from the vessel and may be unable to obtain a substitute vessel and charter.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 The loss of any of our charterers, time or bareboat charters or vessels, or a decline in payments under our charters, could have a material adverse effect on our business, financial condition, results of operations, cash flows and our ability to make cash distributions and service or refinance our debt.</w:t>
      </w:r>
    </w:p>
    <w:p>
      <w:pPr>
        <w:spacing w:after="0" w:line="30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depend on Capital Maritime and its affiliates to assist us in operating and expanding our business. If Capital Maritime is materially adversely affected by market fluctuations, and risks or suffers material damage to its reputation, its ability to comply with the terms of its charters with us or provide us with the necessary level of services to support and expand our business may be negatively affected.</w:t>
      </w:r>
    </w:p>
    <w:p>
      <w:pPr>
        <w:spacing w:after="0" w:line="5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As of December 31, 2017, eight of our 36 vessels were under charter or were expected to commence charters with Capital Maritime. In the future we may enter into additional contracts with Capital Maritime to charter our vessels as they become available for re-chartering. Capital Maritime is subject to the same risks and market fluctuations as all other charterers. In the event that Capital Maritime is affected by a market downturn and limited availability of financing, it may default under its charters with us, which would materially adversely affect our business, financial condition, results of operations, cash flows and our ability to make cash distributions and service or refinance our debt.</w:t>
      </w:r>
    </w:p>
    <w:p>
      <w:pPr>
        <w:spacing w:after="0" w:line="173"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In addition, pursuant to our management and administrative services agreements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4B: Business Overview—Our Management Agreements” for a description of all our management agreements. Our operational success and ability to execute our growth strategy will depend significantly upon Capital Ship Management’s satisfactory performance of these services. In the event that Capital Maritime is materially affected by a market downturn and cannot support Capital Ship Management, and Capital Ship Management fails to perform these services satisfactorily or cancels or materially amends either of these agreements, or if Capital Ship Management stops providing these services to us, this could adversely affect our business, financial condition, results of operations, cash flows and ability to make cash distributions and service our debt.</w:t>
      </w:r>
    </w:p>
    <w:p>
      <w:pPr>
        <w:spacing w:after="0" w:line="182"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Our ability to enter into new charters and expand our relationships with charterers will depend largely on our ability to leverage our relationship with Capital Maritime and its reputation and relationships in the shipping industry, including its ability to qualify for long-term business with certain oil majors. If Capital Maritime suffers material damage to its reputation, justifiably or not, or relationships, for example, as a result of Capital Maritime or its owners, directors or employees failing to comply with applicable law or regulation or as a result of the circumstances described in “—Risks Related to our Business and Operations—</w:t>
      </w:r>
      <w:r>
        <w:rPr>
          <w:rFonts w:ascii="Arial" w:cs="Arial" w:eastAsia="Arial" w:hAnsi="Arial"/>
          <w:sz w:val="17"/>
          <w:szCs w:val="17"/>
          <w:i w:val="1"/>
          <w:iCs w:val="1"/>
          <w:color w:val="auto"/>
        </w:rPr>
        <w:t>Matters Related to Investigations of Greek Professional Football (Soccer)</w:t>
      </w:r>
      <w:r>
        <w:rPr>
          <w:rFonts w:ascii="Arial" w:cs="Arial" w:eastAsia="Arial" w:hAnsi="Arial"/>
          <w:sz w:val="17"/>
          <w:szCs w:val="17"/>
          <w:color w:val="auto"/>
        </w:rPr>
        <w:t>,” it may harm our ability to:</w:t>
      </w:r>
    </w:p>
    <w:p>
      <w:pPr>
        <w:spacing w:after="0" w:line="78" w:lineRule="exact"/>
        <w:rPr>
          <w:sz w:val="20"/>
          <w:szCs w:val="20"/>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 access capital markets;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Finally, we may also contract with Capital Maritime for it to have newbuildings constructed on our behalf and to incur the construction-related financing, and we would purchase the vessels on or after delivery based on an agreed-upon price. If Capital Maritime is unable to meet the payments under any such contract we enter into, it could have a material adverse effect on our business, financial condition, results of operations and cash flows and our ability to make cash distributions or service or refinance our debt.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tanker vessels’ present and future employment could be adversely affected by an inability to clear the oil majors’ risk assessment process.</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Shipping, and especially crude oil, refined product and chemical tankers have been, and will remain, heavily regulated. The so-called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95"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heightened industry standards that have been set by several oil companies;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130" w:lineRule="exact"/>
        <w:rPr>
          <w:rFonts w:ascii="Arial" w:cs="Arial" w:eastAsia="Arial" w:hAnsi="Arial"/>
          <w:sz w:val="18"/>
          <w:szCs w:val="18"/>
          <w:color w:val="auto"/>
        </w:rPr>
      </w:pPr>
    </w:p>
    <w:p>
      <w:pPr>
        <w:ind w:left="1460" w:right="76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oil majors’ codes of conduct, policies and guidelines, including transparency, anti-bribery and ethical conduct requirements and relationships with third parties;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130" w:lineRule="exact"/>
        <w:rPr>
          <w:rFonts w:ascii="Arial" w:cs="Arial" w:eastAsia="Arial" w:hAnsi="Arial"/>
          <w:sz w:val="18"/>
          <w:szCs w:val="18"/>
          <w:color w:val="auto"/>
        </w:rPr>
      </w:pPr>
    </w:p>
    <w:p>
      <w:pPr>
        <w:ind w:left="1460" w:right="92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procure on-time delivery of new vessels according to customer specifications;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willingness to accept operational risks pursuant to the charter, such as allowing termination of the charter for force majeure events;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Should either Capital Maritime or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business, financial condition, results of operations, cash flows and ability to make cash distributions and service or refinance our debt. Please read “Item 4B: Business Overview—Major Oil Company Vetting Process” for more information regarding this process.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As our fleet ages, the risks associated with older vessels could adversely affect our ability to obtain profitable charters, comply with debt covenants or raise financing. In addition, if we purchase and operate second hand vessels, we will be exposed to increased operating costs, which could adversely affect our earnings.</w:t>
      </w:r>
    </w:p>
    <w:p>
      <w:pPr>
        <w:spacing w:after="0" w:line="289"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Our fleet had an average age of approximately 8.4 years as of December 31, 2017. In general, the costs of maintaining a vessel in good operating condition increase with the age of the vessel. Older vessels are typically less fuel efficient than more recently constructed vessels due to improvements in engine technology. In addition, cargo 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ageing fleet might affect our ability to remain in compliance with bank covenants and/or raise financing.</w:t>
      </w:r>
    </w:p>
    <w:p>
      <w:pPr>
        <w:spacing w:after="0" w:line="158"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If we purchase secondhand vessels, we will not have the same knowledge about their condition as the knowledge we have about the condition of the vessels that are built for and operated solely by us. Generally, we will not receive the benefit of warranties from the builder for any secondhand vessel that we may acquire.</w:t>
      </w:r>
    </w:p>
    <w:p>
      <w:pPr>
        <w:spacing w:after="0" w:line="181"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If we are unable to obtain profitable charters due to an aging fleet, this could adversely affect our business, financial condition, results of operations, cash flows and ability to make cash distributions and service our debt.</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expand the size of our fleet or replace aging vessels in the future, which may affect our ability to pay distributions and service or refinance our debt.</w:t>
      </w:r>
    </w:p>
    <w:p>
      <w:pPr>
        <w:spacing w:after="0" w:line="62"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Our ability to expand the size of our fleet or maintain our asset base by replacing aging vessels in the future will depend on our ability to acquire new vessels on favorable terms. Depending on our ability to obtain required finance and access financial markets, we expect to enter into agreements with Capital Maritime or other third parties to purchase newly built vessels or other modern vessels (or interests in vessel owning companies). See “—Risks Related to Our Financing Activities—</w:t>
      </w:r>
      <w:r>
        <w:rPr>
          <w:rFonts w:ascii="Arial" w:cs="Arial" w:eastAsia="Arial" w:hAnsi="Arial"/>
          <w:sz w:val="17"/>
          <w:szCs w:val="17"/>
          <w:i w:val="1"/>
          <w:iCs w:val="1"/>
          <w:color w:val="auto"/>
        </w:rPr>
        <w:t>We are reliant on our ability to obtain required financing and access the financial markets. Therefore, we may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 </w:t>
      </w:r>
      <w:r>
        <w:rPr>
          <w:rFonts w:ascii="Arial" w:cs="Arial" w:eastAsia="Arial" w:hAnsi="Arial"/>
          <w:sz w:val="17"/>
          <w:szCs w:val="17"/>
          <w:color w:val="auto"/>
        </w:rPr>
        <w:t>and —Risk Related to Our Business and Operations—</w:t>
      </w:r>
      <w:r>
        <w:rPr>
          <w:rFonts w:ascii="Arial" w:cs="Arial" w:eastAsia="Arial" w:hAnsi="Arial"/>
          <w:sz w:val="17"/>
          <w:szCs w:val="17"/>
          <w:i w:val="1"/>
          <w:iCs w:val="1"/>
          <w:color w:val="auto"/>
        </w:rPr>
        <w:t>Since 2011, our board of directors has elected not to deduct any replacement capital expenditures from our operating surplus. If this practice continues in the future, our asset base and income generating capacity of our fleet may be significantly affected.”</w:t>
      </w:r>
    </w:p>
    <w:p>
      <w:pPr>
        <w:spacing w:after="0" w:line="182"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If Capital Maritime or any third-party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and generating voyage revenues, which could harm our business and our ability to make cash distributions. In addition, the market value of modern vessels or newbuildings is influenced by the ability of buyers to access debt and bank financing and equity capital, and any disruptions to the market and the possible lack of adequate available financing may negatively affect such market values. The failure to effectively identify, purchase, develop, employ and integrate any vessels or businesses could adversely affect our business, financial condition, results of operations, cash flows and our ability to make cash distributions and service or refinance our debt.</w:t>
      </w:r>
    </w:p>
    <w:p>
      <w:pPr>
        <w:spacing w:after="0" w:line="28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If we finance the purchase of any additional vessels or businesses we acquire in the future through cash from operations, by increasing our indebtedness or by issuing debt or equity securities, our ability to make or increase our cash distributions may be diminished, our financial leverage could increase or our unitholders could be diluted. In addition, if we expand the size of our fleet by directly contracting newbuildings in the future, we will generally be required to make significant installment payments for such acquisitions prior to their delivery and generation of any revenue.</w:t>
      </w:r>
    </w:p>
    <w:p>
      <w:pPr>
        <w:spacing w:after="0" w:line="46"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As of December 31, 2017, our fleet consisted of 36 vessels, only eight of which had been part of our initial fleet at the time of our initial public offering (“IPO”). We have financed the purchase of the additional vessels with debt, or partly with debt, cash and/or by issuing additional equity securities. We also acquired additional vessels through the acquisition of Crude Carriers in 2011. If we issue additional common units, Class B Units or other equity securities to finance the acquisition of a vessel or business, your ownership interest in us may be diluted. Please read “Item 3.D: Risk Factors—Risks Inherent in an Investment in Us—We may issue additional equity securities without your approval, which would dilute your ownership interests.”</w:t>
      </w:r>
    </w:p>
    <w:p>
      <w:pPr>
        <w:spacing w:after="0" w:line="15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If, depending on our ability to obtain required financing and access the financial markets, we determine to expand our fleet by entering into contracts for newbuildings directly with shipyards, we generally will be required to make installment payments prior to their delivery. We typically must pay between 5% and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acquisitions by issuing debt or equity securities, we will increase the aggregate amount of interest payments or quarterly distributions we must make prior to generating cash from the operation of the newbuilding.</w:t>
      </w:r>
    </w:p>
    <w:p>
      <w:pPr>
        <w:spacing w:after="0" w:line="178"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To fund the acquisition price of a business or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fund our quarterly distributions to unitholders, which could have a material adverse effect on our ability to grow or make cash distributions. See also “—Risks Related to Financing Activities—</w:t>
      </w:r>
      <w:r>
        <w:rPr>
          <w:rFonts w:ascii="Arial" w:cs="Arial" w:eastAsia="Arial" w:hAnsi="Arial"/>
          <w:sz w:val="17"/>
          <w:szCs w:val="17"/>
          <w:i w:val="1"/>
          <w:iCs w:val="1"/>
          <w:color w:val="auto"/>
        </w:rPr>
        <w:t>We rely on the master limited partnership (“MLP”) structure and its appeal to</w:t>
      </w:r>
      <w:r>
        <w:rPr>
          <w:rFonts w:ascii="Arial" w:cs="Arial" w:eastAsia="Arial" w:hAnsi="Arial"/>
          <w:sz w:val="17"/>
          <w:szCs w:val="17"/>
          <w:color w:val="auto"/>
        </w:rPr>
        <w:t xml:space="preserve"> </w:t>
      </w:r>
      <w:r>
        <w:rPr>
          <w:rFonts w:ascii="Arial" w:cs="Arial" w:eastAsia="Arial" w:hAnsi="Arial"/>
          <w:sz w:val="17"/>
          <w:szCs w:val="17"/>
          <w:i w:val="1"/>
          <w:iCs w:val="1"/>
          <w:color w:val="auto"/>
        </w:rPr>
        <w:t>investors for accessing debt and equity markets to finance our growth and repay or refinance our debt.</w:t>
      </w:r>
      <w:r>
        <w:rPr>
          <w:rFonts w:ascii="Arial" w:cs="Arial" w:eastAsia="Arial" w:hAnsi="Arial"/>
          <w:sz w:val="17"/>
          <w:szCs w:val="17"/>
          <w:color w:val="auto"/>
        </w:rPr>
        <w:t>”</w:t>
      </w: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Political and government instability, terrorist or other attacks, war or international hostilities can affect the industries in which we operate, which may adversely affect our business.</w:t>
      </w:r>
    </w:p>
    <w:p>
      <w:pPr>
        <w:spacing w:after="0" w:line="62"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We conduct most of our operations outside of the United States. In particular, we derive a portion of our revenues from shipping oil and oil products from politically unstable regions, and our business, results of operations, cash flows, financial condition and ability to make cash distributions and service or refinance our debt may be adversely affected by the effects of political instability, terrorist or other attacks, war or international hostilities. Terrorist attacks, such as the attacks on the United States on September 11, 2001 and recently in Europe, the recent conflicts in Iraq, Afghanistan, Syria and Ukraine, other current and future conflicts, and the continuing response of the Western countries to these attacks, as well as the threat of future terrorist attacks, continue to contribute to world economic instability and uncertainty in global financial markets. Terrorist attacks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66"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Any of these occurrences or other events beyond our control that adversely affect the distribution, production or transportation of oil and other refined products to be shipped by us could entitle our charterers to terminate our charter contracts and could have a material adverse impact on our business, financial condition, results of operations, cash flows and ability to make cash distributions and service or refinance our debt.</w:t>
      </w:r>
    </w:p>
    <w:p>
      <w:pPr>
        <w:spacing w:after="0" w:line="16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Furthermore, our operations may be adversely affected by changing or adverse political and governmental conditions in the countries where our vessels are flagged or registered and in the regions where we otherwise engage in business. Any of these events or circumstances may interfere with the operation of our vessels, which could harm our business, financial condition, results of operations, cash flows and ability to make cash distributions and service or refinance our debt.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the U.K. Bribery Act and anti-corruption laws in other applicable jurisdictions.</w:t>
      </w:r>
    </w:p>
    <w:p>
      <w:pPr>
        <w:spacing w:after="0" w:line="62"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U.S. companies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charterers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including our relationships with our charterers, results of operations, cash flows and ability to make cash distributions and service or refinance our debt.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corruption policy, may not adequately prevent or detect possible violations under applicable anti-bribery and anti-corruption legislation.</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vessels may be chartered or sub-chartered to parties, or call on ports, located in countries that are subject to restrictions and sanctions imposed by the United States, the European Union and other jurisdictions.</w:t>
      </w:r>
    </w:p>
    <w:p>
      <w:pPr>
        <w:spacing w:after="0" w:line="62"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Certain countries (including the Crimea region of Ukraine, Cuba, Iran, North Korea, Sudan and Syria), entities and persons are targeted by economic sanctions and embargoes imposed by the United States, the European Union and other jurisdictions, and a number of those countries, currently North Korea, Iran, Sudan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w:t>
      </w:r>
    </w:p>
    <w:p>
      <w:pPr>
        <w:spacing w:after="0" w:line="17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With regard to Iran, significant sanctions relief was implemented in January 2016 in accordance with the agreement among the permanent members of the United Nations Security Council (China, France, Russia, the United Kingdom and the United States), plus Germany, the High Representative of the European Union for Foreign Affairs and Security Policy and Iran on the final text of a Joint Comprehensive Plan of Action (“JCPOA”) in exchange for Iran’s implementation of certain measures intended to ensure that Iran’s nuclear program is used for peaceful purposes. Nevertheless, certain transactions and dealings, including transactions involving targeted Iran-related persons and entities and transactions that implicate U.S. jurisdiction remain subject to sanctions.</w:t>
      </w:r>
    </w:p>
    <w:p>
      <w:pPr>
        <w:spacing w:after="0" w:line="193"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Activities permissible under the JCPOA have not actually been repealed or permanently terminated by the United States at this time. Rather, the U.S. government has implemented changes to the sanctions regime by: (1) issuing waivers of certain statutory sanctions provisions; (2) committing to refrain from exercising certain discretionary sanctions authorities; (3) removing certain individuals and entities from sanctions lists; and (4) revoking certain Executive Orders and specified sections of Executive Orders. These sanctions will not be permanently “lifted” under the current U.S. law until at least the earlier of October 18, 2023, and a report from the International Atomic Energy Agency stating that all nuclear material in Iran is being used for peaceful activities. Upon the occurrence of either event, the United States will remove additional Iranian parties from the sanctions lists, and will seek legislative action as may be appropriate to terminate the statutory sanctions covered by the JCPOA. Today, while non-U.S. companies may engage in certain business or trade with Iran that was previously sanctionable, the United States has the ability to re-impose sanctions against Iran if Iran does not comply with its obligations under the nuclear agreement or to impose new sanctions to address different conducts or threats that may be presented by Iran.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We are mindful of the restrictions contained in the various economic sanctions programs and embargo laws administered by the United States, the European Union and other jurisdictions that limit the ability of companies and persons from doing business or trading with targeted countries and persons and entities. We believe that we are currently in compliance with all applicable economic sanctions laws and regulations.</w:t>
      </w:r>
    </w:p>
    <w:p>
      <w:pPr>
        <w:spacing w:after="0" w:line="166"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We generally do not do business in sanctions-targeted jurisdictions unless an activity is authorized by the appropriate governmental or other sanctions authority. Except as otherwise described below, we and our general partner and its affiliates have not entered into agreements or other arrangements with the governments or any governmental entities of sanctioned countries, and we and our general partner and its affiliates do not have any direct business dealings with officials or representatives of any sanctioned governments or entities. In addition, our charter agreements include provisions that restrict trades of our vessels to countries or to sub-charterers targeted by economic sanctions unless such trades involving sanctioned countries or persons are permitted under applicable economic sanctions and embargo regimes.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w:t>
      </w:r>
    </w:p>
    <w:p>
      <w:pPr>
        <w:spacing w:after="0" w:line="179"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In order to help maintain our compliance with applicable sanctions and embargo laws and regulations, we monitor and review the movement of our vessels, as well as the cargo being transported by our vessels, on a continuing basis. In 2017, our vessels under time or voyage charter contracts made 1,888 total calls on worldwide ports. None of the vessels in our fleet made any port calls in Cuba, Syria, Crimea or North Korea.</w:t>
      </w:r>
    </w:p>
    <w:p>
      <w:pPr>
        <w:spacing w:after="0" w:line="14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In 2017, vessels owned by CPLP and chartered under time charter parties to Product &amp; Crude Tanker Chartering Inc. (“PCTC”), a subsidiary of CMTC, our sponsor and the sole member of our general partner, made the following port calls to Iran and Sudan: four port calls to Iran to load crude oil, three port calls to Iran to discharge vegetable oils and two port calls to Sudan to discharge palm and vegetable oils. In addition, in 2017, our vessel, the M/T Aiolos, made a port call to Sudan to discharge fuel oil while employed under a voyage charter to an unaffiliated third party.</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These port calls represented approximately 0.5% of the total port calls made by all the vessels owned by CPLP in 2017. They each occurred while the respective vessel was chartered out to an unaffiliated charterer or sub-charterer under the instructions of such charterer or sub-charterer. With respect to the vessels chartered out to PCTC, as the vessel owner, we earned revenues at the agreed daily charter rates from PCTC under the applicable time charters. PCTC in turn earned revenues at the agreed freight or hire rate from the sub-charterers that employed the vessels. CPLP’s aggregate revenue attributable to the number of days that our vessels under time charters remained in ports in Iran or Sudan and the port call made by the M/T Aiolos in Sudan described above was approximately $1.5 million, representing approximately 0.6% of our total revenues during the year ended December 31, 2017. We do not attribute profits to specific voyages.</w:t>
      </w:r>
    </w:p>
    <w:p>
      <w:pPr>
        <w:spacing w:after="0" w:line="189"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Further, in 2017, vessels owned or chartered-in by CMTC (including the vessels chartered-in from CPLP by PCTC under time charters as described above) made the following port calls to Iran and Sudan: 12 port calls to Iran to load crude oil, five port calls to Iran to discharge vegetable oils, one port call to Sudan to load molasses and two port calls to Sudan to discharge palm and vegetable oils.</w:t>
      </w:r>
    </w:p>
    <w:p>
      <w:pPr>
        <w:spacing w:after="0" w:line="181" w:lineRule="exact"/>
        <w:rPr>
          <w:sz w:val="20"/>
          <w:szCs w:val="20"/>
          <w:color w:val="auto"/>
        </w:rPr>
      </w:pPr>
    </w:p>
    <w:p>
      <w:pPr>
        <w:ind w:right="200" w:firstLine="913"/>
        <w:spacing w:after="0" w:line="297" w:lineRule="auto"/>
        <w:rPr>
          <w:sz w:val="20"/>
          <w:szCs w:val="20"/>
          <w:color w:val="auto"/>
        </w:rPr>
      </w:pPr>
      <w:r>
        <w:rPr>
          <w:rFonts w:ascii="Arial" w:cs="Arial" w:eastAsia="Arial" w:hAnsi="Arial"/>
          <w:sz w:val="16"/>
          <w:szCs w:val="16"/>
          <w:color w:val="auto"/>
        </w:rPr>
        <w:t>These port calls represented 1.7% of the total port calls made by all the vessels owned or chartered-in by CMTC in 2017. They each occurred while the respective vessel was chartered out to an unaffiliated charterer or sub-charterer under the instructions of such charterer or sub-charterer. The aggregate revenue attributable to the number of days that the vessels under time charters remained in ports in Iran or Sudan and port calls in Iran and Sudan made by vessels under voyage charters to unaffiliated charterers or sub-charterers was approximately $35.2 million, representing approximately 10.0% of CMTC’s total revenues during the year ended December 31, 2017. CMTC does not attribute profits to specific voyages.</w:t>
      </w:r>
    </w:p>
    <w:p>
      <w:pPr>
        <w:spacing w:after="0" w:line="158"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As part of the voyage charter arrangements between CMTC and third-party charterers or sub-charterers, CMTC or its manager may pay fees and expenses related to the port calls made in Iran through a private third-party agent in Iran appointed by the third-party charterer or sub-charterer, which in 2017 did not include any payments for refueling or bunkers for the vessels making such port calls.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We believe all such port calls were made in full compliance with applicable economic sanctions laws and regulations, including those of the United States, the European Union and other relevant jurisdictions. See also “Item 4B: Business Overview—Regulation” for information on the port calls made by certain our vessels and those of our affiliates to Iran.</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charter agreements include provisions that restrict trades of our vessels to countries targeted by economic sanctions unless such transportation activities involving sanctioned countries are permitted under applicable economic sanctions and embargo regimes. Our ordinary chartering policy is to seek to include similar provisions in all of our period charters. Prior to agreeing to waive existing charter party restrictions on carrying cargoes to or from ports that may implicate sanctions risks, we ensure that the charterers have proof of compliance with international and U.S. sanctions requirements, or applicable licenses or other exemptions.</w:t>
      </w:r>
    </w:p>
    <w:p>
      <w:pPr>
        <w:spacing w:after="0" w:line="18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Should one of our charterers engage in actions that involve us or our vessels and that may, if completed, represent material violations of economic sanctions and embargo laws or regulations, we would rely on our monitoring and control systems, including documentation, such as bills of lading, regular check-ins with the crews of our vessels and electronic tracking systems on our vessels to detect such actions on a prompt basis and seek to prevent them from occurring.</w:t>
      </w:r>
    </w:p>
    <w:p>
      <w:pPr>
        <w:spacing w:after="0" w:line="18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Although we do not believe that current sanctions and embargoes prevent our vessels from making all calls to ports in the sanctioned countries, potential investors could view such port calls negatively, which could adversely affect our reputation and the market for our common units.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result in some investors deciding, or being required, to divest their interest, or not to invest, in our common units.</w:t>
      </w:r>
    </w:p>
    <w:p>
      <w:pPr>
        <w:spacing w:after="0" w:line="166"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Additionally, some investors, including U.S. state pension funds, may decide, or be required, to divest their interest, or not to invest, in our common units simply because we or our affiliates may do business with charterers or sub-charterers that do business in sanctioned countries, or because of port calls of our vessels to ports of sanctioned countries, which could have a negative effect on the price of our common units or our ability to make distributions on our common units. Moreover, our charterers may violate applicable sanctions and embargo laws and regulations as a result of actions that do not involve us or our vessels, and those violations could in turn negatively affect our reputation. Investor perception of the value of our common units may also be adversely affected by the consequences of war, the effects of terrorism, civil unrest and governmental actions in these and surrounding countries. Finally, future expansion of sanctions against these or other countries could prevent our vessels from making any calls at certain ports, which potentially could have a negative impact on our business and results of operations.</w:t>
      </w:r>
    </w:p>
    <w:p>
      <w:pPr>
        <w:spacing w:after="0" w:line="179"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Finally, under our 2017 credit facility, if revenues we derive from business or transactions in connection with Cuba, Iran, Myanmar (Burma), North Korea, Sudan, Crimea-Sevastopol and/or Syria in any given year exceed 20% of our aggregate revenues (unless such revenues are less than 25% of our aggregate revenues and are forecasted to be less than 20% of our aggregate revenues for the following year) or the aggregate number of port calls to those countries represent more than 5% of our total port calls, our 2017 credit facility may be terminated at the option of the lenders. If that were to happen, we would be required to repay immediately the total debt outstanding under our 2017 credit facility and any other loans which may, as a result, be accelerated.</w:t>
      </w:r>
    </w:p>
    <w:p>
      <w:pPr>
        <w:spacing w:after="0" w:line="2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131" w:lineRule="exact"/>
        <w:rPr>
          <w:sz w:val="20"/>
          <w:szCs w:val="20"/>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piracy;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131" w:lineRule="exact"/>
        <w:rPr>
          <w:sz w:val="20"/>
          <w:szCs w:val="20"/>
          <w:color w:val="auto"/>
        </w:rPr>
      </w:pPr>
    </w:p>
    <w:p>
      <w:pPr>
        <w:ind w:left="1460" w:right="36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environmental damage, including liabilities and costs to recover spilled oil or other petroleum products, and to pay for environmental damage and ecosystem restoration where the spill occurred;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death or injury to persons, or loss of property;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Any of these results could have a material adverse effect on our business, financial condition, operating results and ability to make cash distributions and to service or refinance our debt.</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could reduce our net cash flows and net income.</w:t>
      </w:r>
    </w:p>
    <w:p>
      <w:pPr>
        <w:spacing w:after="0" w:line="62"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be drydocked every two to three years for inspection of its underwater parts.</w:t>
      </w:r>
    </w:p>
    <w:p>
      <w:pPr>
        <w:spacing w:after="0" w:line="187"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 and to service or refinance our debt.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commercial operations.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operation of ocean-going vessels in international trade is inherently risky. Not all risks can be adequately insured against, and any particular claim upon our insurance may not be paid for any number of reasons. We have contracted revenue protection insurance for the MV ‘Cape Agamemnon’ but we otherwise do not currently maintain off-hire insurance covering loss of revenue during extended vessel off-hire periods such as may occur while a vessel is under repair. Accordingly, any extended vessel off-hire due to an accident or otherwise could have a materially adverse effect on our business, financial condition, operating results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ability to make cash distributions and to service or refinance our debt. Claims covered by insurance are subject to deductibles and since it is possible that a large number of claims may arise, the aggregate amount of these deductibles could be material. Our third-party liability insurance coverage is maintained through mutual protection and indemnity associations. As a member of such associations we may be required to make additional payments over and above budgeted premiums if member claims exceed association reserves. Please read “Item 3.D: Risk Factors—Risks Inherent in Our Operations—</w:t>
      </w:r>
      <w:r>
        <w:rPr>
          <w:rFonts w:ascii="Arial" w:cs="Arial" w:eastAsia="Arial" w:hAnsi="Arial"/>
          <w:sz w:val="16"/>
          <w:szCs w:val="16"/>
          <w:i w:val="1"/>
          <w:iCs w:val="1"/>
          <w:color w:val="auto"/>
        </w:rPr>
        <w:t>We will be</w:t>
      </w:r>
      <w:r>
        <w:rPr>
          <w:rFonts w:ascii="Arial" w:cs="Arial" w:eastAsia="Arial" w:hAnsi="Arial"/>
          <w:sz w:val="16"/>
          <w:szCs w:val="16"/>
          <w:color w:val="auto"/>
        </w:rPr>
        <w:t xml:space="preserve"> </w:t>
      </w:r>
      <w:r>
        <w:rPr>
          <w:rFonts w:ascii="Arial" w:cs="Arial" w:eastAsia="Arial" w:hAnsi="Arial"/>
          <w:sz w:val="16"/>
          <w:szCs w:val="16"/>
          <w:i w:val="1"/>
          <w:iCs w:val="1"/>
          <w:color w:val="auto"/>
        </w:rPr>
        <w:t>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r>
        <w:rPr>
          <w:rFonts w:ascii="Arial" w:cs="Arial" w:eastAsia="Arial" w:hAnsi="Arial"/>
          <w:sz w:val="16"/>
          <w:szCs w:val="16"/>
          <w:color w:val="auto"/>
        </w:rPr>
        <w:t>.”</w:t>
      </w:r>
    </w:p>
    <w:p>
      <w:pPr>
        <w:spacing w:after="0" w:line="16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results of operations, cash flows, financial condition and ability to make cash distributions. In addition, certain of our vessels are under bareboat charters with subsidiaries of International Seaways, Inc. (“INSW”) which was spun off from Overseas Shipholding Group Inc. (“OSG”) on November 30, 2016. Under the terms of these charters, the charterer provides for the insurance of the vessel, and, as a result these vessels may not be adequately insured and/or in some cases may be self-insured. Any uninsured or underinsured loss could harm our business, financial condition, results of operations, cash flows, and ability to make cash distributions and service or refinance our debt. In addition, our insurance may be voidable by the insurers as a result of certain of our actions, such as our ships failing to maintain certification with applicable maritime self-regulatory organizations.</w:t>
      </w:r>
    </w:p>
    <w:p>
      <w:pPr>
        <w:spacing w:after="0" w:line="182"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73"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Cover for legal liabilities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maritime transportation industry is subject to substantial environmental and other regulations and international standards, which may significantly limit our operations or increase our expenditures.</w:t>
      </w:r>
    </w:p>
    <w:p>
      <w:pPr>
        <w:spacing w:after="0" w:line="6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w:t>
      </w:r>
    </w:p>
    <w:p>
      <w:pPr>
        <w:spacing w:after="0" w:line="18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 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MARPOL Annex VI</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Under MARPOL Annex VI, all ships trading in designated emission control areas are required to use fuel oil on board with a sulfur content of no more than 0.10%, while the current limit for sulfur content of fuel oil outside emission control areas is 3.50%. In October 2016, the International Maritime Organization confirmed that a global 0.5% sulphur cap on marine fuels will come into force on January 1, 2020, as stipulated in amendments to Annex VI adopted in 2008. Annex VI sets progressively stricter regulations to control sulphur oxides (SOx) and nitrous oxides (NOx) emissions from ships, which present both environmental and health risks. The 0.5% sulphur cap marks a significant reduction from the current global sulphur cap of 3.5%, which has been in force since January 1, 2012.</w:t>
      </w:r>
    </w:p>
    <w:p>
      <w:pPr>
        <w:spacing w:after="0" w:line="193"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To satisfy the new requirements of Annex VI, vessel owners who continue to use fuel types which exceed the 0.5% sulphur limit will be required to retrofit an approved exhaust gas cleaning system (also known as a “scrubber”) to remove sulphur from exhaust, which may require substantial capital expenditure and prolonged off-hire of the vessel. Alternatively, vessel owners may use petroleum fuels, such as marine gasoil (“MGO”), which meet the 0.5% sulphur limit. According to Clarksons Shipping Intelligence Network, the premium of MGO over 380 CST 3.5% bunker fuel in Rotterdam has averaged US$244 per ton over the last five years. Depending on the vessel type and size, this could translate into a substantial increase in the cost of bunkers. Bunker cost could further increase if the refining sector is unable to cope with the higher distillate demand, resulting in a tight distillate market and wider spread between high sulfur fuel oil and MGO. Retrofitting vessels for the consumption of alternative fuels, such as LNG, methanol, biofuels or liquefied petroleum gas (“LPG”), would involve a substantial capital expenditure and may be uneconomical or infeasible for most conventional vessel types in light of current technology and design challenges. To the extent that we do not retrofit our vessels with approved exhaust gas cleaning systems and, as a result, our charterers under time and bareboat charters are required to use more expensive fuels meeting the 0.5% sulphur limit or we seek to pass on higher bunker costs to charterers under voyage charters, this may reduce demand for our vessels, impair our ability to re-charter our vessels at competitive rates or to re-charter our vessels at all, and have a material adverse effect on our business, financial condition, results of operations, cash flows and ability to make cash distributions and service or refinance our debt.</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Ballast Water Management</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IMO ballast water management convention (the “BWM convention”) came into force on September 8, 2017. The BMW convention requires vessels constructed before September 8, 2017 to fit ballast water treatment systems (“BWTS”) before their first International Oil Pollution Prevention Certificate (IOPP Certificate) renewal conducted after September 8, 2019. All vessels need to be certified in accordance with the BWM convention by September 8, 2024. This certification entails ballast water management plans to be approved by the flag state and surveyors in attendance onboard for survey and issuance of ballast water management certificates. We expect to incur additional expenditures for such certification.</w:t>
      </w:r>
    </w:p>
    <w:p>
      <w:pPr>
        <w:spacing w:after="0" w:line="173"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In addition to the International Maritime Organization’s requirements, installation of BWTS will be required for vessels entering U.S. jurisdictions as the U.S. Coast Guard (the “USCG”) requires the installation of BWTS at the first scheduled dry-docking conducted after January 1, 2016. As BWTS have only recently been approved by the USCG and were not available in 2017, we have obtained extensions for the majority of our vessels with dry-docking due dates up to and including 2018 to carry out installation of BWTS at the next dry-docking survey after December 31, 2018.</w:t>
      </w:r>
    </w:p>
    <w:p>
      <w:pPr>
        <w:spacing w:after="0" w:line="17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As of December 31, 2017, only 12 of our 36 vessels were equipped with BWTS. While it is difficult to determine the costs of fitting BWTS (including, among other things, design, equipment and installation costs), we currently estimate that total capital expenditure associated with equipping our remaining vessels with BWTS will amount to approximately $20 million between 2019 and 2023.</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International Convention for the Safety of Life at Sea</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New requirements pursuant to the International Convention for the Safety of Life at Sea (“SOLAS”) necessitate installation of electronic chart display and information system (“ECDIS”) equipment for certain types of vessels at the first radio survey carried out after July 1, 2015. For container vessels, this requirement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comes into force for their first radio survey after July 1, 2016. While some of our vessels are already fitted with ECDIS equipment requiring only minimal upgrades, a number of our vessels are not fitted with such equipment and we may incur additional expenditure to comply with this regulation. Furthermore, recent rule changes to ECDIS performance standards as from September 1, 2017, may necessitate replacement of ECDIS equipment in case their upgrade is not possible. If that happens, this replacement might require increased capital expenditure for certain of our vessels.</w:t>
      </w:r>
    </w:p>
    <w:p>
      <w:pPr>
        <w:spacing w:after="0" w:line="17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Significant expenditures for the installation of additional equipment or new systems on board our vessels may be required in order to comply with existing or future environmental regulations.</w:t>
      </w:r>
    </w:p>
    <w:p>
      <w:pPr>
        <w:spacing w:after="0" w:line="17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We could incur significant costs, including cleanup costs, fines, penalties, third-party claims and natural resource damages, as the result of an oil spill or other liabilities under environmental laws. The United States Oil Pollution Act of 1990 (“OPA 90”) affects all vessel owners shipping oil or petroleum products to, from or within United States territorial waters. OPA 90 allows for potentially unlimited cleanup liability without regard to fault by owners, operators and bareboat charterers of vessels for oil pollution in U.S. waters. Similarly, the International Convention on Civil Liability for Oil Pollution Damage, 1969, as amended, which has been adopted by most countries outside of the United States, imposes liability for oil pollution in international waters. OPA 90 expressly permits individual U.S. states to impose their own stricter liability regimes with regard to hazardous materials and oil pollution incidents occurring within their boundaries. Certain coastal states in the United States, especially on the Pacific coast, have enacted their own stricter pollution prevention, liability and response laws, many providing for strict or unlimited liability.</w:t>
      </w:r>
    </w:p>
    <w:p>
      <w:pPr>
        <w:spacing w:after="0" w:line="179"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In addition to complying with existing laws and regulations and those that may be adopted, ship-owners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154"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cold-ironing while docked and ballast treatment and handling.</w:t>
      </w:r>
    </w:p>
    <w:p>
      <w:pPr>
        <w:spacing w:after="0" w:line="181"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In addition, the U.S. Environmental Protection Agency has also adopted a rule which requires commercial vessels to obtain a Vessel General Permit (“VGP”) from the USCG in compliance with the Federal Water Pollution Control Act (the “Clean Water Act”) regulating, among other things, the discharge of ballast water and other discharges into U.S. waters. Permit holders must also comply with detailed operational, maintenance, reporting and recordkeeping permit requirements.</w:t>
      </w:r>
    </w:p>
    <w:p>
      <w:pPr>
        <w:spacing w:after="0" w:line="18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Other requirements may also come into force regarding the protection of threatened and endangered species, which could lead to changes in the routes our vessels follow or in trading patterns generally, and thus to additional operating expenditures. Additionally, new environmental regulations with respect to greenhouse gas emissions and preservation of biodiversity among others, may arise out of commitments made at international conferences such as periodic G8 and G20 summits through international environmental agreements and United Nations Climate Change Conferences and through other multilateral or bilateral agreements.</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which could limit our operations or our ability to do business and which could have a material adverse effect on our business, financial condition, operating results and ability to make cash distributions and to service or refinance our debt.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read “Item 4B: Business Overview—Regulation” for more information on the regulations applicable to our vessels.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The crew employment agreements that manning agents enter into on behalf of Capital Maritime or any of its affiliates, including our Manager, may not prevent labor interruptions, and the failure to renegotiate these agreements or to successfully attract and retain qualified personnel in the future may disrupt our operations and adversely affect our </w:t>
      </w:r>
      <w:r>
        <w:rPr>
          <w:rFonts w:ascii="Arial" w:cs="Arial" w:eastAsia="Arial" w:hAnsi="Arial"/>
          <w:sz w:val="18"/>
          <w:szCs w:val="18"/>
          <w:b w:val="1"/>
          <w:bCs w:val="1"/>
          <w:color w:val="auto"/>
        </w:rPr>
        <w:t>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collective bargaining agreement between our Manager and the Pan-Hellenic Seamen’s Federation, effective August 1, 2017, expires on July 31, 2018.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financial condition, results of operations, cash flows and ability to pay cash distributions and service or refinance our debt.</w:t>
      </w:r>
    </w:p>
    <w:p>
      <w:pPr>
        <w:spacing w:after="0" w:line="18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distributions and service or refinance our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inspection procedures and tighter import and export controls could increase costs and disrupt our business.</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81" w:lineRule="exact"/>
        <w:rPr>
          <w:sz w:val="20"/>
          <w:szCs w:val="20"/>
          <w:color w:val="auto"/>
        </w:rPr>
      </w:pPr>
    </w:p>
    <w:p>
      <w:pPr>
        <w:ind w:right="500" w:firstLine="913"/>
        <w:spacing w:after="0" w:line="279" w:lineRule="auto"/>
        <w:rPr>
          <w:sz w:val="20"/>
          <w:szCs w:val="20"/>
          <w:color w:val="auto"/>
        </w:rPr>
      </w:pPr>
      <w:r>
        <w:rPr>
          <w:rFonts w:ascii="Arial" w:cs="Arial" w:eastAsia="Arial" w:hAnsi="Arial"/>
          <w:sz w:val="17"/>
          <w:szCs w:val="17"/>
          <w:color w:val="auto"/>
        </w:rPr>
        <w:t>It is possible that changes to inspection procedures could impose additional financial and legal obligations on us. Changes to inspection procedures could also impose additional costs and obligations on our charterers and may, in certain cases, render the shipment of certain types of cargo uneconomical or impractical. Any such changes or developments may have a material adverse effect on our business, financial condition, results of operations, cash flows and ability to make cash distributions and service or refinance our debt.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or other contraband onto our vessels may lead to governmental claims against us.</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make distributions and service or refinance our debt.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Pursuant to the amended and restated omnibus agreement that we and Capital Maritime have entered into, Capital Maritime and its controlled affiliates (other than us, our General Partner and our subsidiaries) have agreed not to acquire, own or operate product or crude oil tankers with carrying capacity greater than or equal to 30,000 dwt under time or bareboat charters with a remaining duration, excluding any extension options, of at least 12 months without the consent of our General Partner or our board of directors or without first offering such tanker vessel to us. Similarly, we may not acquire, own or operate product or crude oil tankers with carrying capacity under 30,000 dwt, other than vessels we had owned prior to the date of the amended and restated omnibus agreement, without first offering such tanker vessel to Capital Maritime.</w:t>
      </w:r>
    </w:p>
    <w:p>
      <w:pPr>
        <w:spacing w:after="0" w:line="178" w:lineRule="exact"/>
        <w:rPr>
          <w:sz w:val="20"/>
          <w:szCs w:val="20"/>
          <w:color w:val="auto"/>
        </w:rPr>
      </w:pPr>
    </w:p>
    <w:p>
      <w:pPr>
        <w:jc w:val="both"/>
        <w:ind w:right="260" w:firstLine="913"/>
        <w:spacing w:after="0" w:line="286" w:lineRule="auto"/>
        <w:rPr>
          <w:sz w:val="20"/>
          <w:szCs w:val="20"/>
          <w:color w:val="auto"/>
        </w:rPr>
      </w:pPr>
      <w:r>
        <w:rPr>
          <w:rFonts w:ascii="Arial" w:cs="Arial" w:eastAsia="Arial" w:hAnsi="Arial"/>
          <w:sz w:val="17"/>
          <w:szCs w:val="17"/>
          <w:color w:val="auto"/>
        </w:rPr>
        <w:t>Furthermore, we granted Capital Maritime a right of first offer on the disposal of product and crude oil tankers with a carrying capacity under 30,000 dwt, whereas Capital Maritime granted us a right of first offer on any disposal or re-chartering of any product and crude oil tanker with a carrying capacity greater than or equal to 30,000 dwt owned or acquired by Capital Maritime or any of its controlled affiliates (other than us).</w:t>
      </w:r>
    </w:p>
    <w:p>
      <w:pPr>
        <w:spacing w:after="0" w:line="166" w:lineRule="exact"/>
        <w:rPr>
          <w:sz w:val="20"/>
          <w:szCs w:val="20"/>
          <w:color w:val="auto"/>
        </w:rPr>
      </w:pPr>
    </w:p>
    <w:p>
      <w:pPr>
        <w:jc w:val="both"/>
        <w:ind w:right="160" w:firstLine="913"/>
        <w:spacing w:after="0" w:line="342" w:lineRule="auto"/>
        <w:rPr>
          <w:sz w:val="20"/>
          <w:szCs w:val="20"/>
          <w:color w:val="auto"/>
        </w:rPr>
      </w:pPr>
      <w:r>
        <w:rPr>
          <w:rFonts w:ascii="Arial" w:cs="Arial" w:eastAsia="Arial" w:hAnsi="Arial"/>
          <w:sz w:val="16"/>
          <w:szCs w:val="16"/>
          <w:color w:val="auto"/>
        </w:rPr>
        <w:t>The omnibus agreement contains significant exceptions that may allow Capital Maritime and its controlled affiliates to compete with us, which could harm our business. It also does not apply to container and drybulk vessels. Please read “Item 7B: Related-Party Transactions” for further information.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is a privately held company and there is little publicly available information about it.</w:t>
      </w:r>
    </w:p>
    <w:p>
      <w:pPr>
        <w:spacing w:after="0" w:line="11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Capital Maritime, the sole member of our General Partner, is one of our largest charterers in revenue terms, with eight of our 36 vessels chartered or expected to commence charters to Capital Maritime as of December 31, 2017. In addition, our Manager is a subsidiary of Capital Maritime. The ability of Capital Maritime to continue providing services for our benefit will depend in part on its own financial strength and reputation in the industry.</w:t>
      </w:r>
    </w:p>
    <w:p>
      <w:pPr>
        <w:spacing w:after="0" w:line="14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Circumstances beyond our control could impair Capital Maritime’s financial strength and also affect its relationships and reputations within the industry, and because it is a privately held company, little or no information about its financial strength is publicly available. As a result, an investor in our common units might have little advance warning of problems Capital Maritime may experience, even though these problems could have a material adverse effect on us.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Holders of units have only limited voting rights on matters affecting our business.</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The elected directors are elected on a staggered basis and serve for three-year terms. Our General Partner in its sole discretion has the right to appoint the remaining three directors, who also serve for three-year terms. Any and all elected directors may be removed with cause only by the affirmative vote of a majority of the other elected directors or at a properly called meeting of the common unit holders by the affirmative vote of the holders of a majority of the outstanding common units.</w:t>
      </w:r>
    </w:p>
    <w:p>
      <w:pPr>
        <w:spacing w:after="0" w:line="193"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The holders of the Class B Units have voting rights that are identical to the voting rights of the common units on an as converted basis and will vote with the common units as a single class on all matters with respect to which our common units are entitled to vote, provided, however, that except in the circumstances where we are in arrears in the payment of the minimum quarterly distribution on the Class B Units, holders of Class B Units have no right to vote for, elect or appoint any director, or to nominate any individual to stand for election or appointment as a director. If we fail to pay the minimum Class B Unit distribution for six or more quarters, the holders of the Class B Units will have the right to appoint a director to our board and, if and as long as such arrears exists after March 1, 2018, to replace the directors appointed by our General Partner, in each case by the affirmative vote of the holders of a majority of the Class B Units, subject to exceptions and conditions contained in our partnership agreement.</w:t>
      </w:r>
    </w:p>
    <w:p>
      <w:pPr>
        <w:spacing w:after="0" w:line="17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Furthermore, the partnership agreement contains provisions limiting the ability of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66 2 / 3 % of the outstanding units, including any units owned by our General Partner and its affiliates, our Class B unitholders voting together as a single class and a majority vote of our board of directors.</w:t>
      </w:r>
    </w:p>
    <w:p>
      <w:pPr>
        <w:spacing w:after="0" w:line="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Currently, 106,670,714 common units representing 83.8% of our common units and 12,983,333 Class B Convertible Preferred Units are owned by non-affiliated public unitholders, representing 83.9% interest in us on an as converted basis.</w:t>
      </w:r>
    </w:p>
    <w:p>
      <w:pPr>
        <w:spacing w:after="0" w:line="18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of the same class holding less than 4.9% of the voting power of that class. As affiliates of our General Partner, Capital Maritime and Crude Carriers Investments Corp. (“Crude Carriers Investments”) are not subject to such limitation and will be attributed their pro rata share of any units reallocated as a result of such limitation. Further, this limitation does not apply to unitholders who acquires more than 5% of any class of units then outstanding with the prior approval of our board of directors, which, for the avoidance of doubt, includes the issuance of our Class B Units and the common units issued upon the conversion of our Class B Units.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As of December 31, 2017, the Marinakis family, including Evangelos M. Marinakis, our former chairman, may be deemed to beneficially own on a fully converted basis a 16.1% interest in us (17.7% on a non-fully converted basis), through, among others, Capital Maritime, which may be deemed to beneficially own a 13.8% interest in us, including 17,291,768 common units and a 1.7% interest in us (1.9% on a non-fully converted basis) through its ownership of our General Partner, and Crude Carriers Investments, which may be deemed to beneficially own a 2.3% interest in us.</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General Partner and its affiliates own a significant interest in us and have conflicts of interest and limited fiduciary and contractual duties, which may permit them to favor their own interests to your detriment.</w:t>
      </w:r>
    </w:p>
    <w:p>
      <w:pPr>
        <w:spacing w:after="0" w:line="6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Our General Partner is in charge of our day-to-day affairs consistent with policies and procedures adopted by and subject to the direction of our board of directors. Our General Partner and its affiliates and our directors have a fiduciary duty to manage us in a manner beneficial to us and our unitholders. Units owned by affiliates of our General Partner have the same rights as our other outstanding units of the same class (other than the 5% limit on voting rights, which does not apply to our General Partner and its affiliates; see “—</w:t>
      </w:r>
      <w:r>
        <w:rPr>
          <w:rFonts w:ascii="Arial" w:cs="Arial" w:eastAsia="Arial" w:hAnsi="Arial"/>
          <w:sz w:val="17"/>
          <w:szCs w:val="17"/>
          <w:i w:val="1"/>
          <w:iCs w:val="1"/>
          <w:color w:val="auto"/>
        </w:rPr>
        <w:t>Unitholders have limited voting rights and our partnership agreement restricts</w:t>
      </w:r>
      <w:r>
        <w:rPr>
          <w:rFonts w:ascii="Arial" w:cs="Arial" w:eastAsia="Arial" w:hAnsi="Arial"/>
          <w:sz w:val="17"/>
          <w:szCs w:val="17"/>
          <w:color w:val="auto"/>
        </w:rPr>
        <w:t xml:space="preserve"> </w:t>
      </w:r>
      <w:r>
        <w:rPr>
          <w:rFonts w:ascii="Arial" w:cs="Arial" w:eastAsia="Arial" w:hAnsi="Arial"/>
          <w:sz w:val="17"/>
          <w:szCs w:val="17"/>
          <w:i w:val="1"/>
          <w:iCs w:val="1"/>
          <w:color w:val="auto"/>
        </w:rPr>
        <w:t>the voting rights of unitholders owning 5% or more of our units</w:t>
      </w:r>
      <w:r>
        <w:rPr>
          <w:rFonts w:ascii="Arial" w:cs="Arial" w:eastAsia="Arial" w:hAnsi="Arial"/>
          <w:sz w:val="17"/>
          <w:szCs w:val="17"/>
          <w:color w:val="auto"/>
        </w:rPr>
        <w:t>.”). However, the officers of our General Partner have a fiduciary duty to manage our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Partner in a manner beneficial to Capital Maritime. Furthermore, all of the officers of our General Partner and one of our directors are directors or officers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“Item 3.D: Risk Factors— </w:t>
      </w:r>
      <w:r>
        <w:rPr>
          <w:rFonts w:ascii="Arial" w:cs="Arial" w:eastAsia="Arial" w:hAnsi="Arial"/>
          <w:sz w:val="17"/>
          <w:szCs w:val="17"/>
          <w:i w:val="1"/>
          <w:iCs w:val="1"/>
          <w:color w:val="auto"/>
        </w:rPr>
        <w:t xml:space="preserve">Risks Inherent in an Investment in Us—Our partnership agreement limits our General Partner’s and our directors’ fiduciary duties to our unitholders and restricts the remedies available to unitholders for actions taken by our General Partner or our directors </w:t>
      </w:r>
      <w:r>
        <w:rPr>
          <w:rFonts w:ascii="Arial" w:cs="Arial" w:eastAsia="Arial" w:hAnsi="Arial"/>
          <w:sz w:val="17"/>
          <w:szCs w:val="17"/>
          <w:color w:val="auto"/>
        </w:rPr>
        <w:t>.” These conflicts include, among others,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situations:</w:t>
      </w:r>
    </w:p>
    <w:p>
      <w:pPr>
        <w:spacing w:after="0" w:line="93" w:lineRule="exact"/>
        <w:rPr>
          <w:sz w:val="20"/>
          <w:szCs w:val="20"/>
          <w:color w:val="auto"/>
        </w:rPr>
      </w:pPr>
    </w:p>
    <w:p>
      <w:pPr>
        <w:ind w:left="1460" w:right="240" w:hanging="547"/>
        <w:spacing w:after="0" w:line="286" w:lineRule="auto"/>
        <w:tabs>
          <w:tab w:leader="none" w:pos="1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shareholders of Capital Maritime, which may be contrary to our interests;</w:t>
      </w:r>
    </w:p>
    <w:p>
      <w:pPr>
        <w:spacing w:after="0" w:line="70" w:lineRule="exact"/>
        <w:rPr>
          <w:rFonts w:ascii="Arial" w:cs="Arial" w:eastAsia="Arial" w:hAnsi="Arial"/>
          <w:sz w:val="17"/>
          <w:szCs w:val="17"/>
          <w:color w:val="auto"/>
        </w:rPr>
      </w:pPr>
    </w:p>
    <w:p>
      <w:pPr>
        <w:ind w:left="1460" w:right="760" w:hanging="547"/>
        <w:spacing w:after="0" w:line="277" w:lineRule="auto"/>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executive officers of our General Partner and one of our directors also serve as executive officers and/or directors of Capital Maritime;</w:t>
      </w:r>
    </w:p>
    <w:p>
      <w:pPr>
        <w:spacing w:after="0" w:line="75" w:lineRule="exact"/>
        <w:rPr>
          <w:rFonts w:ascii="Arial" w:cs="Arial" w:eastAsia="Arial" w:hAnsi="Arial"/>
          <w:sz w:val="18"/>
          <w:szCs w:val="18"/>
          <w:color w:val="auto"/>
        </w:rPr>
      </w:pPr>
    </w:p>
    <w:p>
      <w:pPr>
        <w:ind w:left="1460" w:right="500" w:hanging="547"/>
        <w:spacing w:after="0" w:line="308" w:lineRule="auto"/>
        <w:tabs>
          <w:tab w:leader="none" w:pos="1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spacing w:after="0" w:line="51" w:lineRule="exact"/>
        <w:rPr>
          <w:rFonts w:ascii="Arial" w:cs="Arial" w:eastAsia="Arial" w:hAnsi="Arial"/>
          <w:sz w:val="17"/>
          <w:szCs w:val="17"/>
          <w:color w:val="auto"/>
        </w:rPr>
      </w:pPr>
    </w:p>
    <w:p>
      <w:pPr>
        <w:ind w:left="1460" w:right="140" w:hanging="547"/>
        <w:spacing w:after="0" w:line="259" w:lineRule="auto"/>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 and our directors have limited their liabilities and restricted their fiduciary duties under the laws of the Republic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92" w:lineRule="exact"/>
        <w:rPr>
          <w:rFonts w:ascii="Arial" w:cs="Arial" w:eastAsia="Arial" w:hAnsi="Arial"/>
          <w:sz w:val="18"/>
          <w:szCs w:val="18"/>
          <w:color w:val="auto"/>
        </w:rPr>
      </w:pPr>
    </w:p>
    <w:p>
      <w:pPr>
        <w:ind w:left="1460" w:right="160" w:hanging="547"/>
        <w:spacing w:after="0" w:line="264" w:lineRule="auto"/>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40" w:hanging="547"/>
        <w:spacing w:after="0" w:line="308" w:lineRule="auto"/>
        <w:tabs>
          <w:tab w:leader="none" w:pos="1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General Partner may have substantial influence over our board of directors’ decision to cause us to borrow funds in order to permit the payment of cash distributions, even if the purpose or effect of the borrowing is to make incentive distributions;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130" w:lineRule="exact"/>
        <w:rPr>
          <w:rFonts w:ascii="Arial" w:cs="Arial" w:eastAsia="Arial" w:hAnsi="Arial"/>
          <w:sz w:val="18"/>
          <w:szCs w:val="18"/>
          <w:color w:val="auto"/>
        </w:rPr>
      </w:pPr>
    </w:p>
    <w:p>
      <w:pPr>
        <w:ind w:left="1460" w:right="260" w:hanging="547"/>
        <w:spacing w:after="0" w:line="342" w:lineRule="auto"/>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29" w:lineRule="exact"/>
        <w:rPr>
          <w:rFonts w:ascii="Arial" w:cs="Arial" w:eastAsia="Arial" w:hAnsi="Arial"/>
          <w:sz w:val="16"/>
          <w:szCs w:val="16"/>
          <w:color w:val="auto"/>
        </w:rPr>
      </w:pPr>
    </w:p>
    <w:p>
      <w:pPr>
        <w:ind w:left="1460" w:right="420" w:hanging="547"/>
        <w:spacing w:after="0" w:line="277" w:lineRule="auto"/>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our outstanding units if it and its affiliates own more than 90% of our common units.</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Although a majority of our directors are elected by common unitholders, our General Partner has a substantial influence on decisions made by our board of directors. Please read “Item 6: Directors, Senior Management and Employees.”</w:t>
      </w:r>
    </w:p>
    <w:p>
      <w:pPr>
        <w:spacing w:after="0" w:line="279"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b w:val="1"/>
          <w:bCs w:val="1"/>
          <w:i w:val="1"/>
          <w:iCs w:val="1"/>
          <w:color w:val="auto"/>
        </w:rPr>
        <w:t>Generally, the vote of a majority of our common unitholders, including affiliates of our General Partner, is required to amend the terms of our partnership agreement. Affiliates of our General Partner may favor their own interests in any vote by our unitholders.</w:t>
      </w:r>
    </w:p>
    <w:p>
      <w:pPr>
        <w:spacing w:after="0" w:line="38"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Under the terms of our partnership agreement, the affirmative vote of a majority of common units (including, subject to certain exceptions, the votes of holders of Class B Units voting on an as-converted basis) is required in order to reach certain decisions or actions, including:</w:t>
      </w:r>
    </w:p>
    <w:p>
      <w:pPr>
        <w:spacing w:after="0" w:line="29" w:lineRule="exact"/>
        <w:rPr>
          <w:sz w:val="20"/>
          <w:szCs w:val="20"/>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and adjusted operating surplus;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the board of directors to cause us to sell, exchange or otherwise dispose of all or substantially all of our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130" w:lineRule="exact"/>
        <w:rPr>
          <w:rFonts w:ascii="Arial" w:cs="Arial" w:eastAsia="Arial" w:hAnsi="Arial"/>
          <w:sz w:val="18"/>
          <w:szCs w:val="18"/>
          <w:color w:val="auto"/>
        </w:rPr>
      </w:pPr>
    </w:p>
    <w:p>
      <w:pPr>
        <w:ind w:left="1460" w:hanging="547"/>
        <w:spacing w:after="0" w:line="276" w:lineRule="auto"/>
        <w:tabs>
          <w:tab w:leader="none" w:pos="1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other amendment to the partnership agreement, except for certain amendments related to the day-to-day management of the Partnership and amendments necessary or appropriate to carrying out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 determines to be necessary or appropriate in connection with the authorization and issuance of any class or series of our securities.</w:t>
      </w:r>
    </w:p>
    <w:p>
      <w:pPr>
        <w:spacing w:after="0" w:line="173"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Furthermore, our partnership agreement provides that any changes to the rights of the Class B unitholders, whose rights rank senior to those of our common unitholders in many respects, must be approved by at least 75% of the holders of such units, excluding units held by Capital Maritime and its affiliates (if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As of December 31, 2017, the Marinakis family, including Mr. Evangelos M. Marinakis, our former chairman, may be deemed to beneficially own on a fully converted basis a 16.1% interest in us (17.7% on a non-fully converted basis), through, among others, Capital Maritime, which may be deemed to beneficially own a 13.8% interest in us, consisting of 17,291,768 common units and our General Partner’s 1.7% interest, and Crude Carriers Investments, which may be deemed to beneficially own a 2.3% interest in us.</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Affiliates of our General Partner are not subject to the limitations on voting rights imposed on our other limited partners and would be attributed their pro rata share of any units reallocated as a result of such limitations.</w:t>
      </w:r>
    </w:p>
    <w:p>
      <w:pPr>
        <w:spacing w:after="0" w:line="170"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Affiliates of our General Partner may favor their own interests in any vote by our unitholders. These considerations may significantly impact any vote under the terms of our partnership agreement and may significantly affect your rights under our partnership agreement.</w:t>
      </w:r>
    </w:p>
    <w:p>
      <w:pPr>
        <w:spacing w:after="0" w:line="147"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Please also read “Item 3.D: Risk Factors—Risks Inherent in an Investment in Us— Unitholders have limited voting rights and our partnership agreement restricts the voting rights of unitholders owning 5% or more of our units” for information on additional restrictions imposed by our partnership agreement.</w:t>
      </w:r>
    </w:p>
    <w:p>
      <w:pPr>
        <w:spacing w:after="0" w:line="2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62"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board of directors has not exercised its power to appoint officers of CPLP to date, and, as a result, we rely, and expect to continue to rely, solely on the officers of our General Partner, who are not required to work full-time on our affairs and who also work for affiliates of our General Partner, including Capital Maritime. For example, our General Partner’s Chief Executive Officer, Chief Financial Officer and Chief Operating Officer are also executive officers or employees of Capital Maritime or its affiliates.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financial condition, results of operations, cash flows and ability to make cash distributions and service or refinance our debt.</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62"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Our partnership agreement contains provisions that restrict the standards and fiduciary duties to which our General Partner and directors may otherwise be held by or owed to you pursuant to Marshall Islands law. For example, our partnership agreement:</w:t>
      </w:r>
    </w:p>
    <w:p>
      <w:pPr>
        <w:spacing w:after="0" w:line="76" w:lineRule="exact"/>
        <w:rPr>
          <w:sz w:val="20"/>
          <w:szCs w:val="20"/>
          <w:color w:val="auto"/>
        </w:rPr>
      </w:pPr>
    </w:p>
    <w:p>
      <w:pPr>
        <w:ind w:left="1460" w:right="80" w:hanging="547"/>
        <w:spacing w:after="0" w:line="270" w:lineRule="auto"/>
        <w:tabs>
          <w:tab w:leader="none" w:pos="1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right to call and purchase limited partner interests, including common units,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83" w:lineRule="exact"/>
        <w:rPr>
          <w:rFonts w:ascii="Arial" w:cs="Arial" w:eastAsia="Arial" w:hAnsi="Arial"/>
          <w:sz w:val="17"/>
          <w:szCs w:val="17"/>
          <w:color w:val="auto"/>
        </w:rPr>
      </w:pPr>
    </w:p>
    <w:p>
      <w:pPr>
        <w:ind w:left="1460" w:right="80" w:hanging="547"/>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60" w:hanging="547"/>
        <w:spacing w:after="0" w:line="276" w:lineRule="auto"/>
        <w:tabs>
          <w:tab w:leader="none" w:pos="1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77" w:lineRule="exact"/>
        <w:rPr>
          <w:rFonts w:ascii="Arial" w:cs="Arial" w:eastAsia="Arial" w:hAnsi="Arial"/>
          <w:sz w:val="17"/>
          <w:szCs w:val="17"/>
          <w:color w:val="auto"/>
        </w:rPr>
      </w:pPr>
    </w:p>
    <w:p>
      <w:pPr>
        <w:ind w:left="1460" w:right="120" w:hanging="547"/>
        <w:spacing w:after="0" w:line="259" w:lineRule="auto"/>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8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 Please read “Conflicts of Interest and Fiduciary Duties.”</w:t>
      </w:r>
    </w:p>
    <w:p>
      <w:pPr>
        <w:spacing w:after="0" w:line="2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below a specified threshold, all of which could diminish the trading price of our units.</w:t>
      </w:r>
    </w:p>
    <w:p>
      <w:pPr>
        <w:spacing w:after="0" w:line="79"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76" w:lineRule="exact"/>
        <w:rPr>
          <w:sz w:val="20"/>
          <w:szCs w:val="20"/>
          <w:color w:val="auto"/>
        </w:rPr>
      </w:pPr>
    </w:p>
    <w:p>
      <w:pPr>
        <w:ind w:left="1460" w:hanging="547"/>
        <w:spacing w:after="0" w:line="276" w:lineRule="auto"/>
        <w:tabs>
          <w:tab w:leader="none" w:pos="1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unitholders will be unable to remove our General Partner without its consent so long as our General Partner and its affiliates own sufficient units to be able to prevent such removal. The vote of the holders of at least 66 2 / 3 % of all outstanding units voting together as a single class and a majority vote of our board of directors is required to remove the General Partner. As of December 31, 2017, the Marinakis family, including Evangelos M. Marinakis, our former chairman, may be deemed to beneficially own on a fully converted basis a 16.1% interest in us (17.7% on a non-fully converted basis), through, among others, Capital Maritime.</w:t>
      </w:r>
    </w:p>
    <w:p>
      <w:pPr>
        <w:spacing w:after="0" w:line="77" w:lineRule="exact"/>
        <w:rPr>
          <w:rFonts w:ascii="Arial" w:cs="Arial" w:eastAsia="Arial" w:hAnsi="Arial"/>
          <w:sz w:val="17"/>
          <w:szCs w:val="17"/>
          <w:color w:val="auto"/>
        </w:rPr>
      </w:pPr>
    </w:p>
    <w:p>
      <w:pPr>
        <w:ind w:left="1460" w:right="220" w:hanging="547"/>
        <w:spacing w:after="0" w:line="277"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common unitholders elect five of the eight members of our board of directors. Our General Partner in its sole discretion has the right to appoint the remaining three directors.</w:t>
      </w:r>
    </w:p>
    <w:p>
      <w:pPr>
        <w:spacing w:after="0" w:line="75"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86"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86" w:lineRule="exact"/>
        <w:rPr>
          <w:rFonts w:ascii="Arial" w:cs="Arial" w:eastAsia="Arial" w:hAnsi="Arial"/>
          <w:sz w:val="18"/>
          <w:szCs w:val="18"/>
          <w:color w:val="auto"/>
        </w:rPr>
      </w:pPr>
    </w:p>
    <w:p>
      <w:pPr>
        <w:ind w:left="1460" w:right="120" w:hanging="547"/>
        <w:spacing w:after="0" w:line="264"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w:t>
      </w:r>
    </w:p>
    <w:p>
      <w:pPr>
        <w:spacing w:after="0" w:line="86" w:lineRule="exact"/>
        <w:rPr>
          <w:rFonts w:ascii="Arial" w:cs="Arial" w:eastAsia="Arial" w:hAnsi="Arial"/>
          <w:sz w:val="18"/>
          <w:szCs w:val="18"/>
          <w:color w:val="auto"/>
        </w:rPr>
      </w:pPr>
    </w:p>
    <w:p>
      <w:pPr>
        <w:ind w:left="1460" w:hanging="547"/>
        <w:spacing w:after="0" w:line="257"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unitholders of the same class holding less than 4.9% of the voting power of that class.</w:t>
      </w:r>
    </w:p>
    <w:p>
      <w:pPr>
        <w:spacing w:after="0" w:line="93"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substantial latitude in issuing equity securities without unitholder approval.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effect of these provisions may be to diminish the price at which our units will trade.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financial condition, results of operations, cash flows and our ability to make cash distributions and service or refinance our debt.</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of our common units, or the issuance of additional preferred units, debt securities or warrants, could cause the market price of our common units to decline.</w:t>
      </w:r>
    </w:p>
    <w:p>
      <w:pPr>
        <w:spacing w:after="0" w:line="6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common units.</w:t>
      </w:r>
    </w:p>
    <w:p>
      <w:pPr>
        <w:spacing w:after="0" w:line="181"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In addition, pursuant to the terms of our partnership agreement, holders of our Class B Units may convert all or a portion of their Class B Units into common units at any time, and from time to time, at a ratio of one-for-one, such conversion ratio to be adjusted in the event that, among other anti-dilution protection provisions, we declare, order, pay or make a distribution (including any distribution of units or other securities or property or rights or warrants to subscribe for our securities at a price per unit less than the fair market value of such securities, by way of distribution or spin-off) on our common units, other than regular and customary quarterly distributions of available cash. As of December 31, 2017, there were 12,983,333 Class B Units outstanding.</w:t>
      </w:r>
    </w:p>
    <w:p>
      <w:pPr>
        <w:spacing w:after="0" w:line="158"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For more information on the rights and privileges of our Class B Units, read “Item 10B: Memorandum and Articles of Association—The Partnership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without your approval, which would dilute your ownership interests.</w:t>
      </w:r>
    </w:p>
    <w:p>
      <w:pPr>
        <w:spacing w:after="0" w:line="117"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Except for consent rights of the Class B Unit holders with respect to the issuance of interests senior to the Class B Units, we may, without the approval of our unitholders, issue an unlimited number of additional units or other equity securities, including to Capital Maritime or its affiliates.</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 our initial public offering, we conducted a number of issuances:</w:t>
      </w:r>
    </w:p>
    <w:p>
      <w:pPr>
        <w:spacing w:after="0" w:line="131" w:lineRule="exact"/>
        <w:rPr>
          <w:sz w:val="20"/>
          <w:szCs w:val="20"/>
          <w:color w:val="auto"/>
        </w:rPr>
      </w:pPr>
    </w:p>
    <w:p>
      <w:pPr>
        <w:ind w:left="1460" w:right="80" w:hanging="547"/>
        <w:spacing w:after="0" w:line="277"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issued Class B Units, which are convertible into common units. As of December 31, 2017, there were 12,983,333 Class B Units outstanding.</w:t>
      </w:r>
    </w:p>
    <w:p>
      <w:pPr>
        <w:spacing w:after="0" w:line="75" w:lineRule="exact"/>
        <w:rPr>
          <w:rFonts w:ascii="Arial" w:cs="Arial" w:eastAsia="Arial" w:hAnsi="Arial"/>
          <w:sz w:val="18"/>
          <w:szCs w:val="18"/>
          <w:color w:val="auto"/>
        </w:rPr>
      </w:pPr>
    </w:p>
    <w:p>
      <w:pPr>
        <w:ind w:left="1460" w:right="600" w:hanging="547"/>
        <w:spacing w:after="0" w:line="308" w:lineRule="auto"/>
        <w:tabs>
          <w:tab w:leader="none" w:pos="1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conducted multiple issuances of common units, including in the unit-for-share acquisition of Crude Carriers in 2011, in public offerings on an SEC-registered basis or to our General Partner or Capital Maritime in private placements.</w:t>
      </w:r>
    </w:p>
    <w:p>
      <w:pPr>
        <w:spacing w:after="0" w:line="51" w:lineRule="exact"/>
        <w:rPr>
          <w:rFonts w:ascii="Arial" w:cs="Arial" w:eastAsia="Arial" w:hAnsi="Arial"/>
          <w:sz w:val="17"/>
          <w:szCs w:val="17"/>
          <w:color w:val="auto"/>
        </w:rPr>
      </w:pPr>
    </w:p>
    <w:p>
      <w:pPr>
        <w:ind w:left="1460" w:right="160" w:hanging="547"/>
        <w:spacing w:after="0" w:line="259"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August 2014, following approval obtained from our limited partners at our 2014 annual meeting, we amended and restated our Omnibus Incentive Compensation Plan, adopted in April 2008 (the “Plan”) to increase the maximum number of restricted units authorized for issuance thereunder from 800,000 to 1,650,000. 850,000 restricted units were issued under the Plan in December 2015 of which 545,002 restricted units remained unvested as of December 31, 2017.</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59"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September 2016, we entered into an equity distribution agreement under which we may sell, from time to time, new common units having an aggregate offering amount of up to $50.0 million. As of December 31, 2017, we had issued 6.6 million new common units under the ATM offering translating into net proceeds of $22.3 million (before offering expenses). We may make additional such issuances in the future.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issuance by us of additional units or other equity securities of equal or senior rank may have the following effects:</w:t>
      </w:r>
    </w:p>
    <w:p>
      <w:pPr>
        <w:spacing w:after="0" w:line="131" w:lineRule="exact"/>
        <w:rPr>
          <w:sz w:val="20"/>
          <w:szCs w:val="20"/>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relative voting power of each previously outstanding unit may be diminished;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market price of the units may decline.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If at any time our General Partner and its affiliates own more than 90% of the units of a class, our General Partner will have the right, which it may assign to any of its affiliates or to us, but not the obligation, to acquire all, but not less than all, of the units of such class held by unaffiliated persons at a price not less than their then-current market price. As a result, you may be required to sell your units at an undesirable time or price and may not receive any return on your investment. You may also incur a tax liability upon a sale of your units.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a limited partner in a partnership organized under the laws of the Republic of the Marshall Islands, you could be held liable for our obligations to the same extent as a General Partner if a court determines that you “participated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“Item 10B: Memorandum and Articles of Association—The Partnership Agreement—Limited Liability” for a more detailed discussion of the implications of the limitations on liability to a unitholder.</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 borrow money to pay distributions or buy back our units, which would reduce the amount of credit available to operate our business.</w:t>
      </w:r>
    </w:p>
    <w:p>
      <w:pPr>
        <w:spacing w:after="0" w:line="14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Liquidity and Capital Resources—Borrowings.”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units to decline.</w:t>
      </w:r>
    </w:p>
    <w:p>
      <w:pPr>
        <w:spacing w:after="0" w:line="117"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 based equity investments such as our units. Any such increase in interest rates or reduction in demand for our units resulting from other relatively more attractive investment opportunities may cause the trading price or the market value of our units to decline.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117"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281"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3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completed our IPO on the Nasdaq Global Select Market on April 3, 2007. 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Our sponsor, Capital Maritime,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organization as a limited partnership under the laws of the Republic of the Marshall Islands may limit the ability of our unitholders to protect their interests.</w:t>
      </w:r>
    </w:p>
    <w:p>
      <w:pPr>
        <w:spacing w:after="0" w:line="62"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Our affairs are governed by our partnership agreement and the MILPA. The provisions of the MILPA resemble provisions of the limited partnership laws of a number of states in the United States, most notably Delaware.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not be possible for investors to enforce U.S. judgments against us.</w:t>
      </w:r>
    </w:p>
    <w:p>
      <w:pPr>
        <w:spacing w:after="0" w:line="117" w:lineRule="exact"/>
        <w:rPr>
          <w:sz w:val="20"/>
          <w:szCs w:val="20"/>
          <w:color w:val="auto"/>
        </w:rPr>
      </w:pPr>
    </w:p>
    <w:p>
      <w:pPr>
        <w:ind w:right="300" w:firstLine="913"/>
        <w:spacing w:after="0" w:line="291" w:lineRule="auto"/>
        <w:rPr>
          <w:sz w:val="20"/>
          <w:szCs w:val="20"/>
          <w:color w:val="auto"/>
        </w:rPr>
      </w:pPr>
      <w:r>
        <w:rPr>
          <w:rFonts w:ascii="Arial" w:cs="Arial" w:eastAsia="Arial" w:hAnsi="Arial"/>
          <w:sz w:val="16"/>
          <w:szCs w:val="16"/>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In addition to the following risk factors, you should read “Item 10E: Taxation” below for a more complete discussion of the expected material U.S. federal and non-U.S. income tax considerations relating to us and the ownership and disposition of our units.</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tax authorities could treat us as a “passive foreign investment company,” which could have adverse U.S. federal income tax consequences to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w:t>
      </w:r>
    </w:p>
    <w:p>
      <w:pPr>
        <w:spacing w:after="0" w:line="103" w:lineRule="exact"/>
        <w:rPr>
          <w:sz w:val="20"/>
          <w:szCs w:val="20"/>
          <w:color w:val="auto"/>
        </w:rPr>
      </w:pPr>
    </w:p>
    <w:p>
      <w:pPr>
        <w:ind w:right="380" w:firstLine="913"/>
        <w:spacing w:after="0" w:line="291" w:lineRule="auto"/>
        <w:rPr>
          <w:sz w:val="20"/>
          <w:szCs w:val="20"/>
          <w:color w:val="auto"/>
        </w:rPr>
      </w:pPr>
      <w:r>
        <w:rPr>
          <w:rFonts w:ascii="Arial" w:cs="Arial" w:eastAsia="Arial" w:hAnsi="Arial"/>
          <w:sz w:val="16"/>
          <w:szCs w:val="16"/>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w:t>
      </w:r>
    </w:p>
    <w:p>
      <w:pPr>
        <w:ind w:right="20" w:firstLine="8"/>
        <w:spacing w:after="0" w:line="252"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94"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10E: Taxation—Material U.S. Federal Income Tax Considerations—U.S. Federal Income Taxation of U.S. Holders—PFIC Status and Significant Tax Consequences.”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117"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Under the Internal Revenue Code of 1986, as amended (the “Code”), 50% of the gross shipping income of a vessel 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274"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9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See also “Item 3.D: Risk Factors—Risks Relating to Financing Activities—Risks arising from the political situation in Greece.” Any foreign taxes imposed on us or any subsidiaries or the increase of any tonnage tax will reduce our cash available for distribution.</w:t>
      </w:r>
    </w:p>
    <w:p>
      <w:pPr>
        <w:spacing w:after="0" w:line="32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131" w:lineRule="exact"/>
        <w:rPr>
          <w:sz w:val="20"/>
          <w:szCs w:val="20"/>
          <w:color w:val="auto"/>
        </w:rPr>
      </w:pPr>
    </w:p>
    <w:p>
      <w:pPr>
        <w:ind w:left="1920" w:hanging="440"/>
        <w:spacing w:after="0"/>
        <w:tabs>
          <w:tab w:leader="none" w:pos="19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Partnership</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are a master limited partnership organized as Capital Product Partners L.P. under the laws of the Marshall Islands on January 16, 2007.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We completed our IPO in April 2007. Upon our IPO, our fleet consisted of eight vessels, as compared to the 37 vessels currently in our fleet, including the M/T Aristaios acquired in January 2018.</w:t>
      </w:r>
    </w:p>
    <w:p>
      <w:pPr>
        <w:spacing w:after="0" w:line="170"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 February 2010, we completed the issuance of 5,800,000 common units at a public offering price of $8.85 per common unit. An additional 481,578 common units were subsequently sold at the same price following the partial exercise of the overallotment option granted to the underwriters for the offering. The net proceeds from the offering were used to acquire one MR tanker at an acquisition price of $43.0 million and for general partnership purposes.</w:t>
      </w:r>
    </w:p>
    <w:p>
      <w:pPr>
        <w:spacing w:after="0" w:line="147"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In August 2010, we completed the issuance of 5,500,000 common units at a public offering price of $8.63 per common unit. An additional 552,254 common units were subsequently sold at the same price following the partial exercise of the overallotment option granted to the underwriters. The net proceeds from the offering were used to acquire one MR tanker at an acquisition price of $43.5 million and for general partnership purposes.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May 2011, we entered into a definitive agreement to merge with Crude Carriers Corp. (“Crude Carrier”), a corporation organized under the laws of the Republic of Marshall Islands and managed by Capital Maritime, in a unit-for-share transaction. In September 2011, we completed the merger, as a result of which Crude Carrier became our wholly owned subsidiary. In connection with the merger, we issued 24,967,240 common units to holders of Crude Carriers’ shares.</w:t>
      </w:r>
    </w:p>
    <w:p>
      <w:pPr>
        <w:spacing w:after="0" w:line="187"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In June 2011, we completed the acquisition of the company owning the M/V Cape Agamemnon and the attached charter from Capital Maritime. The vessel is under a charter with COSCO for a ten-year period, which commenced in July 2010. The acquisition was funded through $1.5 million from available cash and the incurrence of $25.0 million of debt under our 2011 credit facility. We also issued 6,958,000 common units to Capital Maritime.</w:t>
      </w:r>
    </w:p>
    <w:p>
      <w:pPr>
        <w:spacing w:after="0" w:line="14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In September 2011, pursuant to the terms of our merger agreement with Crude Carriers, we amended and restated the omnibus agreement with Capital Maritime. Please read “Item 7.B: Related-Party Transactions—Omnibus Agreement with Capital Maritime.”</w:t>
      </w:r>
    </w:p>
    <w:p>
      <w:pPr>
        <w:spacing w:after="0" w:line="170"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In June 2012, we issued 15,555,554 Class B Units to a group of investors, including Capital Maritime, at price of $9.00 per unit. The Class B Units pay fixed quarterly cash distribution of $0.21375 per unit representing an annualized distribution yield of 9.5%. The net proceeds of the transaction, together with part of our cash balances, were used to prepay debt in the amount of $149.6 million.</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connection with the issuance and sale of the Class B Units, we adopted an amendment to our partnership agreement, dated as of May 22, 2012 (the “Second Amendment to the Partnership Agreement”), which established and set forth the rights, preferences, privileges, duties and obligations of the Class B Units. The Class B Units have not been registered under the Securities Act of 1933, as amended, and may not be offered or sold in the United States absent a registration statement or exemption from registration.</w:t>
      </w:r>
    </w:p>
    <w:p>
      <w:pPr>
        <w:spacing w:after="0" w:line="187"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In March 2013, we issued 9,100,000 Class B Units to a group of investors, including Capital Maritime, at a price of $8.25 per unit. In this connection, we adopted a further amendment to our limited partnership agreement, dated as of March 19, 2013 (the “Third Amendment to the Partnership Agreement”), which amended some of the rights, preferences and privileges of the Class B Units.</w:t>
      </w:r>
    </w:p>
    <w:p>
      <w:pPr>
        <w:spacing w:after="0" w:line="181"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The net proceeds of the transaction, together with approximately $54.0 million from a former credit facility and part of our cash balances, were used for the acquisition of two 5,023 TEU container vessels, the M/V ‘Hyundai Premium’ and M/V ‘Hyundai Paramount’, for a total consideration of $130.0 million. The vessels were originally ordered by Capital Maritime and secured a 12-year time charter employment (+/- 60 days) with HMM.</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holders of Class B Units, including Capital Maritime, have since converted an aggregate of 11,672,221 Class B Units.</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November 2012, one of our charterers, OSG, and certain of its subsidiaries made a voluntary filing for relief under Chapter 11 of the U.S. Bankruptcy Code. At the date of the filing, we had three IMO II/III Chemical/Product tankers (the M/T Alexandros II, the M/T Aristotelis II and the M/T Aris</w:t>
      </w:r>
    </w:p>
    <w:p>
      <w:pPr>
        <w:ind w:right="80" w:firstLine="8"/>
        <w:spacing w:after="0" w:line="295" w:lineRule="auto"/>
        <w:tabs>
          <w:tab w:leader="none" w:pos="2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long term bareboat charter to OSG subsidiaries. These charters were scheduled to terminate, approximately, in November 2017, April 2018 and June of 2018, respectively. We agreed to enter into new charters with OSG on substantially the same terms as the prior charters, but at reduced bareboat charter rate. In May 2013, we filed six claims for a total of $54.1 million against each of the three charterers and their respective three guarantors for damages resulting from the rejection of each of the prior charters. We sold our rights under these claims to Deutsche Bank Securities Inc.</w:t>
      </w:r>
    </w:p>
    <w:p>
      <w:pPr>
        <w:spacing w:after="0" w:line="16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August 2013, we issued 11,900,000 common units at a public offering price of $9.25 per common unit. An additional 1,785,000 common units were subsequently sold at the same price following the full exercise of the overallotment option granted to the underwriters. Capital GP L.L.C., our General Partner, participated in both the offering and the exercise of the overallotment option and purchased 279,286 units at the public offering price. The net proceeds from the offering, together with $75.0 million from our 2013 credit facility and part of our cash balances, were used to acquire three 5,023 TEU container vessels, the M/V Hyundai Prestige, the M/V Hyundai Privilege and the M/V Hyundai Platinum, from Capital Maritime for an aggregate purchase price of $195.0 million.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913"/>
        <w:spacing w:after="0" w:line="257" w:lineRule="auto"/>
        <w:rPr>
          <w:sz w:val="20"/>
          <w:szCs w:val="20"/>
          <w:color w:val="auto"/>
        </w:rPr>
      </w:pPr>
      <w:r>
        <w:rPr>
          <w:rFonts w:ascii="Arial" w:cs="Arial" w:eastAsia="Arial" w:hAnsi="Arial"/>
          <w:sz w:val="18"/>
          <w:szCs w:val="18"/>
          <w:color w:val="auto"/>
        </w:rPr>
        <w:t>In August 2014, our unitholders approved an amendment to the partnership agreement to revise the target distribution to holders of our IDRs as consideration for the acquisitions of the Dropdown Vessels at prices below current market value. This was subsequently adopted as the fourth amendment to our partnership agreement, dated August 25, 2014 (the “Fourth Amendment”). Prior to the Fourth Amendment, our General Partner was entitled to receive, subject to the rights of holders of the Class B Units and assuming our General Partner maintained a 2% general partner interest in us and had not transferred the IDRs:</w:t>
      </w:r>
    </w:p>
    <w:p>
      <w:pPr>
        <w:spacing w:after="0" w:line="94" w:lineRule="exact"/>
        <w:rPr>
          <w:sz w:val="20"/>
          <w:szCs w:val="20"/>
          <w:color w:val="auto"/>
        </w:rPr>
      </w:pPr>
    </w:p>
    <w:p>
      <w:pPr>
        <w:ind w:left="1460" w:right="780" w:hanging="547"/>
        <w:spacing w:after="0" w:line="277"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$0.3750 per unit (the “Minimum Quarterly Distribution”);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2% of all quarterly distributions until the holders of our common units had received $0.4313 per unit (the “First Target Distribution”);</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15% of all quarterly distributions until the holders of our common units had received $0.4688 per unit (the “Second Target Distribution”);</w:t>
      </w:r>
    </w:p>
    <w:p>
      <w:pPr>
        <w:spacing w:after="0" w:line="153" w:lineRule="exact"/>
        <w:rPr>
          <w:rFonts w:ascii="Arial" w:cs="Arial" w:eastAsia="Arial" w:hAnsi="Arial"/>
          <w:sz w:val="16"/>
          <w:szCs w:val="16"/>
          <w:color w:val="auto"/>
        </w:rPr>
      </w:pPr>
    </w:p>
    <w:p>
      <w:pPr>
        <w:ind w:left="1460" w:right="140" w:hanging="547"/>
        <w:spacing w:after="0" w:line="277"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25% of all quarterly distributions until the holders of our common units had received $0.5625 per unit (the “Third Target Distribution”);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50% of all quarterly distributions in excess of $0.5625 per unit.</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Pursuant to the Fourth Amendment, each of the minimum Quarterly Distribution, the First Target Distribution, the Second Target Distribution and the Third Target Distribution was reduced to $0.2325, $0.2425, $0.2675 and $0.2925, respectively, while our General Partner’s right to receive 50% of quarterly cash distributions in excess of the Third Target Distribution was reduced to a right to receive 35% of such cash distributions. Thereafter, Capital Maritime, after discussion with, and with the unanimous support of, the conflicts committee of our board of directors, unilaterally notified us that it decided to waive its rights to receive quarterly incentive distributions between $0.2425 and $0.25. This waiver effectively has increased the First Target Distribution from $0.2425 to $0.25.</w:t>
      </w:r>
    </w:p>
    <w:p>
      <w:pPr>
        <w:spacing w:after="0" w:line="193"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Further, in August 2014, our Omnibus Incentive Compensation Plan (the “Plan”) was amended and restated to increase the maximum number of restricted units authorized for issuance thereunder from 800,000 to 1,650,000, of which 795,200 have been previously issued and have vested.</w:t>
      </w:r>
    </w:p>
    <w:p>
      <w:pPr>
        <w:spacing w:after="0" w:line="124"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In September 2014, we completed the issuance of 15,000,000 common units at a public offering price of $10.53 per common unit. An additional 2,250,000 common units were subsequently sold on the same terms following the full exercise of the overallotment option granted to the underwriters. Also in September 2014, our sponsor converted an aggregate of 358,624 common units into general partner units and delivered such units to our General Partner in order for it to maintain its then 2% interest in us. Net proceeds, after the deduction of the underwriters’ commission but before expenses, relating to the offering were $173.9 million. The net proceeds from the offering were used to repurchase from Capital Maritime 5,950,610 common units at an aggregate price of $60.0 million, and to cancel such common units. The remaining proceeds were used to partially fund the $311.5 million aggregate purchase price for the Dropdown Vessels and for general partnership purposes.</w:t>
      </w:r>
    </w:p>
    <w:p>
      <w:pPr>
        <w:spacing w:after="0" w:line="17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During 2014, certain holders of our Class B Units, including Capital Maritime, converted an aggregate of 4,698,484 Class B Units into common units in accordance with the terms of the partnership agreement.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Recent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Agreement to Acquire the M/T Anikitos</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On January 22, 2018, we agreed to acquire, subject to the successful completion of the sale of the M/T Aristotelis, the eco-type MR product tanker M/T Anikitos (50,082 dwt IMO II/III chemical product tanker built in 2016, Samsung Heavy Industries (Ningbo) Co., Ltd.) for a total consideration of approximately $31.5 million from Capital Maritime. The M/T Anikitos is ultimately employed by Petrobras through a back-to-back charter with Curzon Maritime Limited, at a gross daily rate of $15,300 with earliest charter expiry in June 2020. The charterer has the option to extend the time charter for eighteen months (+/-30 days) at the same gross daily rate.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We intend to fund the acquisition of the M/T Anikitos with the net proceeds to be received from the sale of the M/T Aristotelis, available cash and the assumption of a term loan under a credit facility previously arranged by Capital Maritime with ING Bank NV in a principal amount equal to approximately 50% of the vessel’s charter-free market value at the time of the dropdown. The term loan is non-amortizing for a period of two years from the anniversary of the dropdown with an expected final maturity date in June 2023 and bears interest at LIBOR plus a margin of 2.50%. The term loan is subject to ship finance covenants similar to the covenants applicable under our existing facilities. We expect to take delivery of the M/T Anikitos in March 2018, following the delivery of the M/T Aristotelis to its new owner.</w:t>
      </w:r>
    </w:p>
    <w:p>
      <w:pPr>
        <w:spacing w:after="0" w:line="193"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The agreement to acquire the M/T Anikitos was entered into on an arm’s length basis and was reviewed and unanimously approved by the conflicts committee of our Board of Directors and our entire Board of Directors.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Acquisition of the M/T Aristaios</w:t>
      </w:r>
    </w:p>
    <w:p>
      <w:pPr>
        <w:spacing w:after="0" w:line="117"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On January 17, 2018, we acquired from Capital Maritime the shares of the company owning the M/T Aristaios, an eco-type crude tanker (113,689 dwt, Ice Class 1C, built in 2017, Daehan Shipbuilding Co. Ltd., South Korea), for a total consideration of $52.5 million. The M/T Aristaios is currently employed under a time charter to Tesoro at a gross daily rate of $26,400. The Tesoro charter commenced in January 2017 with duration of five years +/-45 days. We financed the acquisition with $24.2 million in cash and the assumption of a $28.3 million term loan under a credit facility previously arranged by Capital Maritime with Credit Agricole Corporate and Investment Bank and ING Bank NV. The term loan bears interest at LIBOR plus a margin of 2.85% and is payable in 12 consecutive semi-annual instalments of approximately $0.9 million beginning in July 2018, plus a balloon payment payable together with the last semi-annual instalment due in January 2024. The term loan is subject to ship finance covenants similar to the covenants applicable under our existing facilities.</w:t>
      </w:r>
    </w:p>
    <w:p>
      <w:pPr>
        <w:spacing w:after="0" w:line="30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2017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Agreement to Sell M/T Aristotelis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December 22, 2017, we entered into a memorandum of agreement for the sale of the M/T Aristotelis (51,604 dwt IMO II/III chemical product tanker built in 2013, Hyundai Mipo Dockyard Ltd., South Korea) to an unaffiliated third party for the amount of $29.4 million. Upon entering into the sale, we classified the M/T Aristotelis as “held for sale” and recorded an impairment charge of $3.3 million. Delivery of the M/T Aristotelis to its buyer is expected in early March 2018.</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Refinancing of External Debt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May 22, 2017, we entered into a firm offer letter contemplating our 2017 credit facility for an aggregate principal amount of up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$460.0 million with a syndicate of lenders led by HSH and ING Bank N.V., as mandated lead arrangers and bookrunners, and BNP Paribas and National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Greece S.A., as arrangers. On September 6, 2017, we entered into the loan agreement documenting the 2017 credit facility. On October 2, 2017, we repaid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$14.0 million outstanding under the 2011 credit facility through available cash. On October 4, 2017 (the “Drawdown Date”), we drew the full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$460.0 million under the 2017 credit facility and, together with available cash of $102.2 million, fully repaid total indebtedness of $562.2 million consisting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 $186.0 million outstanding under the 2007 credit facility; (ii) $181.6 million outstanding under the 2008 credit facility and (iii) $194.6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outstanding under the 2013 credit facility. Please see </w:t>
      </w:r>
      <w:r>
        <w:rPr>
          <w:rFonts w:ascii="Arial" w:cs="Arial" w:eastAsia="Arial" w:hAnsi="Arial"/>
          <w:sz w:val="18"/>
          <w:szCs w:val="18"/>
          <w:i w:val="1"/>
          <w:iCs w:val="1"/>
          <w:color w:val="auto"/>
        </w:rPr>
        <w:t>“Item 5.B. Liquidity and Capital Resources—Borrowings—Our Credit Facilities”</w:t>
      </w:r>
      <w:r>
        <w:rPr>
          <w:rFonts w:ascii="Arial" w:cs="Arial" w:eastAsia="Arial" w:hAnsi="Arial"/>
          <w:sz w:val="18"/>
          <w:szCs w:val="18"/>
          <w:color w:val="auto"/>
        </w:rPr>
        <w:t xml:space="preserve"> for further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our 2017 credit facility.</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At-the-market Offering</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During the year ended December 31, 2017, we issued 5.2 million new common units in total translating into net proceeds of $17.8 million after payment of sales agent commission but before offering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2016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Acquisition of the M/T Amor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October 24, 2016, we acquired from Capital Maritime the shares of the company owning the M/T Amor for a total consideration of</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$16.9 million comprising $16.0 million in cash and the issuance of 283,696 new common units to Capital Maritime, reflecting the fair value of M/T Amor of $31.6 million and the fair value of the time charter attached to the vessel of $1.1 million, less the assumption of a $15.8 million term loan under a credit facility previously arranged by Capital Maritime. The term loan is non-amortizing for a period of two years from the anniversary of the delivery of the M/T Amor with an expected final maturity date in November 2022 and has an interest margin of 2.50%. For further information on our existing facilities, please see “</w:t>
      </w:r>
      <w:r>
        <w:rPr>
          <w:rFonts w:ascii="Arial" w:cs="Arial" w:eastAsia="Arial" w:hAnsi="Arial"/>
          <w:sz w:val="18"/>
          <w:szCs w:val="18"/>
          <w:i w:val="1"/>
          <w:iCs w:val="1"/>
          <w:color w:val="auto"/>
        </w:rPr>
        <w:t>Item 5.B. Liquidity and Capital Resources—Borrowings—Our Credit Facilities.</w:t>
      </w:r>
      <w:r>
        <w:rPr>
          <w:rFonts w:ascii="Arial" w:cs="Arial" w:eastAsia="Arial" w:hAnsi="Arial"/>
          <w:sz w:val="18"/>
          <w:szCs w:val="18"/>
          <w:color w:val="auto"/>
        </w:rPr>
        <w:t>”</w:t>
      </w:r>
    </w:p>
    <w:p>
      <w:pPr>
        <w:spacing w:after="0" w:line="29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At-the-market Offering</w:t>
      </w:r>
    </w:p>
    <w:p>
      <w:pPr>
        <w:spacing w:after="0" w:line="11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In September 2016, the Partnership entered into an equity distribution agreement with UBS under which the Partnership may sell, from time to time through UBS, as its sales agent, new common units having an aggregate offering amount of up to $50.0 million. We intend to use the net proceeds from the sales of new common units, after deducting the sales agent’s commissions and our offering expenses, for general partnership purposes, which may include, among other things, the acquisition of new vessels, the repayment or refinancing of all or a portion of our outstanding indebtedness and funding of working capital requirements or capital expenditures. For the period between the launch of the ATM offering and December 31, 2016, we issued an aggregate of 1.4 million new common units translating into net proceeds of $4.5 million (before offering expenses).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HMM restructuring agreement &amp; disposal of HMM Shares</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HMM, the charterer of five of our container vessels and one of our largest counterparties in terms of revenue, completed a financial restructuring in July 2016. In this connection, our subsidiaries owning vessels under charter with HMM entered into a charter restructuring agreement with HMM on July 15, 2016. This agreement provides for the reduction of the charter rate payable under the respective charter parties by 20% to $23,480 per day (from a gross daily rate of $29,350) for a three and a half year period starting in July 2016 and ending in December 2019. The total charter rate reduction for the Charter Reduction Period is approximately $37.0 million. The charter restructuring agreement further provides that at the end of the Charter Reduction Period, the charter rate under the respective charter parties will be restored to the original gross daily rate of $29,350 until the expiry of each charter in 2024 and 2025. As compensation for the charter rate reduction, we received approximately 4.4 million HMM common shares, which we sold on the Stock Market Division of the Korean Exchange for aggregate consideration of $29.7 million in August 2016, which we accounted for as deferred revenue and which is being amortized on a straight line basis over the remaining charter period.</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Delivery of the M/V CMA CGM Magdalena</w:t>
      </w:r>
    </w:p>
    <w:p>
      <w:pPr>
        <w:spacing w:after="0" w:line="11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Pursuant to the Master Vessel Acquisition Agreement we entered into on July 24, 2014, the Partnership acquired on February 26, 2016 the shares of the company owning the M/V CMA CGM Magdalena, the last of five Dropdown Vessels that we agreed to acquire from Capital Maritime for a total consideration of $81.5 million. The M/V ‘CMA CGM Magdalena’ is chartered to CMA-CGM S.A. for five years at a gross daily charter rate of $39,250.</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2015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Issuance and Sale of Common Units</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April 2015, we completed the issuance of 14,555,000 common units at an offering price of $9.53 per unit. This total includes 1,100,000 common units sold to our sponsor and 1,755,000 common units sold to the underwriters following partial exercise of the overallotment option. Also in May 2015, our sponsor converted an aggregate of 315,908 common units into general partner units and delivered such units to our General Partner in order for it to maintain its 2% interest in us. Net proceeds, after the deduction of the underwriters’ commission but before expenses, relating to the offering were</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$133.3 million. The proceeds were used to prepay the quarterly amortization installments scheduled for 2016 and the first quarter of 2017 under our 2007, 2008 and 2011 credit facilities and to pay related fees and expenses and for general partnership purposes.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Amendments to Certain of Our Credit Facilities</w:t>
      </w:r>
    </w:p>
    <w:p>
      <w:pPr>
        <w:spacing w:after="0" w:line="11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April 2015, upon the completion of the issuance and sale of the 14,555,000 common units, we entered into three amendments to our 2007, 2008 and 2011 credit facilities providing for: (i) the prepayments made on April 30, 2015, and funded by the proceeds of the April 2015 offering of common units, of the scheduled four quarterly amortization payments in 2016 and the first quarter of 2017 in the respective aggregate amounts of $64.9 million, $46.0 million and $5.0 million; (ii) the deferral, following the prepayments, of any further scheduled amortization payments until November 2017 for the 2007 and 2008 credit facilities and until December 2017 for the 2011 credit facility; (iii) an extension of the final maturity date to December 31, 2019 for the 2007 and 2008 credit facilities; and (iv) an increase of the interest rate under the 2007 credit facility to 3.0% over LIBOR from 2.0% over LIBOR. All other terms in our existing credit facilities remained unchanged.</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Delivery of Dropdown Vessels</w:t>
      </w:r>
    </w:p>
    <w:p>
      <w:pPr>
        <w:spacing w:after="0" w:line="117"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color w:val="auto"/>
        </w:rPr>
        <w:t>On July 24, 2014, we entered into a Master Vessel Acquisition Agreement with our sponsor, Capital Maritime (the “Master Vessel Acquisition Agreement”) pursuant to which we agreed to acquire the Dropdown Vessels for an aggregate purchase price of $311.5 million. Between March and September 2015, we took delivery of the M/T Active, the M/V CMA CGM Amazon, the M/T Amadeus and the M/V CMA CGM Uruguay. Further to the Master Vessel Acquisition Agreement, the Partnership has a right of first refusal over six newbuild eco medium range product tankers built by Samsung Heavy Industries (Ningbo) Co. Ltd. including M/T Amor which was delivered in October 2016.</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Management Transition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June 30, 2015, Mr. Gerasimos (Jerry) Kalogiratos was appointed as Chief Executive Officer and Chief Financial Officer, succeeding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Petros Christodoulou, who served as the Chief Executive Officer and Chief Financial Officer of the Partnership’s General Partner between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and June 2015, and Mr. Gerasimos (Gerry) Ventouris was appointed as Chief Operating Officer. Mr. Christodoulou resigned as a director of our board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 and was replaced by Mr. Nikolaos Syntychakis.</w:t>
      </w:r>
    </w:p>
    <w:p>
      <w:pPr>
        <w:spacing w:after="0" w:line="21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During 2015, various holders of our Class B Units converted an aggregate of 1,240,404 Class B Units into common units in accordance with the terms of the partnership agreement.</w:t>
      </w:r>
    </w:p>
    <w:p>
      <w:pPr>
        <w:spacing w:after="0" w:line="315" w:lineRule="exact"/>
        <w:rPr>
          <w:sz w:val="20"/>
          <w:szCs w:val="20"/>
          <w:color w:val="auto"/>
        </w:rPr>
      </w:pPr>
    </w:p>
    <w:p>
      <w:pPr>
        <w:ind w:left="1920" w:hanging="440"/>
        <w:spacing w:after="0"/>
        <w:tabs>
          <w:tab w:leader="none" w:pos="19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We are an international owner of tanker, container and drybulk vessels. As of December 31, 2017 our fleet consisted of 36 high specification vessels (2.6 million dwt) with an average age of approximately 8.4 years comprising four Suezmax crude oil tankers, 21 MR tankers, all of which are classed as IMO II/III vessels, ten neo-panamax container carrier vessels and one Capesize bulk carrier. Our vessels are capable of carrying a wide range of cargoes, including crude oil, refined oil products such as gasoline, diesel, fuel oil and jet fuel, edible oils and certain chemicals, such as ethanol, as well as dry cargo and containerized goods. As of December 31, 2017, 33 vessels were chartered under time and bareboat charters with a revenue weighted average remaining term of approximately 5.3 years to charterers such as CMA CGM, Petrobras, PIL, subsidiaries of INSW, HMM, CSSA S.A. (Total S.A.), Empresa Publica Flota Petrolera Ecuatoriana EP Flopec (“Flopec”), COSCO, Repsol Trading S.A. (“Repsol”), Shell Tankers Singapore Private Limited (“Shell”) and Capital Maritime. As of December 31, 2017, all our time and bareboat charters provide for the receipt of a fixed base rate for the life of the charter, and in the case of four of our time charters, also provide for profit sharing arrangements in excess of the base rate. Please see “Item 4B: Business Overview—Our Charters— Profit Sharing Arrangements” for a detailed description of how profit sharing is calculated. As of December 31, 2017, the Marinakis family, including Evangelos M. Marinakis, our former chairman, may be deemed to beneficially own on a fully converted basis a 16.1% interest in us (17.7% on a non-fully converted basis), through, among others, Capital Maritime.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primary business objective is to increase cash available for distributions while maintaining a strong financial position and an appropriate level of liquidity for the proper conduct of our business, by executing the following business strategies: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70" w:lineRule="auto"/>
        <w:tabs>
          <w:tab w:leader="none" w:pos="14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medium- to long-term fixed charters</w:t>
      </w:r>
      <w:r>
        <w:rPr>
          <w:rFonts w:ascii="Arial" w:cs="Arial" w:eastAsia="Arial" w:hAnsi="Arial"/>
          <w:sz w:val="17"/>
          <w:szCs w:val="17"/>
          <w:color w:val="auto"/>
        </w:rPr>
        <w:t>. We seek to enter into medium- to long-term, fixed-rate charters for a majority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fleet in an effort to, together with our cost efficient ship management operations under our agreements with Capital Ship Management, provide visibility of revenues and cash flows in the medium- to long-term. As of December 31, 2017, 33 vessels were chartered under time and bareboat charters with a revenue weighted average remaining term of approximately 5.3 years. As our vessels come up for re-chartering, we will seek to redeploy them under period contracts that reflect our expectations of prevailing market conditions. We will continue to evaluate growth opportunities across all shipping sectors. We believe that the diversified profile of our fleet, its average age of approximately 8.4 years as of December 31, 2017, compared to the industry average of 10.8 years (adjusted for the composition of our fleet) and the high specifications of our vessels, as well as our Manager’s ability to meet the rigorous vetting requirements of some of the world’s most selective major international oil companies and major charterers in the tanker, drybulk and container sectors will position us favorably to continue to secure medium- to long-term charters for our vessels.</w:t>
      </w:r>
    </w:p>
    <w:p>
      <w:pPr>
        <w:spacing w:after="0" w:line="83" w:lineRule="exact"/>
        <w:rPr>
          <w:rFonts w:ascii="Arial" w:cs="Arial" w:eastAsia="Arial" w:hAnsi="Arial"/>
          <w:sz w:val="17"/>
          <w:szCs w:val="17"/>
          <w:color w:val="auto"/>
        </w:rPr>
      </w:pPr>
    </w:p>
    <w:p>
      <w:pPr>
        <w:ind w:left="1480" w:right="60" w:hanging="567"/>
        <w:spacing w:after="0" w:line="255"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relationships with both current and new charterers and capitalize on our relationship with Capital Maritime. </w:t>
      </w:r>
      <w:r>
        <w:rPr>
          <w:rFonts w:ascii="Arial" w:cs="Arial" w:eastAsia="Arial" w:hAnsi="Arial"/>
          <w:sz w:val="18"/>
          <w:szCs w:val="18"/>
          <w:color w:val="auto"/>
        </w:rPr>
        <w:t>We aim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our relationships with current and new charterers and to take advantage of our charterers’ diverse shipping requirements. We also believe that we can leverage our relationship with Capital Maritime and its ability to meet the rigorous vetting and selection processes of leading oil companies, as well as other charterers in the tanker, drybulk and container sectors, in order to attract new charterers for our fleet and increase the product, customer, geography and maturity diversity of our portfolio. We also believe that Capital Maritime will remain a strong chartering option.</w:t>
      </w:r>
    </w:p>
    <w:p>
      <w:pPr>
        <w:spacing w:after="0" w:line="98" w:lineRule="exact"/>
        <w:rPr>
          <w:rFonts w:ascii="Arial" w:cs="Arial" w:eastAsia="Arial" w:hAnsi="Arial"/>
          <w:sz w:val="18"/>
          <w:szCs w:val="18"/>
          <w:color w:val="auto"/>
        </w:rPr>
      </w:pPr>
    </w:p>
    <w:p>
      <w:pPr>
        <w:ind w:left="1480" w:right="60" w:hanging="567"/>
        <w:spacing w:after="0" w:line="270" w:lineRule="auto"/>
        <w:tabs>
          <w:tab w:leader="none" w:pos="14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fleet through opportunistic and accretive acquisitions. </w:t>
      </w:r>
      <w:r>
        <w:rPr>
          <w:rFonts w:ascii="Arial" w:cs="Arial" w:eastAsia="Arial" w:hAnsi="Arial"/>
          <w:sz w:val="17"/>
          <w:szCs w:val="17"/>
          <w:color w:val="auto"/>
        </w:rPr>
        <w:t>As of December 31, 2017, our fleet consisted of 36 vessels,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of 2.6 million deadweight tonnage, as compared to eight vessels with 0.3 million deadweight tonnage at the time of our IPO in 2007. Subject to our ability to obtain required financing and access financial markets, we intend to continue to evaluate potential acquisitions of both newbuilds and second-hand vessels in order to make opportunistic acquisitions for our fleet while maintaining a strong balance sheet. We also intend to take advantage of opportunities afforded to us by our relationship with our sponsor, Capital Maritime. As of December 31, 2017, Capital Maritime controlled a total of 23 vessels in the water, including five additional product tanker vessels for which we have a right of first refusal pursuant to the Master Vessel Acquisition Agreement. For future acquisitions, we may consider moderate increases in our overall leverage, provided that we are able to maintain low breakeven rates and deliver steady distributions to our unitholders. In addition, we may pursue opportunities for acquisitions of, or combinations with, other shipping businesses.</w:t>
      </w:r>
    </w:p>
    <w:p>
      <w:pPr>
        <w:spacing w:after="0" w:line="83" w:lineRule="exact"/>
        <w:rPr>
          <w:rFonts w:ascii="Arial" w:cs="Arial" w:eastAsia="Arial" w:hAnsi="Arial"/>
          <w:sz w:val="17"/>
          <w:szCs w:val="17"/>
          <w:color w:val="auto"/>
        </w:rPr>
      </w:pPr>
    </w:p>
    <w:p>
      <w:pPr>
        <w:ind w:left="1480" w:right="20" w:hanging="567"/>
        <w:spacing w:after="0" w:line="291" w:lineRule="auto"/>
        <w:tabs>
          <w:tab w:leader="none" w:pos="14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 strong balance sheet. </w:t>
      </w:r>
      <w:r>
        <w:rPr>
          <w:rFonts w:ascii="Arial" w:cs="Arial" w:eastAsia="Arial" w:hAnsi="Arial"/>
          <w:sz w:val="16"/>
          <w:szCs w:val="16"/>
          <w:color w:val="auto"/>
        </w:rPr>
        <w:t>While we seek to finance our vessels and future vessel acquisitions through a mix of debt,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and current cash balances, we intend to maintain a moderate level of leverage over time. We have in the recent past taken measures to retain internally generated cash to repay debt and together with a new amortizing $460.0 million credit facility, refinanced most of our external debt in October 2017. Moreover, by maintaining moderate levels of leverage, we aim to retain greater flexibility than more leveraged competitors, maintain lower breakeven rates and deliver sustainable distributions to our unitholders. In addition, charterers have increasingly favored financially solid vessel owners, and we believe that maintaining a strong balance sheet will help us access more favorable chartering opportunities, as well as give us a competitive advantage in pursuing vessel acquisitions.</w:t>
      </w:r>
    </w:p>
    <w:p>
      <w:pPr>
        <w:spacing w:after="0" w:line="72" w:lineRule="exact"/>
        <w:rPr>
          <w:rFonts w:ascii="Arial" w:cs="Arial" w:eastAsia="Arial" w:hAnsi="Arial"/>
          <w:sz w:val="16"/>
          <w:szCs w:val="16"/>
          <w:color w:val="auto"/>
        </w:rPr>
      </w:pPr>
    </w:p>
    <w:p>
      <w:pPr>
        <w:ind w:left="1480" w:right="60" w:hanging="567"/>
        <w:spacing w:after="0" w:line="302" w:lineRule="auto"/>
        <w:tabs>
          <w:tab w:leader="none" w:pos="14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build on our ability to meet rigorous industry and regulatory safety standards. </w:t>
      </w:r>
      <w:r>
        <w:rPr>
          <w:rFonts w:ascii="Arial" w:cs="Arial" w:eastAsia="Arial" w:hAnsi="Arial"/>
          <w:sz w:val="16"/>
          <w:szCs w:val="16"/>
          <w:color w:val="auto"/>
        </w:rPr>
        <w:t>We believe that in order for us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successful in growing our business, we will need to maintain our vessel safety record and build on our high level of customer service and support. Our Manager, Capital Ship Management, has a strong record of vessel safety and compliance with rigorous health, safety and environmental protection standards, and is also committed to providing our charterers with a high level of customer service and support.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that we are well-positioned to execute our business strategies because of the following competitive strengths:</w:t>
      </w:r>
    </w:p>
    <w:p>
      <w:pPr>
        <w:spacing w:after="0" w:line="131" w:lineRule="exact"/>
        <w:rPr>
          <w:sz w:val="20"/>
          <w:szCs w:val="20"/>
          <w:color w:val="auto"/>
        </w:rPr>
      </w:pPr>
    </w:p>
    <w:p>
      <w:pPr>
        <w:ind w:left="1480" w:right="20" w:hanging="567"/>
        <w:spacing w:after="0" w:line="270" w:lineRule="auto"/>
        <w:tabs>
          <w:tab w:leader="none" w:pos="14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Well-established relationships with our charterers and with Capital Maritime. </w:t>
      </w:r>
      <w:r>
        <w:rPr>
          <w:rFonts w:ascii="Arial" w:cs="Arial" w:eastAsia="Arial" w:hAnsi="Arial"/>
          <w:sz w:val="17"/>
          <w:szCs w:val="17"/>
          <w:color w:val="auto"/>
        </w:rPr>
        <w:t>We have established longstanding relationships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major international oil companies and major charterers in the tanker, drybulk and container sectors, having chartered our vessels over the last five years to well-known charterers such as AP Moller-Maersk AS, BP Shipping Limited, CMA CGM, COSCO, HMM, Petrobras, Repsol, Shell and Total S.A. On this basis, we believe that we are well situated to further develop our medium- to long-term charter relationships with leading charterers in the shipping industry. Our business also benefits from our unique relationship with Capital Maritime, our sponsor, which has a well-established reputation and safety and environmental track record within the shipping industry, a sizeable, diversified fleet amounting to 3.1 million dwt and strong relationships with many of the world’s leading oil companies, commodity traders, container operators and shipping companies. We also benefit from Capital Maritime’s expertise in technical fleet management and its track record of meeting the rigorous vetting requirements of some of the world’s most selective major international oil companies and other charterers in the drybulk and container sectors.</w:t>
      </w:r>
    </w:p>
    <w:p>
      <w:pPr>
        <w:spacing w:after="0" w:line="83" w:lineRule="exact"/>
        <w:rPr>
          <w:rFonts w:ascii="Arial" w:cs="Arial" w:eastAsia="Arial" w:hAnsi="Arial"/>
          <w:sz w:val="17"/>
          <w:szCs w:val="17"/>
          <w:color w:val="auto"/>
        </w:rPr>
      </w:pPr>
    </w:p>
    <w:p>
      <w:pPr>
        <w:ind w:left="1480" w:right="140" w:hanging="567"/>
        <w:spacing w:after="0" w:line="257"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Diversified revenue stream. </w:t>
      </w:r>
      <w:r>
        <w:rPr>
          <w:rFonts w:ascii="Arial" w:cs="Arial" w:eastAsia="Arial" w:hAnsi="Arial"/>
          <w:sz w:val="18"/>
          <w:szCs w:val="18"/>
          <w:color w:val="auto"/>
        </w:rPr>
        <w:t>Since our IPO in 2007, our fleet has grown from eight to 37 vessels following the acquisition of M/T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Aristaios in January 2018, comprising twenty one IMO II/III MR product tankers, ten neo-panamax container carrier vessels, four Suezmax crude oil tankers, one Aframax crude oil tanker and one Capesize drybulk carrier. We believe that our exposure to the product, crude, container and bulk shipping sectors provides us with a diversified revenue stream, with a view to enhancing the stability of our revenue and cash flows</w:t>
      </w:r>
      <w:r>
        <w:rPr>
          <w:rFonts w:ascii="Arial" w:cs="Arial" w:eastAsia="Arial" w:hAnsi="Arial"/>
          <w:sz w:val="18"/>
          <w:szCs w:val="18"/>
          <w:i w:val="1"/>
          <w:iCs w:val="1"/>
          <w:color w:val="auto"/>
        </w:rPr>
        <w:t>.</w:t>
      </w:r>
    </w:p>
    <w:p>
      <w:pPr>
        <w:spacing w:after="0" w:line="93" w:lineRule="exact"/>
        <w:rPr>
          <w:rFonts w:ascii="Arial" w:cs="Arial" w:eastAsia="Arial" w:hAnsi="Arial"/>
          <w:sz w:val="18"/>
          <w:szCs w:val="18"/>
          <w:color w:val="auto"/>
        </w:rPr>
      </w:pPr>
    </w:p>
    <w:p>
      <w:pPr>
        <w:ind w:left="1480" w:hanging="567"/>
        <w:spacing w:after="0" w:line="257"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and cash flow visibility and stability. </w:t>
      </w:r>
      <w:r>
        <w:rPr>
          <w:rFonts w:ascii="Arial" w:cs="Arial" w:eastAsia="Arial" w:hAnsi="Arial"/>
          <w:sz w:val="18"/>
          <w:szCs w:val="18"/>
          <w:color w:val="auto"/>
        </w:rPr>
        <w:t>As a number of our vessels are chartered under medium- and long-term contracts,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from revenue and cash flow visibility. Also, many of our charters expire on a staggered basis, which contributes to the stability of our cash flow generation. As our vessels come up for re-chartering, we seek to redeploy them under contracts that reflect our expectations of prevailing market conditions. As of December 31, 2017, our average remaining charter duration was 5.3 years and our charter coverage was 61% and 28% for 2018 and 2019, respectively.</w:t>
      </w:r>
    </w:p>
    <w:p>
      <w:pPr>
        <w:spacing w:after="0" w:line="93" w:lineRule="exact"/>
        <w:rPr>
          <w:rFonts w:ascii="Arial" w:cs="Arial" w:eastAsia="Arial" w:hAnsi="Arial"/>
          <w:sz w:val="18"/>
          <w:szCs w:val="18"/>
          <w:color w:val="auto"/>
        </w:rPr>
      </w:pPr>
    </w:p>
    <w:p>
      <w:pPr>
        <w:ind w:left="1480" w:right="20" w:hanging="567"/>
        <w:spacing w:after="0" w:line="270" w:lineRule="auto"/>
        <w:tabs>
          <w:tab w:leader="none" w:pos="14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specification fleet. </w:t>
      </w:r>
      <w:r>
        <w:rPr>
          <w:rFonts w:ascii="Arial" w:cs="Arial" w:eastAsia="Arial" w:hAnsi="Arial"/>
          <w:sz w:val="17"/>
          <w:szCs w:val="17"/>
          <w:color w:val="auto"/>
        </w:rPr>
        <w:t>Our vessels were primarily constructed by reputable Japanese and South Korean shipyards to high specifications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have an average age of 8.4 years as of December 31, 2017. The twenty one medium range tankers that form part of our fleet are all classed as IMO II/III vessels, which, in addition to the Ice Class 1A classification notation of many of our vessels and the wide range in size and geographic flexibility of our fleet is attractive to our charterers, providing them with a high degree of flexibility in the types of cargoes and variety in the trade routes they may choose as they employ our fleet. We believe that these characteristics of our product tankers position us to take advantage of the positive long-term demand fundamentals in the product tanker business. In addition, eight of our existing container vessels are ‘eco, wide beam’ type and have an increased cargo intake and reduced bunker consumption as compared to older vessel designs, and are able to transit the new Panama Canal locks. We believe that these characteristics make our containerships more attractive to charterers.</w:t>
      </w:r>
    </w:p>
    <w:p>
      <w:pPr>
        <w:spacing w:after="0" w:line="87" w:lineRule="exact"/>
        <w:rPr>
          <w:rFonts w:ascii="Arial" w:cs="Arial" w:eastAsia="Arial" w:hAnsi="Arial"/>
          <w:sz w:val="17"/>
          <w:szCs w:val="17"/>
          <w:color w:val="auto"/>
        </w:rPr>
      </w:pPr>
    </w:p>
    <w:p>
      <w:pPr>
        <w:ind w:left="1480" w:right="80" w:hanging="567"/>
        <w:spacing w:after="0" w:line="257"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balance sheet, cost efficient operations and acquisition funding. </w:t>
      </w:r>
      <w:r>
        <w:rPr>
          <w:rFonts w:ascii="Arial" w:cs="Arial" w:eastAsia="Arial" w:hAnsi="Arial"/>
          <w:sz w:val="18"/>
          <w:szCs w:val="18"/>
          <w:color w:val="auto"/>
        </w:rPr>
        <w:t>We believe that we have maintained a strong balance sheet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subject to market conditions, our financial strength positions us favorably to continue to make opportunistic acquisitions and grow our business with charterers as they seek financially sound counterparties for long-term contracts. We also believe that we have a long history of cost efficient ship management with consistent cost performance below industry benchmarks due to our outsourcing of our vessel management and operations to our Manager.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provide marine transportation services under medium- to long-term time charters or bareboat charters with a range of counterparties:</w:t>
      </w:r>
    </w:p>
    <w:p>
      <w:pPr>
        <w:spacing w:after="0" w:line="142" w:lineRule="exact"/>
        <w:rPr>
          <w:sz w:val="20"/>
          <w:szCs w:val="20"/>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CMA CGM</w:t>
      </w:r>
      <w:r>
        <w:rPr>
          <w:rFonts w:ascii="Arial" w:cs="Arial" w:eastAsia="Arial" w:hAnsi="Arial"/>
          <w:sz w:val="18"/>
          <w:szCs w:val="18"/>
          <w:color w:val="auto"/>
        </w:rPr>
        <w:t>, a French container transportation and shipping company.</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Petrobras</w:t>
      </w:r>
      <w:r>
        <w:rPr>
          <w:rFonts w:ascii="Arial" w:cs="Arial" w:eastAsia="Arial" w:hAnsi="Arial"/>
          <w:sz w:val="18"/>
          <w:szCs w:val="18"/>
          <w:color w:val="auto"/>
        </w:rPr>
        <w:t>, a publicly held Brazilian multinational energy corporation and a significant oil producer. Petrobras also owns oil refineries,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tankers, and is a major distributor of oil products.</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Hyundai Merchant Marine Co. </w:t>
      </w:r>
      <w:r>
        <w:rPr>
          <w:rFonts w:ascii="Arial" w:cs="Arial" w:eastAsia="Arial" w:hAnsi="Arial"/>
          <w:sz w:val="18"/>
          <w:szCs w:val="18"/>
          <w:color w:val="auto"/>
        </w:rPr>
        <w:t>Ltd, an integrated logistics company, operating around 130 vessels. HMM has worldwide global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and diverse logistics facilities.</w:t>
      </w:r>
    </w:p>
    <w:p>
      <w:pPr>
        <w:spacing w:after="0" w:line="75" w:lineRule="exact"/>
        <w:rPr>
          <w:rFonts w:ascii="Arial" w:cs="Arial" w:eastAsia="Arial" w:hAnsi="Arial"/>
          <w:sz w:val="18"/>
          <w:szCs w:val="18"/>
          <w:color w:val="auto"/>
        </w:rPr>
      </w:pPr>
    </w:p>
    <w:p>
      <w:pPr>
        <w:ind w:left="1460" w:right="60" w:hanging="547"/>
        <w:spacing w:after="0" w:line="308" w:lineRule="auto"/>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International Seaways, Inc., </w:t>
      </w:r>
      <w:r>
        <w:rPr>
          <w:rFonts w:ascii="Arial" w:cs="Arial" w:eastAsia="Arial" w:hAnsi="Arial"/>
          <w:sz w:val="17"/>
          <w:szCs w:val="17"/>
          <w:color w:val="auto"/>
        </w:rPr>
        <w:t>a provider of ocean transportation services for crude oil and refined petroleum products (formerly known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OSG International, Inc.). INSW was a wholly owned subsidiary of OSG prior to its spin-off in November 2016.</w:t>
      </w:r>
    </w:p>
    <w:p>
      <w:pPr>
        <w:spacing w:after="0" w:line="51" w:lineRule="exact"/>
        <w:rPr>
          <w:rFonts w:ascii="Arial" w:cs="Arial" w:eastAsia="Arial" w:hAnsi="Arial"/>
          <w:sz w:val="17"/>
          <w:szCs w:val="17"/>
          <w:color w:val="auto"/>
        </w:rPr>
      </w:pPr>
    </w:p>
    <w:p>
      <w:pPr>
        <w:ind w:left="1460" w:right="20" w:hanging="547"/>
        <w:spacing w:after="0" w:line="277"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CSSA S.A. (Total S.A.)</w:t>
      </w:r>
      <w:r>
        <w:rPr>
          <w:rFonts w:ascii="Arial" w:cs="Arial" w:eastAsia="Arial" w:hAnsi="Arial"/>
          <w:sz w:val="18"/>
          <w:szCs w:val="18"/>
          <w:color w:val="auto"/>
        </w:rPr>
        <w:t>, the shipping affiliate of Total S.A., the fourth largest publicly traded integrated international oil and gas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world.</w:t>
      </w:r>
    </w:p>
    <w:p>
      <w:pPr>
        <w:spacing w:after="0" w:line="75"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COSCO Bulk Carrier Co. Ltd.</w:t>
      </w:r>
      <w:r>
        <w:rPr>
          <w:rFonts w:ascii="Arial" w:cs="Arial" w:eastAsia="Arial" w:hAnsi="Arial"/>
          <w:sz w:val="18"/>
          <w:szCs w:val="18"/>
          <w:color w:val="auto"/>
        </w:rPr>
        <w:t>, a subsidiary of China COSCO Shipping Corporation Limited (COSCO Group), which is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largest drybulk and container owners and operators globally.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Repsol Trading S.A., </w:t>
      </w:r>
      <w:r>
        <w:rPr>
          <w:rFonts w:ascii="Arial" w:cs="Arial" w:eastAsia="Arial" w:hAnsi="Arial"/>
          <w:sz w:val="18"/>
          <w:szCs w:val="18"/>
          <w:color w:val="auto"/>
        </w:rPr>
        <w:t>a subsidiary of Repsol S.A., an oil and gas conglomerate.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Pacific International Lines (PTE) Ltd., </w:t>
      </w:r>
      <w:r>
        <w:rPr>
          <w:rFonts w:ascii="Arial" w:cs="Arial" w:eastAsia="Arial" w:hAnsi="Arial"/>
          <w:sz w:val="17"/>
          <w:szCs w:val="17"/>
          <w:color w:val="auto"/>
        </w:rPr>
        <w:t>a containership operator offering container liner services and multi-purpose services.</w:t>
      </w:r>
    </w:p>
    <w:p>
      <w:pPr>
        <w:spacing w:after="0" w:line="142" w:lineRule="exact"/>
        <w:rPr>
          <w:rFonts w:ascii="Arial" w:cs="Arial" w:eastAsia="Arial" w:hAnsi="Arial"/>
          <w:sz w:val="17"/>
          <w:szCs w:val="17"/>
          <w:color w:val="auto"/>
        </w:rPr>
      </w:pPr>
    </w:p>
    <w:p>
      <w:pPr>
        <w:ind w:left="1460" w:right="100" w:hanging="547"/>
        <w:spacing w:after="0" w:line="277"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Empresa Publica Flota Petrolera Ecuatoriana EP Flopec, </w:t>
      </w:r>
      <w:r>
        <w:rPr>
          <w:rFonts w:ascii="Arial" w:cs="Arial" w:eastAsia="Arial" w:hAnsi="Arial"/>
          <w:sz w:val="18"/>
          <w:szCs w:val="18"/>
          <w:color w:val="auto"/>
        </w:rPr>
        <w:t>a company transporting oil and other natural strategic resources for the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Ecuador.</w:t>
      </w:r>
    </w:p>
    <w:p>
      <w:pPr>
        <w:spacing w:after="0" w:line="75"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Tesoro Far East Maritime Company, </w:t>
      </w:r>
      <w:r>
        <w:rPr>
          <w:rFonts w:ascii="Arial" w:cs="Arial" w:eastAsia="Arial" w:hAnsi="Arial"/>
          <w:sz w:val="18"/>
          <w:szCs w:val="18"/>
          <w:color w:val="auto"/>
        </w:rPr>
        <w:t>a subsidiary of Andeavor an independent refiner and marketer of petroleum products headquartered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San Antonio, Texas.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Shell Tankers Singapore Private Limited, </w:t>
      </w:r>
      <w:r>
        <w:rPr>
          <w:rFonts w:ascii="Arial" w:cs="Arial" w:eastAsia="Arial" w:hAnsi="Arial"/>
          <w:sz w:val="18"/>
          <w:szCs w:val="18"/>
          <w:color w:val="auto"/>
        </w:rPr>
        <w:t>a subsidiary of Royal Dutch Shell PLC.</w:t>
      </w:r>
    </w:p>
    <w:p>
      <w:pPr>
        <w:spacing w:after="0" w:line="130" w:lineRule="exact"/>
        <w:rPr>
          <w:rFonts w:ascii="Arial" w:cs="Arial" w:eastAsia="Arial" w:hAnsi="Arial"/>
          <w:sz w:val="18"/>
          <w:szCs w:val="18"/>
          <w:color w:val="auto"/>
        </w:rPr>
      </w:pPr>
    </w:p>
    <w:p>
      <w:pPr>
        <w:jc w:val="both"/>
        <w:ind w:left="1460" w:right="140" w:hanging="547"/>
        <w:spacing w:after="0" w:line="264"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Capital Maritime &amp; Trading Corp., an established, </w:t>
      </w:r>
      <w:r>
        <w:rPr>
          <w:rFonts w:ascii="Arial" w:cs="Arial" w:eastAsia="Arial" w:hAnsi="Arial"/>
          <w:sz w:val="18"/>
          <w:szCs w:val="18"/>
          <w:color w:val="auto"/>
        </w:rPr>
        <w:t>diversified shipping company with activities in the sea transportation of wet (crude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oil, oil products, chemicals), container and dry cargoes worldwide with a long history of operating and investing in the shipping markets and the Partnership’s sponsor.</w:t>
      </w:r>
    </w:p>
    <w:p>
      <w:pPr>
        <w:spacing w:after="0" w:line="181"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The loss of any significant customer or a substantial decline in the amount of services requested by a significant customer could harm our business, results of operations, cash flows, financial condition and ability to make cash distributions and service or refinance our debt.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Agreements</w:t>
      </w:r>
    </w:p>
    <w:p>
      <w:pPr>
        <w:spacing w:after="0" w:line="121" w:lineRule="exact"/>
        <w:rPr>
          <w:sz w:val="20"/>
          <w:szCs w:val="20"/>
          <w:color w:val="auto"/>
        </w:rPr>
      </w:pPr>
    </w:p>
    <w:p>
      <w:pPr>
        <w:ind w:firstLine="1484"/>
        <w:spacing w:after="0" w:line="342" w:lineRule="auto"/>
        <w:rPr>
          <w:sz w:val="20"/>
          <w:szCs w:val="20"/>
          <w:color w:val="auto"/>
        </w:rPr>
      </w:pPr>
      <w:r>
        <w:rPr>
          <w:rFonts w:ascii="Arial" w:cs="Arial" w:eastAsia="Arial" w:hAnsi="Arial"/>
          <w:sz w:val="16"/>
          <w:szCs w:val="16"/>
          <w:color w:val="auto"/>
        </w:rPr>
        <w:t>We have entered into three separate technical and commercial management agreements with our Manager, Capital Ship Management, a subsidiary of Capital Maritime, for the management of our fleet. Each vessel in our fleet is managed under the terms of one of the following three agreements:</w:t>
      </w:r>
    </w:p>
    <w:p>
      <w:pPr>
        <w:spacing w:after="0" w:line="29" w:lineRule="exact"/>
        <w:rPr>
          <w:sz w:val="20"/>
          <w:szCs w:val="20"/>
          <w:color w:val="auto"/>
        </w:rPr>
      </w:pPr>
    </w:p>
    <w:p>
      <w:pPr>
        <w:ind w:left="1460" w:right="60" w:hanging="547"/>
        <w:spacing w:after="0" w:line="25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Fixed fee management agreement</w:t>
      </w:r>
      <w:r>
        <w:rPr>
          <w:rFonts w:ascii="Arial" w:cs="Arial" w:eastAsia="Arial" w:hAnsi="Arial"/>
          <w:sz w:val="18"/>
          <w:szCs w:val="18"/>
          <w:color w:val="auto"/>
        </w:rPr>
        <w:t>: At the time of our IPO, we entered into an agreement with our Manager under which our Manager has agreed to provide us with certain commercial and technical management services for a fixed daily fee per managed vessel. The fixed daily fee covers the commercial and technical management services, the respective vessel’s operating costs, such as crewing, repairs and maintenance, insurance, stores, spares and lubricants, and the cost of the first special survey or next scheduled drydocking of each managed vessel.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spacing w:after="0" w:line="257" w:lineRule="auto"/>
        <w:rPr>
          <w:sz w:val="20"/>
          <w:szCs w:val="20"/>
          <w:color w:val="auto"/>
        </w:rPr>
      </w:pPr>
      <w:r>
        <w:rPr>
          <w:rFonts w:ascii="Arial" w:cs="Arial" w:eastAsia="Arial" w:hAnsi="Arial"/>
          <w:sz w:val="18"/>
          <w:szCs w:val="18"/>
          <w:color w:val="auto"/>
        </w:rPr>
        <w:t>addition to the fixed daily fees payable under the management agreement, Capital Ship Management is entitled to supplementary compensation for extraordinary fees and costs (as described in the agreement) of any additional direct and indirect expenses it reasonably incurs in providing these services, which may vary from time to time. We also pay a fixed daily fee per bareboat chartered vessel in our fleet, mainly to cover compliance and commercial costs, which includes those costs incurred by our Manager to remain in compliance with the oil majors’ requirements, including vetting requirements.</w:t>
      </w:r>
    </w:p>
    <w:p>
      <w:pPr>
        <w:spacing w:after="0" w:line="94" w:lineRule="exact"/>
        <w:rPr>
          <w:sz w:val="20"/>
          <w:szCs w:val="20"/>
          <w:color w:val="auto"/>
        </w:rPr>
      </w:pPr>
    </w:p>
    <w:p>
      <w:pPr>
        <w:ind w:left="1460" w:right="80" w:hanging="547"/>
        <w:spacing w:after="0" w:line="273" w:lineRule="auto"/>
        <w:tabs>
          <w:tab w:leader="none" w:pos="146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Floating fee management agreement</w:t>
      </w:r>
      <w:r>
        <w:rPr>
          <w:rFonts w:ascii="Arial" w:cs="Arial" w:eastAsia="Arial" w:hAnsi="Arial"/>
          <w:sz w:val="17"/>
          <w:szCs w:val="17"/>
          <w:color w:val="auto"/>
        </w:rPr>
        <w:t>: In June 2011, we entered into an agreement with our Manager under which we are charged actual expenses incurred by our Manager. Under the terms of this agreement, we compensate our Manager for expenses and liabilities incurred on our behalf while providing the agreed services to us, including, but not limited to, crew, repairs and maintenance, insurance, stores, spares, lubricants and other operating costs. Costs and expenses associated with a managed vessel’s next scheduled drydocking are borne by us and not by our Manager. We also pay our Manager a daily technical management fee per managed vessel that is revised annually based on the United States Consumer Price Index.</w:t>
      </w:r>
    </w:p>
    <w:p>
      <w:pPr>
        <w:spacing w:after="0" w:line="83" w:lineRule="exact"/>
        <w:rPr>
          <w:rFonts w:ascii="Arial" w:cs="Arial" w:eastAsia="Arial" w:hAnsi="Arial"/>
          <w:sz w:val="17"/>
          <w:szCs w:val="17"/>
          <w:color w:val="auto"/>
        </w:rPr>
      </w:pPr>
    </w:p>
    <w:p>
      <w:pPr>
        <w:ind w:left="1460" w:hanging="547"/>
        <w:spacing w:after="0" w:line="285" w:lineRule="auto"/>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Crude Carriers management agreement</w:t>
      </w:r>
      <w:r>
        <w:rPr>
          <w:rFonts w:ascii="Arial" w:cs="Arial" w:eastAsia="Arial" w:hAnsi="Arial"/>
          <w:sz w:val="16"/>
          <w:szCs w:val="16"/>
          <w:color w:val="auto"/>
        </w:rPr>
        <w:t>: In September 2011, we completed our merger with Crude Carriers. Currently, three of the five crude tanker vessels we acquired as part of the merger continue to be managed under a management agreement entered into in March 2010, as amended, with Capital Ship Management whose initial term expires on December 31, 2020. Under the terms of this agreement we compensate our Manager for all of its expenses and liabilities incurred on our behalf while providing the agreed services to us, including, but not limited to, crew, repairs and maintenance, insurance, stores, spares, lubricants and other operating and administrative costs. Until December 31, 2016 we also paid our Manager the following fees: (a) a daily technical management fee per managed vessel that is revised annually based on the United States Consumer Price Index; (b) a sale and purchase fee equal to 1% of the gross purchase or sale price upon the consummation of any purchase or sale of a vessel acquired by Crude Carriers and (c) a commercial services fee equal to 1.25% of all gross charter revenues generated by each vessel for commercial services rendered. Our Manager has agreed to waive the sale and purchase fee as well as the commercial services fee from January 1, 2017 onwards. Our Manager has the right to terminate the Crude Carriers management agreement and, under certain circumstances, could receive substantial sums in connection with such termination; however, even if our board of directors or our unitholders are dissatisfied with the Manager, there are limited circumstances under which we can terminate this management agreement. This termination fee was initially set at $9.0 million in March 2010 and increases on each one-year anniversary during which the management agreement remains in effect (on a compounding basis) in accordance with the total percentage increase, if any, in the United States Consumer Price Index over the immediately preceding 12 months. In March 2017, this termination fee was adjusted to $10.1 million.</w:t>
      </w:r>
    </w:p>
    <w:p>
      <w:pPr>
        <w:spacing w:after="0" w:line="17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We expect that as the fixed fee management agreement expires for the two remaining vessels to which it currently applies, these vessels will be managed under floating fee management agreements on terms similar to those currently in place. We expect that new acquisitions we may make in the future will also be managed under similar floating fee management agreements. Under the terms of all three agreements, Capital Ship Management may either provide these services directly to us or subcontract them to other entities, including other Capital Maritime subsidiaries.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At the time of our IPO on April 3, 2007, our fleet consisted of eight vessels. Since that date, the size of our fleet has expanded in terms of both number of vessels and carrying capacity. As of December 31, 2017, our fleet consisted of 36 vessels, of various sizes with an average age of approximately 8.4 years and average remaining term under our charters of approximately 5.3 years.</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intend to continue to take advantage of our unique relationship with Capital Maritime and, subject to prevailing shipping, charter and financial market conditions and the approval of our board of directors, make strategic acquisitions in the medium to long term in a prudent manner that is accretive to our unitholders and to long-term distribution growth. Please read “Item 4.A.: History and Development of the Partnership—2015 Developments —</w:t>
      </w:r>
      <w:r>
        <w:rPr>
          <w:rFonts w:ascii="Arial" w:cs="Arial" w:eastAsia="Arial" w:hAnsi="Arial"/>
          <w:sz w:val="18"/>
          <w:szCs w:val="18"/>
          <w:i w:val="1"/>
          <w:iCs w:val="1"/>
          <w:color w:val="auto"/>
        </w:rPr>
        <w:t>Delivery of Dropdown Vessels</w:t>
      </w:r>
      <w:r>
        <w:rPr>
          <w:rFonts w:ascii="Arial" w:cs="Arial" w:eastAsia="Arial" w:hAnsi="Arial"/>
          <w:sz w:val="18"/>
          <w:szCs w:val="18"/>
          <w:color w:val="auto"/>
        </w:rPr>
        <w:t>” for a more detailed description of the right of first refusal</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Capital Maritime granted to us with respect to the acquisition of additional product tanker vessels. In addition, we may pursue opportunities for acquisitions of, or combinations with, other shipping businesses. Pursuant to the amended and restated omnibus agreement we have entered into with Capital Maritime in connection with our merger with Crude Carriers, Capital Maritime has granted us a right of first offer for any product tanker in its fleet with carrying capacity of over 30,000 dwt under time or bareboat charter with a remaining duration of at least twelve months. Capital Maritime is, however, under no obligation to fix any of these vessels under charters of longer than twelve months. Please read “Item 7B: Related-Party Transactions” for a detailed description of our amended and restated omnibus agreement with Capital Maritime.</w:t>
      </w:r>
    </w:p>
    <w:p>
      <w:pPr>
        <w:spacing w:after="0" w:line="193"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table below provides summary information as of December 31, 2017 about the vessels in our fleet, as well as their delivery date or expected delivery date to us and their employment, including earliest possible redelivery dates of the vessels and relevant charter rates. The table also includes the daily management fee and approximate expected termination date of the respective management agreement with Capital Ship Management with respect to each vessel. Sister vessels, which are vessels of similar specifications and size typically built at the same shipyard, are denoted by the same letter in the table. We believe that sister vessels provide a number of efficiency advantages in the management of our fleet.</w:t>
      </w:r>
    </w:p>
    <w:p>
      <w:pPr>
        <w:spacing w:after="0" w:line="173"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All of the vessels in our fleet are or were designed, constructed, inspected and tested in accordance with the rules and regulations of Det Norske Veritas, Lloyd’s Register of Shipping (“Lloyd’s”), Bureau Veritas (“BV”) or the American Bureau of Shipping (“ABS”) and were under time or bareboat charters from the time of their delivery.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 OUR FLEET AS OF DECEMBER 31,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8"/>
              </w:rPr>
              <w:t>Sister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OPEX</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8"/>
              </w:rPr>
              <w:t>Management</w:t>
            </w: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Charter</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Expiry of</w:t>
            </w:r>
          </w:p>
        </w:tc>
        <w:tc>
          <w:tcPr>
            <w:tcW w:w="10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3"/>
                <w:szCs w:val="13"/>
                <w:b w:val="1"/>
                <w:bCs w:val="1"/>
                <w:color w:val="auto"/>
              </w:rPr>
              <w:t>Daily</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Vessel name</w:t>
            </w:r>
          </w:p>
        </w:tc>
        <w:tc>
          <w:tcPr>
            <w:tcW w:w="620" w:type="dxa"/>
            <w:vAlign w:val="bottom"/>
            <w:gridSpan w:val="2"/>
            <w:vMerge w:val="continue"/>
          </w:tcPr>
          <w:p>
            <w:pPr>
              <w:spacing w:after="0"/>
              <w:rPr>
                <w:sz w:val="11"/>
                <w:szCs w:val="11"/>
                <w:color w:val="auto"/>
              </w:rPr>
            </w:pPr>
          </w:p>
        </w:tc>
        <w:tc>
          <w:tcPr>
            <w:tcW w:w="4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Year</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DWT -</w:t>
            </w:r>
          </w:p>
        </w:tc>
        <w:tc>
          <w:tcPr>
            <w:tcW w:w="4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(per</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4"/>
              </w:rPr>
              <w:t>Agreement</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87"/>
              </w:rPr>
              <w:t>Duration/</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Charter</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rPr>
              <w:t>Charter</w:t>
            </w:r>
          </w:p>
        </w:tc>
        <w:tc>
          <w:tcPr>
            <w:tcW w:w="40" w:type="dxa"/>
            <w:vAlign w:val="bottom"/>
          </w:tcPr>
          <w:p>
            <w:pPr>
              <w:spacing w:after="0"/>
              <w:rPr>
                <w:sz w:val="11"/>
                <w:szCs w:val="11"/>
                <w:color w:val="auto"/>
              </w:rPr>
            </w:pPr>
          </w:p>
        </w:tc>
        <w:tc>
          <w:tcPr>
            <w:tcW w:w="5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Profit</w:t>
            </w: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xml:space="preserve">Charterer </w:t>
            </w:r>
            <w:r>
              <w:rPr>
                <w:rFonts w:ascii="Arial" w:cs="Arial" w:eastAsia="Arial" w:hAnsi="Arial"/>
                <w:sz w:val="10"/>
                <w:szCs w:val="10"/>
                <w:b w:val="1"/>
                <w:bCs w:val="1"/>
                <w:color w:val="auto"/>
              </w:rPr>
              <w:t>(6)</w:t>
            </w:r>
          </w:p>
        </w:tc>
        <w:tc>
          <w:tcPr>
            <w:tcW w:w="2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0" w:type="dxa"/>
            <w:vAlign w:val="bottom"/>
          </w:tcPr>
          <w:p>
            <w:pPr>
              <w:spacing w:after="0"/>
              <w:rPr>
                <w:sz w:val="1"/>
                <w:szCs w:val="1"/>
                <w:color w:val="auto"/>
              </w:rPr>
            </w:pPr>
          </w:p>
        </w:tc>
      </w:tr>
      <w:tr>
        <w:trPr>
          <w:trHeight w:val="156"/>
        </w:trPr>
        <w:tc>
          <w:tcPr>
            <w:tcW w:w="2020" w:type="dxa"/>
            <w:vAlign w:val="bottom"/>
            <w:gridSpan w:val="5"/>
            <w:vMerge w:val="continue"/>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0"/>
              </w:rPr>
              <w:t xml:space="preserve">Vessels </w:t>
            </w:r>
            <w:r>
              <w:rPr>
                <w:rFonts w:ascii="Arial" w:cs="Arial" w:eastAsia="Arial" w:hAnsi="Arial"/>
                <w:sz w:val="10"/>
                <w:szCs w:val="10"/>
                <w:b w:val="1"/>
                <w:bCs w:val="1"/>
                <w:color w:val="auto"/>
                <w:w w:val="80"/>
              </w:rPr>
              <w:t>(1)</w:t>
            </w:r>
          </w:p>
        </w:tc>
        <w:tc>
          <w:tcPr>
            <w:tcW w:w="440" w:type="dxa"/>
            <w:vAlign w:val="bottom"/>
            <w:gridSpan w:val="2"/>
          </w:tcPr>
          <w:p>
            <w:pPr>
              <w:ind w:left="40"/>
              <w:spacing w:after="0"/>
              <w:rPr>
                <w:sz w:val="20"/>
                <w:szCs w:val="20"/>
                <w:color w:val="auto"/>
              </w:rPr>
            </w:pPr>
            <w:r>
              <w:rPr>
                <w:rFonts w:ascii="Arial" w:cs="Arial" w:eastAsia="Arial" w:hAnsi="Arial"/>
                <w:sz w:val="13"/>
                <w:szCs w:val="13"/>
                <w:b w:val="1"/>
                <w:bCs w:val="1"/>
                <w:color w:val="auto"/>
              </w:rPr>
              <w:t>built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TEU</w:t>
            </w:r>
            <w:r>
              <w:rPr>
                <w:rFonts w:ascii="Arial" w:cs="Arial" w:eastAsia="Arial" w:hAnsi="Arial"/>
                <w:sz w:val="10"/>
                <w:szCs w:val="10"/>
                <w:b w:val="1"/>
                <w:bCs w:val="1"/>
                <w:color w:val="auto"/>
              </w:rPr>
              <w:t>(15)</w:t>
            </w:r>
          </w:p>
        </w:tc>
        <w:tc>
          <w:tcPr>
            <w:tcW w:w="40" w:type="dxa"/>
            <w:vAlign w:val="bottom"/>
          </w:tcPr>
          <w:p>
            <w:pPr>
              <w:spacing w:after="0"/>
              <w:rPr>
                <w:sz w:val="13"/>
                <w:szCs w:val="13"/>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2"/>
              </w:rPr>
              <w:t>day)</w:t>
            </w:r>
            <w:r>
              <w:rPr>
                <w:rFonts w:ascii="Arial" w:cs="Arial" w:eastAsia="Arial" w:hAnsi="Arial"/>
                <w:sz w:val="10"/>
                <w:szCs w:val="10"/>
                <w:b w:val="1"/>
                <w:bCs w:val="1"/>
                <w:color w:val="auto"/>
                <w:w w:val="92"/>
              </w:rPr>
              <w:t>(2)</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Expiration</w:t>
            </w: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 xml:space="preserve">Type </w:t>
            </w:r>
            <w:r>
              <w:rPr>
                <w:rFonts w:ascii="Arial" w:cs="Arial" w:eastAsia="Arial" w:hAnsi="Arial"/>
                <w:sz w:val="10"/>
                <w:szCs w:val="10"/>
                <w:b w:val="1"/>
                <w:bCs w:val="1"/>
                <w:color w:val="auto"/>
              </w:rPr>
              <w:t>(3)</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1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w w:val="97"/>
              </w:rPr>
              <w:t>Rate (Net)</w:t>
            </w:r>
          </w:p>
        </w:tc>
        <w:tc>
          <w:tcPr>
            <w:tcW w:w="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0"/>
                <w:szCs w:val="10"/>
                <w:b w:val="1"/>
                <w:bCs w:val="1"/>
                <w:color w:val="auto"/>
              </w:rPr>
              <w:t>(5)</w:t>
            </w:r>
          </w:p>
        </w:tc>
        <w:tc>
          <w:tcPr>
            <w:tcW w:w="920" w:type="dxa"/>
            <w:vAlign w:val="bottom"/>
            <w:gridSpan w:val="2"/>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PRODUCT</w:t>
            </w:r>
          </w:p>
        </w:tc>
        <w:tc>
          <w:tcPr>
            <w:tcW w:w="780" w:type="dxa"/>
            <w:vAlign w:val="bottom"/>
            <w:tcBorders>
              <w:top w:val="single" w:sz="8" w:color="CCEEFF"/>
              <w:bottom w:val="single" w:sz="8" w:color="auto"/>
            </w:tcBorders>
            <w:gridSpan w:val="2"/>
            <w:shd w:val="clear" w:color="auto" w:fill="CCEEFF"/>
          </w:tcPr>
          <w:p>
            <w:pPr>
              <w:ind w:left="100"/>
              <w:spacing w:after="0" w:line="108" w:lineRule="exact"/>
              <w:rPr>
                <w:sz w:val="20"/>
                <w:szCs w:val="20"/>
                <w:color w:val="auto"/>
              </w:rPr>
            </w:pPr>
            <w:r>
              <w:rPr>
                <w:rFonts w:ascii="Arial" w:cs="Arial" w:eastAsia="Arial" w:hAnsi="Arial"/>
                <w:sz w:val="12"/>
                <w:szCs w:val="12"/>
                <w:b w:val="1"/>
                <w:bCs w:val="1"/>
                <w:color w:val="auto"/>
              </w:rPr>
              <w:t>TANKERS</w:t>
            </w:r>
          </w:p>
        </w:tc>
        <w:tc>
          <w:tcPr>
            <w:tcW w:w="58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460" w:type="dxa"/>
            <w:vAlign w:val="bottom"/>
            <w:tcBorders>
              <w:top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220" w:type="dxa"/>
            <w:vAlign w:val="bottom"/>
            <w:tcBorders>
              <w:top w:val="single" w:sz="8" w:color="auto"/>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gridSpan w:val="4"/>
          </w:tcPr>
          <w:p>
            <w:pPr>
              <w:spacing w:after="0" w:line="142" w:lineRule="exact"/>
              <w:rPr>
                <w:sz w:val="20"/>
                <w:szCs w:val="20"/>
                <w:color w:val="auto"/>
              </w:rPr>
            </w:pPr>
            <w:r>
              <w:rPr>
                <w:rFonts w:ascii="Arial" w:cs="Arial" w:eastAsia="Arial" w:hAnsi="Arial"/>
                <w:sz w:val="14"/>
                <w:szCs w:val="14"/>
                <w:color w:val="auto"/>
              </w:rPr>
              <w:t>Atlantas II</w:t>
            </w:r>
            <w:r>
              <w:rPr>
                <w:rFonts w:ascii="Arial" w:cs="Arial" w:eastAsia="Arial" w:hAnsi="Arial"/>
                <w:sz w:val="12"/>
                <w:szCs w:val="12"/>
                <w:color w:val="auto"/>
              </w:rPr>
              <w:t>(18)</w:t>
            </w:r>
          </w:p>
        </w:tc>
        <w:tc>
          <w:tcPr>
            <w:tcW w:w="620" w:type="dxa"/>
            <w:vAlign w:val="bottom"/>
            <w:gridSpan w:val="2"/>
          </w:tcPr>
          <w:p>
            <w:pPr>
              <w:jc w:val="center"/>
              <w:ind w:right="80"/>
              <w:spacing w:after="0" w:line="142" w:lineRule="exact"/>
              <w:rPr>
                <w:sz w:val="20"/>
                <w:szCs w:val="20"/>
                <w:color w:val="auto"/>
              </w:rPr>
            </w:pPr>
            <w:r>
              <w:rPr>
                <w:rFonts w:ascii="Arial" w:cs="Arial" w:eastAsia="Arial" w:hAnsi="Arial"/>
                <w:sz w:val="14"/>
                <w:szCs w:val="14"/>
                <w:color w:val="auto"/>
              </w:rPr>
              <w:t>A</w:t>
            </w:r>
          </w:p>
        </w:tc>
        <w:tc>
          <w:tcPr>
            <w:tcW w:w="44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2006</w:t>
            </w:r>
          </w:p>
        </w:tc>
        <w:tc>
          <w:tcPr>
            <w:tcW w:w="5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36,760</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Sep 2021</w:t>
            </w:r>
          </w:p>
        </w:tc>
        <w:tc>
          <w:tcPr>
            <w:tcW w:w="6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VC</w:t>
            </w: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color w:val="auto"/>
              </w:rPr>
              <w:t>—</w:t>
            </w:r>
          </w:p>
        </w:tc>
        <w:tc>
          <w:tcPr>
            <w:tcW w:w="2220" w:type="dxa"/>
            <w:vAlign w:val="bottom"/>
          </w:tcPr>
          <w:p>
            <w:pPr>
              <w:jc w:val="center"/>
              <w:spacing w:after="0" w:line="142"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 xml:space="preserve">Aktoras </w:t>
            </w:r>
            <w:r>
              <w:rPr>
                <w:rFonts w:ascii="Arial" w:cs="Arial" w:eastAsia="Arial" w:hAnsi="Arial"/>
                <w:sz w:val="12"/>
                <w:szCs w:val="12"/>
                <w:color w:val="auto"/>
              </w:rPr>
              <w:t>(7)</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0.8-</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A</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2006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36,759</w:t>
            </w: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Mar 2022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yr TC</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Jul 2018</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10,863</w:t>
            </w:r>
          </w:p>
        </w:tc>
        <w:tc>
          <w:tcPr>
            <w:tcW w:w="620" w:type="dxa"/>
            <w:vAlign w:val="bottom"/>
            <w:gridSpan w:val="3"/>
            <w:vMerge w:val="continue"/>
            <w:shd w:val="clear" w:color="auto" w:fill="CCEEFF"/>
          </w:tcPr>
          <w:p>
            <w:pPr>
              <w:spacing w:after="0"/>
              <w:rPr>
                <w:sz w:val="14"/>
                <w:szCs w:val="14"/>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CMTC</w:t>
            </w: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4"/>
          </w:tcPr>
          <w:p>
            <w:pPr>
              <w:spacing w:after="0" w:line="130" w:lineRule="exact"/>
              <w:rPr>
                <w:sz w:val="20"/>
                <w:szCs w:val="20"/>
                <w:color w:val="auto"/>
              </w:rPr>
            </w:pPr>
            <w:r>
              <w:rPr>
                <w:rFonts w:ascii="Arial" w:cs="Arial" w:eastAsia="Arial" w:hAnsi="Arial"/>
                <w:sz w:val="14"/>
                <w:szCs w:val="14"/>
                <w:color w:val="auto"/>
              </w:rPr>
              <w:t>Aiolos</w:t>
            </w:r>
            <w:r>
              <w:rPr>
                <w:rFonts w:ascii="Arial" w:cs="Arial" w:eastAsia="Arial" w:hAnsi="Arial"/>
                <w:sz w:val="12"/>
                <w:szCs w:val="12"/>
                <w:color w:val="auto"/>
              </w:rPr>
              <w:t>(7)</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0.8-yr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2007</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36,725</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Mar 2022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Jul 2018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10,863</w:t>
            </w:r>
          </w:p>
        </w:tc>
        <w:tc>
          <w:tcPr>
            <w:tcW w:w="620" w:type="dxa"/>
            <w:vAlign w:val="bottom"/>
            <w:gridSpan w:val="3"/>
            <w:vMerge w:val="continue"/>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CMTC</w:t>
            </w:r>
          </w:p>
        </w:tc>
        <w:tc>
          <w:tcPr>
            <w:tcW w:w="2220" w:type="dxa"/>
            <w:vAlign w:val="bottom"/>
          </w:tcPr>
          <w:p>
            <w:pPr>
              <w:jc w:val="center"/>
              <w:spacing w:after="0"/>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Agisilaos</w:t>
            </w:r>
            <w:r>
              <w:rPr>
                <w:rFonts w:ascii="Arial" w:cs="Arial" w:eastAsia="Arial" w:hAnsi="Arial"/>
                <w:sz w:val="12"/>
                <w:szCs w:val="12"/>
                <w:color w:val="auto"/>
              </w:rPr>
              <w:t>(11)</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A</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36,760</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Dec 2021</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Nov 2018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18,288</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FLOPEC</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Arionas</w:t>
            </w:r>
            <w:r>
              <w:rPr>
                <w:rFonts w:ascii="Arial" w:cs="Arial" w:eastAsia="Arial" w:hAnsi="Arial"/>
                <w:sz w:val="12"/>
                <w:szCs w:val="12"/>
                <w:color w:val="auto"/>
              </w:rPr>
              <w:t>(11)(12)</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36,725</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Aug 2021</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1-yr TC</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Feb 2018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10,863</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CMTC</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Axios</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47,872</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Jun 2022</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May 2018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15,015</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PETROBRAS</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Avax</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47,834</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Apr 2022</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May 2018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15,015</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PETROBRAS</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Akeraios</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47,781</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Aug 2022</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Mar 2019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17,306</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PETROBRAS</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Anemos I</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47,782</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Dec 2022</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Dec 2018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17,306</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PETROBRAS</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Apostolos</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47,782</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Sep 2022</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Dec 2018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17,306</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PETROBRAS</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Alexandros II</w:t>
            </w:r>
            <w:r>
              <w:rPr>
                <w:rFonts w:ascii="Arial" w:cs="Arial" w:eastAsia="Arial" w:hAnsi="Arial"/>
                <w:sz w:val="12"/>
                <w:szCs w:val="12"/>
                <w:color w:val="auto"/>
              </w:rPr>
              <w:t>(8)</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C</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2008</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51,258</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Dec 2022</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VC</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9"/>
              </w:rPr>
              <w:t>IMO 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Aristotelis II</w:t>
            </w:r>
            <w:r>
              <w:rPr>
                <w:rFonts w:ascii="Arial" w:cs="Arial" w:eastAsia="Arial" w:hAnsi="Arial"/>
                <w:sz w:val="12"/>
                <w:szCs w:val="12"/>
                <w:color w:val="auto"/>
              </w:rPr>
              <w:t>(8)</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10-yr</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C</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2008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51,226</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5"/>
              </w:rPr>
              <w:t>Fixed - $</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June 2018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BC</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Apr 2018</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6,600</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INSW</w:t>
            </w: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IMO 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4"/>
          </w:tcPr>
          <w:p>
            <w:pPr>
              <w:spacing w:after="0" w:line="130" w:lineRule="exact"/>
              <w:rPr>
                <w:sz w:val="20"/>
                <w:szCs w:val="20"/>
                <w:color w:val="auto"/>
              </w:rPr>
            </w:pPr>
            <w:r>
              <w:rPr>
                <w:rFonts w:ascii="Arial" w:cs="Arial" w:eastAsia="Arial" w:hAnsi="Arial"/>
                <w:sz w:val="14"/>
                <w:szCs w:val="14"/>
                <w:color w:val="auto"/>
              </w:rPr>
              <w:t>Aris II</w:t>
            </w:r>
            <w:r>
              <w:rPr>
                <w:rFonts w:ascii="Arial" w:cs="Arial" w:eastAsia="Arial" w:hAnsi="Arial"/>
                <w:sz w:val="12"/>
                <w:szCs w:val="12"/>
                <w:color w:val="auto"/>
              </w:rPr>
              <w:t>(8)</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10-yr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2008</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51,218</w:t>
            </w:r>
          </w:p>
        </w:tc>
        <w:tc>
          <w:tcPr>
            <w:tcW w:w="580" w:type="dxa"/>
            <w:vAlign w:val="bottom"/>
            <w:gridSpan w:val="2"/>
          </w:tcPr>
          <w:p>
            <w:pPr>
              <w:ind w:left="40"/>
              <w:spacing w:after="0"/>
              <w:rPr>
                <w:sz w:val="20"/>
                <w:szCs w:val="20"/>
                <w:color w:val="auto"/>
              </w:rPr>
            </w:pPr>
            <w:r>
              <w:rPr>
                <w:rFonts w:ascii="Arial" w:cs="Arial" w:eastAsia="Arial" w:hAnsi="Arial"/>
                <w:sz w:val="14"/>
                <w:szCs w:val="14"/>
                <w:color w:val="auto"/>
                <w:w w:val="95"/>
              </w:rPr>
              <w:t>Fixed - $</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250</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Aug 2018</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BC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Jun 2018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6,600</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INSW</w:t>
            </w:r>
          </w:p>
        </w:tc>
        <w:tc>
          <w:tcPr>
            <w:tcW w:w="2220" w:type="dxa"/>
            <w:vAlign w:val="bottom"/>
          </w:tcPr>
          <w:p>
            <w:pPr>
              <w:jc w:val="center"/>
              <w:spacing w:after="0"/>
              <w:rPr>
                <w:sz w:val="20"/>
                <w:szCs w:val="20"/>
                <w:color w:val="auto"/>
              </w:rPr>
            </w:pPr>
            <w:r>
              <w:rPr>
                <w:rFonts w:ascii="Arial" w:cs="Arial" w:eastAsia="Arial" w:hAnsi="Arial"/>
                <w:sz w:val="14"/>
                <w:szCs w:val="14"/>
                <w:color w:val="auto"/>
                <w:w w:val="99"/>
              </w:rPr>
              <w:t>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Ayrton II</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C</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2009</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51,260</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Apr 2019</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Feb 2018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17,775</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CMTC</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Atrotos</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47,786</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Apr 2019</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Nov 2018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17,306</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PETROBRAS</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Alkiviadis</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A</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36,721</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Oct 2020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Jul 2018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12,591</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CSSA</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Assos</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47,872</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Apr 2019</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Mar 2018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15,015</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PETROBRAS</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Aristotelis</w:t>
            </w:r>
            <w:r>
              <w:rPr>
                <w:rFonts w:ascii="Arial" w:cs="Arial" w:eastAsia="Arial" w:hAnsi="Arial"/>
                <w:sz w:val="12"/>
                <w:szCs w:val="12"/>
                <w:color w:val="auto"/>
              </w:rPr>
              <w:t>(13)</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2013</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51,604</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Nov 2018</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Feb 2018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13,578</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CMTC</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Eco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Active</w:t>
            </w:r>
            <w:r>
              <w:rPr>
                <w:rFonts w:ascii="Arial" w:cs="Arial" w:eastAsia="Arial" w:hAnsi="Arial"/>
                <w:sz w:val="12"/>
                <w:szCs w:val="12"/>
                <w:color w:val="auto"/>
              </w:rPr>
              <w:t>(17)</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J</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2015</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50,136</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Mar 2020</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8"/>
              </w:rPr>
              <w:t>Eco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Amadeus</w:t>
            </w:r>
            <w:r>
              <w:rPr>
                <w:rFonts w:ascii="Arial" w:cs="Arial" w:eastAsia="Arial" w:hAnsi="Arial"/>
                <w:sz w:val="12"/>
                <w:szCs w:val="12"/>
                <w:color w:val="auto"/>
              </w:rPr>
              <w:t>(16)</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J</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2015</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50,108</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Jun 2020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Oct 2018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14,210</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REPSOL</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Eco IMO 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4"/>
          </w:tcPr>
          <w:p>
            <w:pPr>
              <w:spacing w:after="0" w:line="130" w:lineRule="exact"/>
              <w:rPr>
                <w:sz w:val="20"/>
                <w:szCs w:val="20"/>
                <w:color w:val="auto"/>
              </w:rPr>
            </w:pPr>
            <w:r>
              <w:rPr>
                <w:rFonts w:ascii="Arial" w:cs="Arial" w:eastAsia="Arial" w:hAnsi="Arial"/>
                <w:sz w:val="14"/>
                <w:szCs w:val="14"/>
                <w:color w:val="auto"/>
              </w:rPr>
              <w:t>Amor</w:t>
            </w:r>
            <w:r>
              <w:rPr>
                <w:rFonts w:ascii="Arial" w:cs="Arial" w:eastAsia="Arial" w:hAnsi="Arial"/>
                <w:sz w:val="12"/>
                <w:szCs w:val="12"/>
                <w:color w:val="auto"/>
              </w:rPr>
              <w:t>(10)</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0.2-yr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J</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2015</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49,999</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Floating</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Oct 2021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Jan 2018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13,825</w:t>
            </w:r>
          </w:p>
        </w:tc>
        <w:tc>
          <w:tcPr>
            <w:tcW w:w="620" w:type="dxa"/>
            <w:vAlign w:val="bottom"/>
            <w:gridSpan w:val="3"/>
            <w:vMerge w:val="continue"/>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CMTC</w:t>
            </w:r>
          </w:p>
        </w:tc>
        <w:tc>
          <w:tcPr>
            <w:tcW w:w="2220" w:type="dxa"/>
            <w:vAlign w:val="bottom"/>
          </w:tcPr>
          <w:p>
            <w:pPr>
              <w:jc w:val="center"/>
              <w:spacing w:after="0"/>
              <w:rPr>
                <w:sz w:val="20"/>
                <w:szCs w:val="20"/>
                <w:color w:val="auto"/>
              </w:rPr>
            </w:pPr>
            <w:r>
              <w:rPr>
                <w:rFonts w:ascii="Arial" w:cs="Arial" w:eastAsia="Arial" w:hAnsi="Arial"/>
                <w:sz w:val="14"/>
                <w:szCs w:val="14"/>
                <w:color w:val="auto"/>
                <w:w w:val="98"/>
              </w:rPr>
              <w:t>Eco IMO II/III Chem.Prod.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CRUDE TANKERS</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Miltiadis M II</w:t>
            </w:r>
          </w:p>
        </w:tc>
        <w:tc>
          <w:tcPr>
            <w:tcW w:w="780" w:type="dxa"/>
            <w:vAlign w:val="bottom"/>
            <w:tcBorders>
              <w:top w:val="single" w:sz="8" w:color="CCEEFF"/>
            </w:tcBorders>
            <w:gridSpan w:val="2"/>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gridSpan w:val="2"/>
          </w:tcPr>
          <w:p>
            <w:pPr>
              <w:jc w:val="right"/>
              <w:ind w:right="100"/>
              <w:spacing w:after="0" w:line="123" w:lineRule="exact"/>
              <w:rPr>
                <w:sz w:val="20"/>
                <w:szCs w:val="20"/>
                <w:color w:val="auto"/>
              </w:rPr>
            </w:pPr>
            <w:r>
              <w:rPr>
                <w:rFonts w:ascii="Arial" w:cs="Arial" w:eastAsia="Arial" w:hAnsi="Arial"/>
                <w:sz w:val="14"/>
                <w:szCs w:val="14"/>
                <w:color w:val="auto"/>
              </w:rPr>
              <w:t>0.8-yr</w:t>
            </w:r>
          </w:p>
        </w:tc>
        <w:tc>
          <w:tcPr>
            <w:tcW w:w="6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gridSpan w:val="3"/>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2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F</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2006</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162,397</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Crude</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Dec 2020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Aug 2018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18,000</w:t>
            </w:r>
          </w:p>
        </w:tc>
        <w:tc>
          <w:tcPr>
            <w:tcW w:w="620" w:type="dxa"/>
            <w:vAlign w:val="bottom"/>
            <w:gridSpan w:val="3"/>
            <w:vMerge w:val="continue"/>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CMTC</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Ice Class 1A Crude Oil Suezmax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Amoureux</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D</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2008</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149,993</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Crude</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Dec 2020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1-yr TC</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Mar 2018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22,000</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CMTC</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Crude Oil Suezmax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Aias</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D</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2008</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150,393</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Crude</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Dec 2020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3-yr TC</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Jan 2018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25,506</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REPSOL</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3"/>
              </w:rPr>
              <w:t>Crude Oil Suezmax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Amore Mio II</w:t>
            </w:r>
          </w:p>
        </w:tc>
        <w:tc>
          <w:tcPr>
            <w:tcW w:w="6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E</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2001</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159,982</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Floating</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May 2019</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VC</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Crude Oil Suezmax</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Sister</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OPEX</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8"/>
              </w:rPr>
              <w:t>Management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9"/>
              </w:rPr>
              <w:t>Charter</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Expiry of</w:t>
            </w:r>
          </w:p>
        </w:tc>
        <w:tc>
          <w:tcPr>
            <w:tcW w:w="120" w:type="dxa"/>
            <w:vAlign w:val="bottom"/>
          </w:tcPr>
          <w:p>
            <w:pPr>
              <w:spacing w:after="0"/>
              <w:rPr>
                <w:sz w:val="13"/>
                <w:szCs w:val="13"/>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Daily</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Vessel name</w:t>
            </w:r>
          </w:p>
        </w:tc>
        <w:tc>
          <w:tcPr>
            <w:tcW w:w="5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Vessels</w:t>
            </w:r>
          </w:p>
        </w:tc>
        <w:tc>
          <w:tcPr>
            <w:tcW w:w="5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Year</w:t>
            </w:r>
          </w:p>
        </w:tc>
        <w:tc>
          <w:tcPr>
            <w:tcW w:w="96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5"/>
              </w:rPr>
              <w:t>DWT – TEU</w:t>
            </w:r>
            <w:r>
              <w:rPr>
                <w:rFonts w:ascii="Arial" w:cs="Arial" w:eastAsia="Arial" w:hAnsi="Arial"/>
                <w:sz w:val="10"/>
                <w:szCs w:val="10"/>
                <w:b w:val="1"/>
                <w:bCs w:val="1"/>
                <w:color w:val="auto"/>
                <w:w w:val="95"/>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(per</w:t>
            </w:r>
          </w:p>
        </w:tc>
        <w:tc>
          <w:tcPr>
            <w:tcW w:w="8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Agreement</w:t>
            </w: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w w:val="87"/>
              </w:rPr>
              <w:t>Duration/</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Charter</w:t>
            </w:r>
          </w:p>
        </w:tc>
        <w:tc>
          <w:tcPr>
            <w:tcW w:w="7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Charter</w:t>
            </w:r>
          </w:p>
        </w:tc>
        <w:tc>
          <w:tcPr>
            <w:tcW w:w="144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rPr>
              <w:t>Profit</w:t>
            </w: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Description</w:t>
            </w:r>
          </w:p>
        </w:tc>
        <w:tc>
          <w:tcPr>
            <w:tcW w:w="0" w:type="dxa"/>
            <w:vAlign w:val="bottom"/>
          </w:tcPr>
          <w:p>
            <w:pPr>
              <w:spacing w:after="0"/>
              <w:rPr>
                <w:sz w:val="1"/>
                <w:szCs w:val="1"/>
                <w:color w:val="auto"/>
              </w:rPr>
            </w:pPr>
          </w:p>
        </w:tc>
      </w:tr>
      <w:tr>
        <w:trPr>
          <w:trHeight w:val="156"/>
        </w:trPr>
        <w:tc>
          <w:tcPr>
            <w:tcW w:w="3100" w:type="dxa"/>
            <w:vAlign w:val="bottom"/>
            <w:gridSpan w:val="5"/>
            <w:vMerge w:val="continue"/>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80" w:type="dxa"/>
            <w:vAlign w:val="bottom"/>
          </w:tcPr>
          <w:p>
            <w:pPr>
              <w:spacing w:after="0"/>
              <w:rPr>
                <w:sz w:val="13"/>
                <w:szCs w:val="13"/>
                <w:color w:val="auto"/>
              </w:rPr>
            </w:pPr>
          </w:p>
        </w:tc>
        <w:tc>
          <w:tcPr>
            <w:tcW w:w="500" w:type="dxa"/>
            <w:vAlign w:val="bottom"/>
            <w:gridSpan w:val="2"/>
          </w:tcPr>
          <w:p>
            <w:pPr>
              <w:ind w:left="80"/>
              <w:spacing w:after="0"/>
              <w:rPr>
                <w:sz w:val="20"/>
                <w:szCs w:val="20"/>
                <w:color w:val="auto"/>
              </w:rPr>
            </w:pPr>
            <w:r>
              <w:rPr>
                <w:rFonts w:ascii="Arial" w:cs="Arial" w:eastAsia="Arial" w:hAnsi="Arial"/>
                <w:sz w:val="13"/>
                <w:szCs w:val="13"/>
                <w:b w:val="1"/>
                <w:bCs w:val="1"/>
                <w:color w:val="auto"/>
              </w:rPr>
              <w:t>built</w:t>
            </w: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day)</w:t>
            </w:r>
            <w:r>
              <w:rPr>
                <w:rFonts w:ascii="Arial" w:cs="Arial" w:eastAsia="Arial" w:hAnsi="Arial"/>
                <w:sz w:val="10"/>
                <w:szCs w:val="10"/>
                <w:b w:val="1"/>
                <w:bCs w:val="1"/>
                <w:color w:val="auto"/>
                <w:w w:val="92"/>
              </w:rPr>
              <w:t>(2)</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Expiration</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9"/>
              </w:rPr>
              <w:t xml:space="preserve">Type </w:t>
            </w:r>
            <w:r>
              <w:rPr>
                <w:rFonts w:ascii="Arial" w:cs="Arial" w:eastAsia="Arial" w:hAnsi="Arial"/>
                <w:sz w:val="10"/>
                <w:szCs w:val="10"/>
                <w:b w:val="1"/>
                <w:bCs w:val="1"/>
                <w:color w:val="auto"/>
                <w:w w:val="99"/>
              </w:rPr>
              <w:t>(3)</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12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Rate (Net)</w:t>
            </w:r>
          </w:p>
        </w:tc>
        <w:tc>
          <w:tcPr>
            <w:tcW w:w="1440" w:type="dxa"/>
            <w:vAlign w:val="bottom"/>
            <w:gridSpan w:val="4"/>
          </w:tcPr>
          <w:p>
            <w:pPr>
              <w:spacing w:after="0"/>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0"/>
                <w:szCs w:val="10"/>
                <w:b w:val="1"/>
                <w:bCs w:val="1"/>
                <w:color w:val="auto"/>
              </w:rPr>
              <w:t>(5)</w:t>
            </w:r>
            <w:r>
              <w:rPr>
                <w:rFonts w:ascii="Arial" w:cs="Arial" w:eastAsia="Arial" w:hAnsi="Arial"/>
                <w:sz w:val="13"/>
                <w:szCs w:val="13"/>
                <w:b w:val="1"/>
                <w:bCs w:val="1"/>
                <w:color w:val="auto"/>
              </w:rPr>
              <w:t xml:space="preserve">   Charterer </w:t>
            </w:r>
            <w:r>
              <w:rPr>
                <w:rFonts w:ascii="Arial" w:cs="Arial" w:eastAsia="Arial" w:hAnsi="Arial"/>
                <w:sz w:val="10"/>
                <w:szCs w:val="10"/>
                <w:b w:val="1"/>
                <w:bCs w:val="1"/>
                <w:color w:val="auto"/>
              </w:rPr>
              <w:t>(6)</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top w:val="single" w:sz="8" w:color="auto"/>
            </w:tcBorders>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DRYBULK</w:t>
            </w:r>
          </w:p>
        </w:tc>
        <w:tc>
          <w:tcPr>
            <w:tcW w:w="2440" w:type="dxa"/>
            <w:vAlign w:val="bottom"/>
            <w:tcBorders>
              <w:top w:val="single" w:sz="8" w:color="CCEEFF"/>
            </w:tcBorders>
            <w:gridSpan w:val="3"/>
            <w:shd w:val="clear" w:color="auto" w:fill="CCEEFF"/>
          </w:tcPr>
          <w:p>
            <w:pPr>
              <w:ind w:left="100"/>
              <w:spacing w:after="0" w:line="108" w:lineRule="exact"/>
              <w:rPr>
                <w:sz w:val="20"/>
                <w:szCs w:val="20"/>
                <w:color w:val="auto"/>
              </w:rPr>
            </w:pPr>
            <w:r>
              <w:rPr>
                <w:rFonts w:ascii="Arial" w:cs="Arial" w:eastAsia="Arial" w:hAnsi="Arial"/>
                <w:sz w:val="12"/>
                <w:szCs w:val="12"/>
                <w:b w:val="1"/>
                <w:bCs w:val="1"/>
                <w:color w:val="auto"/>
              </w:rPr>
              <w:t>VESSEL</w:t>
            </w: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w w:val="91"/>
              </w:rPr>
              <w:t>Cape Agamemnon</w:t>
            </w:r>
            <w:r>
              <w:rPr>
                <w:rFonts w:ascii="Arial" w:cs="Arial" w:eastAsia="Arial" w:hAnsi="Arial"/>
                <w:sz w:val="12"/>
                <w:szCs w:val="12"/>
                <w:color w:val="auto"/>
                <w:w w:val="91"/>
              </w:rPr>
              <w:t>(19)</w:t>
            </w:r>
          </w:p>
        </w:tc>
        <w:tc>
          <w:tcPr>
            <w:tcW w:w="1800" w:type="dxa"/>
            <w:vAlign w:val="bottom"/>
            <w:tcBorders>
              <w:top w:val="single" w:sz="8" w:color="CCEEFF"/>
            </w:tcBorders>
            <w:gridSpan w:val="2"/>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gridSpan w:val="2"/>
          </w:tcPr>
          <w:p>
            <w:pPr>
              <w:jc w:val="right"/>
              <w:ind w:right="120"/>
              <w:spacing w:after="0" w:line="129" w:lineRule="exact"/>
              <w:rPr>
                <w:sz w:val="20"/>
                <w:szCs w:val="20"/>
                <w:color w:val="auto"/>
              </w:rPr>
            </w:pPr>
            <w:r>
              <w:rPr>
                <w:rFonts w:ascii="Arial" w:cs="Arial" w:eastAsia="Arial" w:hAnsi="Arial"/>
                <w:sz w:val="14"/>
                <w:szCs w:val="14"/>
                <w:color w:val="auto"/>
              </w:rPr>
              <w:t>10-</w:t>
            </w:r>
          </w:p>
        </w:tc>
        <w:tc>
          <w:tcPr>
            <w:tcW w:w="6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86"/>
              </w:rPr>
              <w:t>Cape Size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G</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2010</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179,221</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Jun 2021</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yr 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Jun 2020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40,090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COSCO</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Dry Cargo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CONTAINER CARRIER VESSELS</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Archimidis</w:t>
            </w:r>
            <w:r>
              <w:rPr>
                <w:rFonts w:ascii="Arial" w:cs="Arial" w:eastAsia="Arial" w:hAnsi="Arial"/>
                <w:sz w:val="12"/>
                <w:szCs w:val="12"/>
                <w:color w:val="auto"/>
              </w:rPr>
              <w:t>(14)</w:t>
            </w:r>
          </w:p>
        </w:tc>
        <w:tc>
          <w:tcPr>
            <w:tcW w:w="86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jc w:val="right"/>
              <w:spacing w:after="0" w:line="123" w:lineRule="exact"/>
              <w:rPr>
                <w:sz w:val="20"/>
                <w:szCs w:val="20"/>
                <w:color w:val="auto"/>
              </w:rPr>
            </w:pPr>
            <w:r>
              <w:rPr>
                <w:rFonts w:ascii="Arial" w:cs="Arial" w:eastAsia="Arial" w:hAnsi="Arial"/>
                <w:sz w:val="14"/>
                <w:szCs w:val="14"/>
                <w:color w:val="auto"/>
              </w:rPr>
              <w:t>108,892</w:t>
            </w:r>
          </w:p>
        </w:tc>
        <w:tc>
          <w:tcPr>
            <w:tcW w:w="200" w:type="dxa"/>
            <w:vAlign w:val="bottom"/>
            <w:tcBorders>
              <w:top w:val="single" w:sz="8" w:color="CCEEFF"/>
            </w:tcBorders>
            <w:gridSpan w:val="2"/>
          </w:tcPr>
          <w:p>
            <w:pPr>
              <w:jc w:val="right"/>
              <w:ind w:right="120"/>
              <w:spacing w:after="0" w:line="12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H</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2006</w:t>
            </w:r>
          </w:p>
        </w:tc>
        <w:tc>
          <w:tcPr>
            <w:tcW w:w="1160" w:type="dxa"/>
            <w:vAlign w:val="bottom"/>
            <w:gridSpan w:val="3"/>
          </w:tcPr>
          <w:p>
            <w:pPr>
              <w:ind w:left="400"/>
              <w:spacing w:after="0"/>
              <w:rPr>
                <w:sz w:val="20"/>
                <w:szCs w:val="20"/>
                <w:color w:val="auto"/>
              </w:rPr>
            </w:pPr>
            <w:r>
              <w:rPr>
                <w:rFonts w:ascii="Arial" w:cs="Arial" w:eastAsia="Arial" w:hAnsi="Arial"/>
                <w:sz w:val="14"/>
                <w:szCs w:val="14"/>
                <w:color w:val="auto"/>
              </w:rPr>
              <w:t>8,266 TEU</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Dec 2022</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1-yr 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Mar 2018</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8,147</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PIL</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Agamemnon</w:t>
            </w:r>
            <w:r>
              <w:rPr>
                <w:rFonts w:ascii="Arial" w:cs="Arial" w:eastAsia="Arial" w:hAnsi="Arial"/>
                <w:sz w:val="12"/>
                <w:szCs w:val="12"/>
                <w:color w:val="auto"/>
              </w:rPr>
              <w:t>(14)</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108,892</w:t>
            </w:r>
          </w:p>
        </w:tc>
        <w:tc>
          <w:tcPr>
            <w:tcW w:w="2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8"/>
              </w:rPr>
              <w:t>H</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2007</w:t>
            </w:r>
          </w:p>
        </w:tc>
        <w:tc>
          <w:tcPr>
            <w:tcW w:w="116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8,266 TEU</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Dec 2022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1-yr TC</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Apr 2018</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8,147</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PIL</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4"/>
          </w:tcPr>
          <w:p>
            <w:pPr>
              <w:spacing w:after="0" w:line="130" w:lineRule="exact"/>
              <w:rPr>
                <w:sz w:val="20"/>
                <w:szCs w:val="20"/>
                <w:color w:val="auto"/>
              </w:rPr>
            </w:pPr>
            <w:r>
              <w:rPr>
                <w:rFonts w:ascii="Arial" w:cs="Arial" w:eastAsia="Arial" w:hAnsi="Arial"/>
                <w:sz w:val="14"/>
                <w:szCs w:val="14"/>
                <w:color w:val="auto"/>
              </w:rPr>
              <w:t>Hyundai Prestige</w:t>
            </w:r>
            <w:r>
              <w:rPr>
                <w:rFonts w:ascii="Arial" w:cs="Arial" w:eastAsia="Arial" w:hAnsi="Arial"/>
                <w:sz w:val="12"/>
                <w:szCs w:val="12"/>
                <w:color w:val="auto"/>
              </w:rPr>
              <w:t>(9)</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Arial" w:cs="Arial" w:eastAsia="Arial" w:hAnsi="Arial"/>
                <w:sz w:val="14"/>
                <w:szCs w:val="14"/>
                <w:color w:val="auto"/>
              </w:rPr>
              <w:t>63,010</w:t>
            </w:r>
          </w:p>
        </w:tc>
        <w:tc>
          <w:tcPr>
            <w:tcW w:w="2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76"/>
              </w:rPr>
              <w:t>–</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12-yr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I</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2013</w:t>
            </w:r>
          </w:p>
        </w:tc>
        <w:tc>
          <w:tcPr>
            <w:tcW w:w="1160" w:type="dxa"/>
            <w:vAlign w:val="bottom"/>
            <w:gridSpan w:val="3"/>
          </w:tcPr>
          <w:p>
            <w:pPr>
              <w:ind w:left="400"/>
              <w:spacing w:after="0"/>
              <w:rPr>
                <w:sz w:val="20"/>
                <w:szCs w:val="20"/>
                <w:color w:val="auto"/>
              </w:rPr>
            </w:pPr>
            <w:r>
              <w:rPr>
                <w:rFonts w:ascii="Arial" w:cs="Arial" w:eastAsia="Arial" w:hAnsi="Arial"/>
                <w:sz w:val="14"/>
                <w:szCs w:val="14"/>
                <w:color w:val="auto"/>
              </w:rPr>
              <w:t>5,023 TEU</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Sep 2018</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Dec 2024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23,010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Hyundai Premium</w:t>
            </w:r>
            <w:r>
              <w:rPr>
                <w:rFonts w:ascii="Arial" w:cs="Arial" w:eastAsia="Arial" w:hAnsi="Arial"/>
                <w:sz w:val="12"/>
                <w:szCs w:val="12"/>
                <w:color w:val="auto"/>
              </w:rPr>
              <w:t>(9)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63,010</w:t>
            </w:r>
          </w:p>
        </w:tc>
        <w:tc>
          <w:tcPr>
            <w:tcW w:w="2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12-yr</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2013</w:t>
            </w:r>
          </w:p>
        </w:tc>
        <w:tc>
          <w:tcPr>
            <w:tcW w:w="116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5,023 TEU</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Apr 2018</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TC</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Jan 2025</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23,010</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HMM</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4"/>
          </w:tcPr>
          <w:p>
            <w:pPr>
              <w:spacing w:after="0" w:line="130" w:lineRule="exact"/>
              <w:rPr>
                <w:sz w:val="20"/>
                <w:szCs w:val="20"/>
                <w:color w:val="auto"/>
              </w:rPr>
            </w:pPr>
            <w:r>
              <w:rPr>
                <w:rFonts w:ascii="Arial" w:cs="Arial" w:eastAsia="Arial" w:hAnsi="Arial"/>
                <w:sz w:val="14"/>
                <w:szCs w:val="14"/>
                <w:color w:val="auto"/>
              </w:rPr>
              <w:t>Hyundai Paramount</w:t>
            </w:r>
            <w:r>
              <w:rPr>
                <w:rFonts w:ascii="Arial" w:cs="Arial" w:eastAsia="Arial" w:hAnsi="Arial"/>
                <w:sz w:val="12"/>
                <w:szCs w:val="12"/>
                <w:color w:val="auto"/>
              </w:rPr>
              <w:t>(9)</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Arial" w:cs="Arial" w:eastAsia="Arial" w:hAnsi="Arial"/>
                <w:sz w:val="14"/>
                <w:szCs w:val="14"/>
                <w:color w:val="auto"/>
              </w:rPr>
              <w:t>63,010</w:t>
            </w:r>
          </w:p>
        </w:tc>
        <w:tc>
          <w:tcPr>
            <w:tcW w:w="2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76"/>
              </w:rPr>
              <w:t>–</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12-yr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I</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2013</w:t>
            </w:r>
          </w:p>
        </w:tc>
        <w:tc>
          <w:tcPr>
            <w:tcW w:w="1160" w:type="dxa"/>
            <w:vAlign w:val="bottom"/>
            <w:gridSpan w:val="3"/>
          </w:tcPr>
          <w:p>
            <w:pPr>
              <w:ind w:left="400"/>
              <w:spacing w:after="0"/>
              <w:rPr>
                <w:sz w:val="20"/>
                <w:szCs w:val="20"/>
                <w:color w:val="auto"/>
              </w:rPr>
            </w:pPr>
            <w:r>
              <w:rPr>
                <w:rFonts w:ascii="Arial" w:cs="Arial" w:eastAsia="Arial" w:hAnsi="Arial"/>
                <w:sz w:val="14"/>
                <w:szCs w:val="14"/>
                <w:color w:val="auto"/>
              </w:rPr>
              <w:t>5,023 TEU</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Apr 2018</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Feb 2025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23,010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Hyundai Privilege</w:t>
            </w:r>
            <w:r>
              <w:rPr>
                <w:rFonts w:ascii="Arial" w:cs="Arial" w:eastAsia="Arial" w:hAnsi="Arial"/>
                <w:sz w:val="12"/>
                <w:szCs w:val="12"/>
                <w:color w:val="auto"/>
              </w:rPr>
              <w:t>(9)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63,010</w:t>
            </w:r>
          </w:p>
        </w:tc>
        <w:tc>
          <w:tcPr>
            <w:tcW w:w="2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12-yr</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2013</w:t>
            </w:r>
          </w:p>
        </w:tc>
        <w:tc>
          <w:tcPr>
            <w:tcW w:w="116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5,023 TEU</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Sep 2018</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TC</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Mar 2025</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23,010</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HMM</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4"/>
          </w:tcPr>
          <w:p>
            <w:pPr>
              <w:spacing w:after="0" w:line="130" w:lineRule="exact"/>
              <w:rPr>
                <w:sz w:val="20"/>
                <w:szCs w:val="20"/>
                <w:color w:val="auto"/>
              </w:rPr>
            </w:pPr>
            <w:r>
              <w:rPr>
                <w:rFonts w:ascii="Arial" w:cs="Arial" w:eastAsia="Arial" w:hAnsi="Arial"/>
                <w:sz w:val="14"/>
                <w:szCs w:val="14"/>
                <w:color w:val="auto"/>
              </w:rPr>
              <w:t>Hyundai Platinum</w:t>
            </w:r>
            <w:r>
              <w:rPr>
                <w:rFonts w:ascii="Arial" w:cs="Arial" w:eastAsia="Arial" w:hAnsi="Arial"/>
                <w:sz w:val="12"/>
                <w:szCs w:val="12"/>
                <w:color w:val="auto"/>
              </w:rPr>
              <w:t>(9)</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Arial" w:cs="Arial" w:eastAsia="Arial" w:hAnsi="Arial"/>
                <w:sz w:val="14"/>
                <w:szCs w:val="14"/>
                <w:color w:val="auto"/>
              </w:rPr>
              <w:t>63,010</w:t>
            </w:r>
          </w:p>
        </w:tc>
        <w:tc>
          <w:tcPr>
            <w:tcW w:w="2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76"/>
              </w:rPr>
              <w:t>–</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12-yr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I</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2013</w:t>
            </w:r>
          </w:p>
        </w:tc>
        <w:tc>
          <w:tcPr>
            <w:tcW w:w="1160" w:type="dxa"/>
            <w:vAlign w:val="bottom"/>
            <w:gridSpan w:val="3"/>
          </w:tcPr>
          <w:p>
            <w:pPr>
              <w:ind w:left="400"/>
              <w:spacing w:after="0"/>
              <w:rPr>
                <w:sz w:val="20"/>
                <w:szCs w:val="20"/>
                <w:color w:val="auto"/>
              </w:rPr>
            </w:pPr>
            <w:r>
              <w:rPr>
                <w:rFonts w:ascii="Arial" w:cs="Arial" w:eastAsia="Arial" w:hAnsi="Arial"/>
                <w:sz w:val="14"/>
                <w:szCs w:val="14"/>
                <w:color w:val="auto"/>
              </w:rPr>
              <w:t>5,023 TEU</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Sep 2018</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Apr 2025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23,010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rPr>
              <w:t>CMA CGM Amazon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115,534</w:t>
            </w:r>
          </w:p>
        </w:tc>
        <w:tc>
          <w:tcPr>
            <w:tcW w:w="2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4"/>
                <w:szCs w:val="14"/>
                <w:color w:val="auto"/>
              </w:rPr>
              <w:t>CMA</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Eco-Flex, Wide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K</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2015</w:t>
            </w:r>
          </w:p>
        </w:tc>
        <w:tc>
          <w:tcPr>
            <w:tcW w:w="116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9,288 TEU</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Jun 2020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5-yr TC</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May 2020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38,759</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CGM</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Beam Container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CMA CGM Uruguay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color w:val="auto"/>
              </w:rPr>
              <w:t>115,639</w:t>
            </w:r>
          </w:p>
        </w:tc>
        <w:tc>
          <w:tcPr>
            <w:tcW w:w="2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w w:val="76"/>
              </w:rPr>
              <w:t>–</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CMA</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96"/>
              </w:rPr>
              <w:t>Eco-Flex, Wide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K</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2015</w:t>
            </w:r>
          </w:p>
        </w:tc>
        <w:tc>
          <w:tcPr>
            <w:tcW w:w="1160" w:type="dxa"/>
            <w:vAlign w:val="bottom"/>
            <w:gridSpan w:val="3"/>
          </w:tcPr>
          <w:p>
            <w:pPr>
              <w:ind w:left="400"/>
              <w:spacing w:after="0"/>
              <w:rPr>
                <w:sz w:val="20"/>
                <w:szCs w:val="20"/>
                <w:color w:val="auto"/>
              </w:rPr>
            </w:pPr>
            <w:r>
              <w:rPr>
                <w:rFonts w:ascii="Arial" w:cs="Arial" w:eastAsia="Arial" w:hAnsi="Arial"/>
                <w:sz w:val="14"/>
                <w:szCs w:val="14"/>
                <w:color w:val="auto"/>
              </w:rPr>
              <w:t>9,288 TEU</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Sep 2020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5-yr TC</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Aug 2020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38,759</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CGM</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Beam Container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CMA CGM Magdalena</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115,639</w:t>
            </w:r>
          </w:p>
        </w:tc>
        <w:tc>
          <w:tcPr>
            <w:tcW w:w="2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Eco-Flex, Wide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K</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2016</w:t>
            </w:r>
          </w:p>
        </w:tc>
        <w:tc>
          <w:tcPr>
            <w:tcW w:w="116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9,288 TEU</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Feb 2021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5-yr TC</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Jan 2021</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38,759</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CMA CGM</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Beam Container</w:t>
            </w:r>
          </w:p>
        </w:tc>
        <w:tc>
          <w:tcPr>
            <w:tcW w:w="0" w:type="dxa"/>
            <w:vAlign w:val="bottom"/>
          </w:tcPr>
          <w:p>
            <w:pPr>
              <w:spacing w:after="0"/>
              <w:rPr>
                <w:sz w:val="1"/>
                <w:szCs w:val="1"/>
                <w:color w:val="auto"/>
              </w:rPr>
            </w:pPr>
          </w:p>
        </w:tc>
      </w:tr>
      <w:tr>
        <w:trPr>
          <w:trHeight w:val="156"/>
        </w:trPr>
        <w:tc>
          <w:tcPr>
            <w:tcW w:w="310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FLEET DWT: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top w:val="single" w:sz="8" w:color="auto"/>
              <w:bottom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w w:val="96"/>
              </w:rPr>
              <w:t>2,643,600 – 69,511 TEU</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Sister vessels and shipyards of origin are denoted in the tables by the following letters: (A) and (B) : these vessels were built by Hyundai MIPO</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6"/>
          <w:szCs w:val="16"/>
          <w:color w:val="auto"/>
        </w:rPr>
        <w:t>Dockyard Co., Ltd., South Korea; (C): these vessels were built by STX Shipbuilding Co., Ltd., South Korea; (D): these vessels were built by Universal</w:t>
      </w:r>
    </w:p>
    <w:p>
      <w:pPr>
        <w:spacing w:after="0" w:line="3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6"/>
          <w:szCs w:val="16"/>
          <w:color w:val="auto"/>
        </w:rPr>
        <w:t>Shipbuilding Corp., Ariake, Japan; (E) and (F) : these vessels were built by Daewoo Shipbuilding and Marine Engineering Co., Ltd., South Korea; (G):</w:t>
      </w:r>
    </w:p>
    <w:p>
      <w:pPr>
        <w:spacing w:after="0" w:line="3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this vessel was built by Sungdong Shipbuilding &amp; Marine Engineering Co., Ltd., South Korea; (H): these vessels were built by Hyundai Heavy</w:t>
      </w:r>
    </w:p>
    <w:p>
      <w:pPr>
        <w:spacing w:after="0" w:line="20" w:lineRule="exact"/>
        <w:rPr>
          <w:rFonts w:ascii="Arial" w:cs="Arial" w:eastAsia="Arial" w:hAnsi="Arial"/>
          <w:sz w:val="17"/>
          <w:szCs w:val="17"/>
          <w:color w:val="auto"/>
        </w:rPr>
      </w:pPr>
    </w:p>
    <w:p>
      <w:pPr>
        <w:ind w:left="460" w:right="60"/>
        <w:spacing w:after="0" w:line="250" w:lineRule="auto"/>
        <w:rPr>
          <w:rFonts w:ascii="Arial" w:cs="Arial" w:eastAsia="Arial" w:hAnsi="Arial"/>
          <w:sz w:val="17"/>
          <w:szCs w:val="17"/>
          <w:color w:val="auto"/>
        </w:rPr>
      </w:pPr>
      <w:r>
        <w:rPr>
          <w:rFonts w:ascii="Arial" w:cs="Arial" w:eastAsia="Arial" w:hAnsi="Arial"/>
          <w:sz w:val="18"/>
          <w:szCs w:val="18"/>
          <w:color w:val="auto"/>
        </w:rPr>
        <w:t>Industries Co. Ltd, South Korea; (I): these vessels were built by Samsung Heavy Industries (Ningbo) Co. Ltd.; (J): these vessels were built by Daewoo-Mangalia Heavy Industries S.A.</w:t>
      </w: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Floating: These vessels are managed under the floating fee management agreement entered into with our Manager. Crude: These vessels are managed</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under the Crude management agreement entered into between Crude and our Manager. Fixed: These vessels are managed under the fixed fee</w:t>
      </w:r>
    </w:p>
    <w:p>
      <w:pPr>
        <w:spacing w:after="0" w:line="20" w:lineRule="exact"/>
        <w:rPr>
          <w:rFonts w:ascii="Arial" w:cs="Arial" w:eastAsia="Arial" w:hAnsi="Arial"/>
          <w:sz w:val="16"/>
          <w:szCs w:val="16"/>
          <w:color w:val="auto"/>
        </w:rPr>
      </w:pPr>
    </w:p>
    <w:p>
      <w:pPr>
        <w:ind w:left="460" w:right="340"/>
        <w:spacing w:after="0" w:line="250" w:lineRule="auto"/>
        <w:rPr>
          <w:rFonts w:ascii="Arial" w:cs="Arial" w:eastAsia="Arial" w:hAnsi="Arial"/>
          <w:sz w:val="16"/>
          <w:szCs w:val="16"/>
          <w:color w:val="auto"/>
        </w:rPr>
      </w:pPr>
      <w:r>
        <w:rPr>
          <w:rFonts w:ascii="Arial" w:cs="Arial" w:eastAsia="Arial" w:hAnsi="Arial"/>
          <w:sz w:val="18"/>
          <w:szCs w:val="18"/>
          <w:color w:val="auto"/>
        </w:rPr>
        <w:t>management agreement entered into with our Manager. For additional details regarding our management agreements please see “Item 4B: Business Overview—Our Management Agreements” above.</w:t>
      </w: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TC: Time Charter; BC: Bareboat Charter; VC: Voyage Charter.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Earliest possible redelivery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Tankers: 50/50 profit share on actual earnings settled every six months.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BP: BP Shipping Ltd.; INSW: certain subsidiaries of International Seaways Inc.; CMTC: Capital Maritime &amp; Trading Corp. (our Sponsor); COSCO:</w:t>
      </w:r>
    </w:p>
    <w:p>
      <w:pPr>
        <w:spacing w:after="0" w:line="2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COSCO Bulk Carrier Co. Ltd., an affiliate of the COSCO Group; HMM: Hyundai Merchant Marine Co. Ltd.; CSSA: CSSA S.A. (Total S.A.); CMA</w:t>
      </w:r>
    </w:p>
    <w:p>
      <w:pPr>
        <w:spacing w:after="0" w:line="2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CGM: CMA CGM; PETROBRAS: Petroleo Brasileiro S.A.; REPSOL: Repsol Trading S.A.; PIL: Pacific International Lines (PTE) Ltd Singapore;</w:t>
      </w:r>
    </w:p>
    <w:p>
      <w:pPr>
        <w:spacing w:after="0" w:line="2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FLOPEC: Empresa Publica Flota Petrolera Ecuatoriana – EP Flopec.</w:t>
      </w:r>
    </w:p>
    <w:p>
      <w:pPr>
        <w:spacing w:after="0" w:line="9" w:lineRule="exact"/>
        <w:rPr>
          <w:rFonts w:ascii="Arial" w:cs="Arial" w:eastAsia="Arial" w:hAnsi="Arial"/>
          <w:sz w:val="17"/>
          <w:szCs w:val="17"/>
          <w:color w:val="auto"/>
        </w:rPr>
      </w:pPr>
    </w:p>
    <w:p>
      <w:pPr>
        <w:ind w:left="460" w:right="40" w:hanging="452"/>
        <w:spacing w:after="0" w:line="265"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March 2017, the M/T Aiolos (ex M/T British Emissary) and the M/T Aktoras (ex M/T British Envoy) were delivered to us from BP after completion of their respective bareboat charters. In August 2017, the companies owning the M/T Aiolos and the M/T Aktoras entered into time charters with CMTC for a period of ten to twelve months at a net daily rate of $10,863 plus 50/50 profit share each. Both charters commenced in September 2017. The M/T Aktoras was re-delivered to us on January 4, 2018 from its current charter with CMTC, in order to commence a charter with Shell for a period of twelve months +/- 30 days at a net daily rate of $12,994. The charterer has the option to extend the time charter for an additional twelve months +/-30 days at a net daily rate of $13,956. The new charter commenced on January 14, 2018.</w:t>
      </w:r>
    </w:p>
    <w:p>
      <w:pPr>
        <w:spacing w:after="0" w:line="1" w:lineRule="exact"/>
        <w:rPr>
          <w:rFonts w:ascii="Arial" w:cs="Arial" w:eastAsia="Arial" w:hAnsi="Arial"/>
          <w:sz w:val="17"/>
          <w:szCs w:val="17"/>
          <w:color w:val="auto"/>
        </w:rPr>
      </w:pPr>
    </w:p>
    <w:p>
      <w:pPr>
        <w:ind w:left="460" w:right="220" w:hanging="452"/>
        <w:spacing w:after="0" w:line="255"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November 14, 2012, Overseas Shipholding Group Inc (“OSG”) filed for relief under Chapter 11 of the U.S. Bankruptcy Code. In connection with the restructuring, we agreed to enter into new charter contracts on substantially the same terms as the prior charters but at a daily bareboat rate of $6,250.</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spacing w:after="0" w:line="254" w:lineRule="auto"/>
        <w:rPr>
          <w:sz w:val="20"/>
          <w:szCs w:val="20"/>
          <w:color w:val="auto"/>
        </w:rPr>
      </w:pPr>
      <w:r>
        <w:rPr>
          <w:rFonts w:ascii="Arial" w:cs="Arial" w:eastAsia="Arial" w:hAnsi="Arial"/>
          <w:sz w:val="18"/>
          <w:szCs w:val="18"/>
          <w:color w:val="auto"/>
        </w:rPr>
        <w:t>OSG subsequently spun off INSW. We consented to the assumption of the charters by INSW for an increase in the net daily hire rate of the M/T Aristotelis II, the M/T Alexandros II and the M/T Aris II from $6,250 to $6,600 commencing on November 30, 2016 until the end of their respective bareboat charter agreements, which will expire in 2018 for the M/T Aristotelis II and the M/T Aris II and expired in December 2017 for the M/T Alexandros II. As of December 31, 2017, the M/T Alexandros II is trading under voyage charter.</w:t>
      </w:r>
    </w:p>
    <w:p>
      <w:pPr>
        <w:spacing w:after="0" w:line="2" w:lineRule="exact"/>
        <w:rPr>
          <w:sz w:val="20"/>
          <w:szCs w:val="20"/>
          <w:color w:val="auto"/>
        </w:rPr>
      </w:pPr>
    </w:p>
    <w:p>
      <w:pPr>
        <w:ind w:left="46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the companies owning the M/V Hyundai Prestige, the M/V Hyundai Paramount, the M/V Hyundai Premium, the M/V Hyundai Privilege and the M/V Hyundai Platinum entered into a charter restructuring agreement with HMM on July 15, 2016. This agreement provides for the reduction of the charter rate payable under the respective charter parties by 20% to a net daily rate of $23,010 (from a net daily rate of $28,616) for a three and a half year period starting on July 18, 2016 and ending on December 31, 2019. The charter restructuring agreement further provides that at the end of the charter reduction period, the charter rate under the respective charter parties will be restored to the original net daily rate of $28,763 until the expiry of each charter.</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Since the expiration of the two-year time charter with Cargill International S.A. in September 2017, the M/T Amor has been employed by CMTC for an additional two months +/– 15 days at a net daily rate of $13,825. The vessel was delivered to us on January 3, 2018. As of December 31, 2017, the vessel is trading under short term time charter.</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July 2, 2016, the M/T Agisilaos replaced the M/T Arionas under the charter party to Flopec at a net rate of $18,288 per day, as the M/T Arionas underwent its scheduled special survey.</w:t>
      </w:r>
    </w:p>
    <w:p>
      <w:pPr>
        <w:ind w:left="460" w:right="360" w:hanging="452"/>
        <w:spacing w:after="0" w:line="28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December 2016, the M/T Arionas was chartered to CMTC for one year +/- 30 days at a net daily rate of $10,863. The charterer has the option to extend the time charter for an additional one year +/-30 days at a net daily rate of $13,578. The charter commenced in January 2017.</w:t>
      </w:r>
    </w:p>
    <w:p>
      <w:pPr>
        <w:spacing w:after="0" w:line="1" w:lineRule="exact"/>
        <w:rPr>
          <w:rFonts w:ascii="Arial" w:cs="Arial" w:eastAsia="Arial" w:hAnsi="Arial"/>
          <w:sz w:val="16"/>
          <w:szCs w:val="16"/>
          <w:color w:val="auto"/>
        </w:rPr>
      </w:pPr>
    </w:p>
    <w:p>
      <w:pPr>
        <w:jc w:val="both"/>
        <w:ind w:left="460" w:right="12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December 2016, the M/T Aristotelis was chartered to CMTC for one year +/- 30 days at a net daily rate of $13,578. The charterer has the option to extend the time charter for an additional one year +/-30 days at a net daily rate of $14,813. The charter commenced in January 2017. We agreed to sell the M/T Aristotelis in December 2017. We expect the sale to complete in March 2018.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M/V Archimidis and the M/V Agamemnon are employed on time charters with PIL for one year +/- 30 days at a net rate of $8,147 per day.</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DWT: Dead Weight Ton, TEU: Twenty-foot Equivalent Unit.</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August 2017, the M/T Amadeus was delivered to us from CMTC after completion of its two-year time charter. In August 2017, the company owning the M/T Amadeus entered into a one-year time charter+/– 30 days with Repsol at a net daily rate of $14,210. The charter commenced in November 2017. On December 29, 2017, Repsol exercised its option to extend the time charter for one additional year +/– 30 days at a net daily rate of $14,455.</w:t>
      </w:r>
    </w:p>
    <w:p>
      <w:pPr>
        <w:spacing w:after="0" w:line="2"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May 2017, the M/T Active was delivered to us from Cargill International S.A. after completion of its two-year time charter. Following the date of its redelivery, the vessel has been trading under short-term time charters.</w:t>
      </w:r>
    </w:p>
    <w:p>
      <w:pPr>
        <w:ind w:left="460" w:right="76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January 2018, the M/T Atlantas II was chartered to CMTC for a period of five to eight months at a net rate of $10,863 per day. The charter commenced in January 2018.</w:t>
      </w:r>
    </w:p>
    <w:p>
      <w:pPr>
        <w:ind w:left="460" w:right="140" w:hanging="452"/>
        <w:spacing w:after="0" w:line="252"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currently maintain insurance to protect us against the loss of income that would result from COSCO’s failure or refusal to pay hire due under the time charter agreement. Under our revenue protection insurance, our insurer has agreed to pay us a maximum amount of $25,000 per day for each day of loss, defined as the difference between the hire contractually payable under the charter party agreement with COSCO and the replacement hire earned or that could be earned by us during the policy period expiring on July 30, 2020. Replacement hire is defined as the greater of the actual hire earned during the policy period and the average hire rate that the M/V Cape Agamemnon is capable of earning as determined by three independent shipbrokers.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Possible Excess of Carrying Value Over Estimated Charter-Free Market Value of Certain Vessels</w:t>
      </w:r>
    </w:p>
    <w:p>
      <w:pPr>
        <w:spacing w:after="0" w:line="12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In “Item 5F: Contractual Obligations and Contingencies—Critical Accounting Policies—Vessel Lives and Impairment” below, we discuss our policy for recording impairment of the carrying values of our vessels. During the past few years, market values of vessels have been particularly volatile, with substantial declines in many vessel classes. As a result, the charter-free market value of certain of our vessels may have declined below those vessels’ carrying value, even though we would not record an impairment of their carrying value under our accounting impairment policy due to our belief that future undiscounted cash flows expected to be earned by such vessels over their operating lives would exceed such vessels’ carrying amounts.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table set forth below indicates (i) the carrying value of each of our vessels as of December 31, 2017 and 2016; (ii) which of our vessels we believe has a charter free market value below its carrying value; and (iii) the aggregate difference between carrying value and market value represented by such vessels. This aggregate difference represents the approximate analysis of the amount by which we believe we would have to reduce our net income if we sold all of such vessels in the current environment, on industry standard terms, in cash transactions, and to a willing buyer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7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Our estimates of basic market value assume that our vessels are all in good and seaworthy condition without need for repair and, if inspected, would be certified in class without notations of any kind. Our estimates are based on the average of two estimated market values for our vessels received from third-party independent shipbrokers approved by our banks. You should note that vessel values are highly volatile; as such, our estimates may not be indicative of the current or future basic market value of our vessels or prices that we could achieve if we were to sell them.</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4"/>
              </w:rPr>
              <w:t>Carrying value as of</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Carrying value as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19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Date acquired by us</w:t>
            </w:r>
          </w:p>
        </w:tc>
        <w:tc>
          <w:tcPr>
            <w:tcW w:w="38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0" w:type="dxa"/>
            <w:vAlign w:val="bottom"/>
          </w:tcPr>
          <w:p>
            <w:pPr>
              <w:spacing w:after="0"/>
              <w:rPr>
                <w:sz w:val="1"/>
                <w:szCs w:val="1"/>
                <w:color w:val="auto"/>
              </w:rPr>
            </w:pPr>
          </w:p>
        </w:tc>
      </w:tr>
      <w:tr>
        <w:trPr>
          <w:trHeight w:val="191"/>
        </w:trPr>
        <w:tc>
          <w:tcPr>
            <w:tcW w:w="3360" w:type="dxa"/>
            <w:vAlign w:val="bottom"/>
            <w:tcBorders>
              <w:bottom w:val="single" w:sz="8" w:color="CCEEFF"/>
            </w:tcBorders>
            <w:gridSpan w:val="2"/>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1"/>
              </w:rPr>
              <w:t>States dollars)</w:t>
            </w:r>
            <w:r>
              <w:rPr>
                <w:rFonts w:ascii="Arial" w:cs="Arial" w:eastAsia="Arial" w:hAnsi="Arial"/>
                <w:sz w:val="12"/>
                <w:szCs w:val="12"/>
                <w:b w:val="1"/>
                <w:bCs w:val="1"/>
                <w:color w:val="auto"/>
                <w:w w:val="91"/>
              </w:rPr>
              <w:t>(1)</w:t>
            </w:r>
          </w:p>
        </w:tc>
        <w:tc>
          <w:tcPr>
            <w:tcW w:w="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States dollars)</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M/T</w:t>
            </w:r>
          </w:p>
        </w:tc>
        <w:tc>
          <w:tcPr>
            <w:tcW w:w="29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Atlantas II</w:t>
            </w:r>
          </w:p>
        </w:tc>
        <w:tc>
          <w:tcPr>
            <w:tcW w:w="19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04/04/2007</w:t>
            </w:r>
          </w:p>
        </w:tc>
        <w:tc>
          <w:tcPr>
            <w:tcW w:w="3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2000" w:type="dxa"/>
            <w:vAlign w:val="bottom"/>
            <w:tcBorders>
              <w:top w:val="single" w:sz="8" w:color="CCEEFF"/>
            </w:tcBorders>
            <w:gridSpan w:val="2"/>
            <w:shd w:val="clear" w:color="auto" w:fill="CCEEFF"/>
          </w:tcPr>
          <w:p>
            <w:pPr>
              <w:jc w:val="right"/>
              <w:ind w:right="720"/>
              <w:spacing w:after="0" w:line="189" w:lineRule="exact"/>
              <w:rPr>
                <w:sz w:val="20"/>
                <w:szCs w:val="20"/>
                <w:color w:val="auto"/>
              </w:rPr>
            </w:pPr>
            <w:r>
              <w:rPr>
                <w:rFonts w:ascii="Arial" w:cs="Arial" w:eastAsia="Arial" w:hAnsi="Arial"/>
                <w:sz w:val="18"/>
                <w:szCs w:val="18"/>
                <w:color w:val="auto"/>
              </w:rPr>
              <w:t>18.1*</w:t>
            </w:r>
          </w:p>
        </w:tc>
        <w:tc>
          <w:tcPr>
            <w:tcW w:w="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Assos</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04/04/2007 &amp; 08/16/2010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Aktoras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04/04/2007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04/04/2007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04/04/2007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04/04/2007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Aiolos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04/04/2007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04/04/2007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05/08/2007 &amp; 03/01/2010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07/13/2007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09/20/2007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09/28/2007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Alexandros II</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01/29/2008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03/27/2008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06/17/2008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08/20/2008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Ayrton II</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04/13/2009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06/30/2010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06/09/2011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09/30/2011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09/30/2011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09/30/2011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Archimidis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12/22/2012</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M/V Agamemnon</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12/22/2012</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Prestige</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09/11/2013</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03/20/2013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03/27/2013</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M/V Hyundai Privilege</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09/11/2013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Platinum</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09/11/2013</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11/28/2013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Active</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03/31/2015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M/V CMA CGM Amazon</w:t>
            </w:r>
          </w:p>
        </w:tc>
        <w:tc>
          <w:tcPr>
            <w:tcW w:w="2300" w:type="dxa"/>
            <w:vAlign w:val="bottom"/>
            <w:gridSpan w:val="2"/>
          </w:tcPr>
          <w:p>
            <w:pPr>
              <w:jc w:val="right"/>
              <w:ind w:right="380"/>
              <w:spacing w:after="0"/>
              <w:rPr>
                <w:sz w:val="20"/>
                <w:szCs w:val="20"/>
                <w:color w:val="auto"/>
              </w:rPr>
            </w:pPr>
            <w:r>
              <w:rPr>
                <w:rFonts w:ascii="Arial" w:cs="Arial" w:eastAsia="Arial" w:hAnsi="Arial"/>
                <w:sz w:val="18"/>
                <w:szCs w:val="18"/>
                <w:color w:val="auto"/>
              </w:rPr>
              <w:t>06/10/2015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82.9*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Amadeus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06/30/2015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20" w:type="dxa"/>
            <w:vAlign w:val="bottom"/>
          </w:tcPr>
          <w:p>
            <w:pPr>
              <w:jc w:val="right"/>
              <w:ind w:right="311"/>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M/V CMA CGM Uruguay</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09/18/2015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3"/>
              </w:rPr>
              <w:t>$83.9*</w:t>
            </w:r>
          </w:p>
        </w:tc>
        <w:tc>
          <w:tcPr>
            <w:tcW w:w="4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$87.3*</w:t>
            </w:r>
          </w:p>
        </w:tc>
        <w:tc>
          <w:tcPr>
            <w:tcW w:w="100" w:type="dxa"/>
            <w:vAlign w:val="bottom"/>
            <w:tcBorders>
              <w:bottom w:val="single" w:sz="8" w:color="CCEEFF"/>
            </w:tcBorders>
          </w:tcPr>
          <w:p>
            <w:pPr>
              <w:spacing w:after="0"/>
              <w:rPr>
                <w:sz w:val="20"/>
                <w:szCs w:val="20"/>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M/V CMA CGM Magdalena</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02/26/2016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M/T Amor</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10/24/2016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1,265.2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1,367.7</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84"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Indicates vessels for which we believe that, as of December 31, 2017 and 2016, the basic charter-free market value is lower than the carrying value. We believe that the aggregate carrying value of these vessels, assessed separately, exceeded their aggregate basic charter-free market value by approximately $262.4 million and $388.8 million as of December 31, 2017 and 2016, respectively. The decrease of $126.4 million in 2017 as compared to 2016 is primarily due to the increase in value for our container vessels and bulk carrier vessel, as a consequence of an improvement in charter markets. As discussed in “Critical Accounting Policies—Vessel Lives and Impairment,” we believe that the carrying values of our vessels as of December 31, 2017 and 2016 were recoverable as the undiscounted projected net operating cash flows of these vessels exceeded their carrying value by</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significant amount.</w:t>
      </w:r>
    </w:p>
    <w:p>
      <w:pPr>
        <w:spacing w:after="0" w:line="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Does not include the carrying value of the M/T Aristotelis, which we agreed to sell in December 2017 and was classified as “asset held for sale.”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As of December 31, 2017, 33 vessels in our fleet were under time or bareboat charters with an average remaining term under our charters of approximately 5.3 years.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business, financial condition, results of operations, cash flows, and ability to make distributions and service or refinance our debt. Please read “Item 4B: Business Overview—Our Fleet.” including the chart and accompanying notes, for more information on our time and bareboat charters, including counterparties, expected expiration dates of the charters and daily charter rates.</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Time Charters</w:t>
      </w:r>
    </w:p>
    <w:p>
      <w:pPr>
        <w:spacing w:after="0" w:line="117"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 As of December 31, 2017, we had 33 vessels under time charter agreements, of which four contain profit-sharing provisions that allow us to realize, at a predetermined percentage, additional revenues when spot rates or actual charter rates are higher than the base rates incorporated in our charters or, in some instances, through greater utilization of our vessels by our charterers.</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As of December 31, 2017, we had profit sharing arrangements in place for the M/T Aktoras, the M/T Aiolos, the M/T Amor and the M/T Miltiadis M II, which were under time charter with Capital Maritime. These arrangements are based on the calculation of the vessel’s actual earnings and are settled every six months. In the event that the actual time charter equivalent (“TCE”) over that period is higher than the agreed daily charter rate of the vessel, we receive the basic net hire rate plus 50% of the excess over the gross daily charter rate. This means that actual voyage revenues earned and received, actual expenses incurred and actual time taken to perform the voyages during that period are used for purposes of the calculation.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amounts received under profit-sharing arrangements are subject to the usual commissions payable to shipbrokers on gross charter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read “Item 4B: Business Overview—Our Fleet,” including the table and accompanying notes, for additional information.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117"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w:t>
      </w:r>
    </w:p>
    <w:p>
      <w:pPr>
        <w:spacing w:after="0" w:line="173"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As of December 31, 2017, we had two vessels under bareboat charter with subsidiaries of INSW. A third vessel, the M/T Alexandros II, was previously under bareboat charter with a subsidiary of INSW but was redelivered to us in December 2017.</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Spot Charters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spot charter generally refers to a voyage charter or a trip charter or a short-term time charter.</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Voyage / Trip Charter</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bunkers and other voyage expenses, while the shipowner is responsible for paying vessel operating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vessels operate under medium- to long-term charters and are not generally subject to the effect of seasonable variations in demand.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Capital Maritime, through its subsidiary Capital Ship Management, provides expertise in various functions critical to our operations. This enables a safe, efficient and cost-effective operation and, pursuant to the management and administrative services agreements we have entered into with Capital Ship Management,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purchasing, insurance and shipyard supervision.</w:t>
      </w:r>
    </w:p>
    <w:p>
      <w:pPr>
        <w:spacing w:after="0" w:line="193"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The aggregate management fees paid to Capital Ship Management for the years ended December 31, 2017, 2016 and 2015 were $11.6 million, $10.9 million and $11.7 million,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For a more detailed description of the three management agreements and administrative services agreements we have entered into with Capital Ship Management, please read “Item 4B: Business Overview—Our Management Agreements” and “Item 7B: Related Party Transactions—Administrative and Executive Services Agreements with the Manager.”</w:t>
      </w:r>
    </w:p>
    <w:p>
      <w:pPr>
        <w:spacing w:after="0" w:line="18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Capital Ship Management operates under a safety management system in compliance with the International Maritime Organization’s ISM code and certified by Lloyd’s Register. Capital Ship Management’s management systems also comply with the Quality Standard ISO 9001, the Environmental Management Standard ISO 14001, the Occupational Health &amp; Safety Management System 18001 and the Energy Management Standard 50001, all of which are certified by Lloyd’s. Capital Ship Management has furthermore implemented an “Integrated Management System Approach” verified by the Lloyd’s. Capital Ship Management also adopted “Business Continuity Management” principles in cooperation with Lloyd’s.</w:t>
      </w:r>
    </w:p>
    <w:p>
      <w:pPr>
        <w:spacing w:after="0" w:line="173"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Capital Ship Management, recognizing sustainable transport as one of the biggest challenges of the 21st century, has adopted and implemented the key strategies for a regime of responsible, safe and clean shipping. As a result, our vessels’ operations are conducted in a manner intended to protect the safety and health of Capital Ship Management’s employees, the general public and the environment. Capital Ship Management’s senior management team actively manages the risks inherent in our business and is committed to eliminating incidents that threaten safety, such as groundings, fires, collisions and petroleum spills, as well as reducing emissions and waste generation.</w:t>
      </w:r>
    </w:p>
    <w:p>
      <w:pPr>
        <w:spacing w:after="0" w:line="18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2014, Capital Ship Management was successfully assessed by Lloyd’s against the “IMO Strategic Concept of a Sustainable Shipping Industry.” It is the first shipping company worldwide to receive such certification, in line with Capital Ship Management strategy to be inspired by and apply the key principles and goals of the IMO Strategy for Sustainable Maritime Transport Systems. In particular, Capital Ship Management has established a task force to implement specific actions, plans, processes, and to develop systems addressing sustainability. Priority has been given to the promotion of a safety culture and environmental stewardship, as well as to the education, training and support of seafarers, technical co-operation, energy efficiency and ship-port interface, new technology and innovation, energy supply for ships, finance, liability and insurance mechanisms, maritime traffic support and advisory systems, ocean governance.</w:t>
      </w:r>
    </w:p>
    <w:p>
      <w:pPr>
        <w:spacing w:after="0" w:line="189"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On April 2016, The GREEN4SEA Excellence Award was awarded to Capital Ship Management for demonstrating environmental excellence and performance above average. Our manager was distinguished for its strategy with a focus on environmental performance. During 2015 safety and environmental performance reached the highest level as all Key Performance Indicators were well superior to the industry standard. In July 2016, the “Green Environmental Achievement Award” was presented, for a consecutive year, to Capital Ship Management by the Port of Long Beach in Southern California, U.S.A. This award is being granted to operators that called the Port of Long Beach in 2015 and demonstrated that 90% or more of all their vessel trips complied with the Green Flag – Voluntary Vessel Speed Reduction Program.</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March 2017, Capital Ship Management completed the first accredited assessment of its MRV monitoring plan for the vessel M/T “Alkiviadis.” The assessment was performed by the world’s leading provider of professional assurance services, LRQA, which is a member of the Lloyd’s Register group (LR). Also in March 2017, Capital Ship Management was awarded the “Best Vessel Operator – Europe” Sea Transport Award 2017 by UK publication “Transport News” and AI Global Media Ltd. In April 2017, Capital Ship Management received a Certificate of Appreciation by the Australian Government and the Australian Maritime Safety Authority (AMSA) for the participation in a Maritime Winching exercise on M/V ‘Attikos‘, a 178,929 dwt Capesize bulk carrier.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Oil Company Vetting Process</w:t>
      </w:r>
    </w:p>
    <w:p>
      <w:pPr>
        <w:spacing w:after="0" w:line="121"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Shipping in general, and crude oil, refined product and chemical tankers, in particular, have been, and will remain, heavily regulated. Many international and national rules, regulations and other requirements—whether imposed by the classification societies, international statutes (International Maritime Organization, SOLAS, MARPOL, etc.), national and local administrations or industry—must be complied with in order to enable a shipping company to operate and a vessel to trade.</w:t>
      </w:r>
    </w:p>
    <w:p>
      <w:pPr>
        <w:spacing w:after="0" w:line="18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Traditionally there have been relatively few large players in the oil trading business and the industry is continuously consolidating. The so-called “oil majors companies,” such as BP, Chevron Corporation, Philips66 Inc., ExxonMobil Corporation, Royal Dutch Shell plc, Statoil ASA, and Total S.A., together with a few smaller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 vetting process has evolved into a sophisticated and comprehensive risk assessment of both the vessel operator and the vessel.</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Self-Assessment (“TMSA”) Program. The former is a physical ship inspection based upon a thorough vessel inspection questionnaire and performed by accredited OCIMF inspectors, resulting in a report being logged on SIRE, while the latter is a recent addition to the risk assessment tools used by the oil majors.</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pacing w:after="0" w:line="193"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We believe Capital Maritime and Capital Ship Management are among a small number of ship management companies to have undergone and successfully completed audits by seven major international oil companies in the last few years (i.e., BP, Chevron Corporation, Philips 66 Inc., ExxonMobil Corporation, Royal Dutch Shell plc, Statoil ASA, Tesoro, Repsol and Total 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Crewing and Staff</w:t>
      </w:r>
    </w:p>
    <w:p>
      <w:pPr>
        <w:spacing w:after="0" w:line="12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Capital Ship Management, an affiliate of Capital Maritime, through a subsidiary in Romania and crewing offices in Romania, Russia and the Philippines, recruits senior officers and crews for our vessels. Capital Ship Management has entered into an agreement for the training of officers under ice conditions at a specialized training center in St. Petersburg, Russia.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47"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76" w:lineRule="exact"/>
        <w:rPr>
          <w:sz w:val="20"/>
          <w:szCs w:val="20"/>
          <w:color w:val="auto"/>
        </w:rPr>
      </w:pPr>
    </w:p>
    <w:p>
      <w:pPr>
        <w:ind w:left="1460" w:right="480" w:hanging="547"/>
        <w:spacing w:after="0" w:line="277"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Annual surveys, which are conducted for the hull and the machinery at intervals of 12 months (or up to 15 months) from the date of commencement of the class period indicated on the certificate.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 w:hanging="547"/>
        <w:spacing w:after="0" w:line="259" w:lineRule="auto"/>
        <w:tabs>
          <w:tab w:leader="none" w:pos="1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Intermediate surveys, which are extended annual surveys and are typically conducted each two and a half years (or up to three years) after completion of each class renewal survey. In the case of newbuildings and or vessels of up to 15 years of age, the requirements of the intermediate survey can be met through an underwater inspection in lieu of drydocking the vessel. Intermediate surveys may be carried out on the occasion of the second or third annual survey.</w:t>
      </w:r>
    </w:p>
    <w:p>
      <w:pPr>
        <w:spacing w:after="0" w:line="92" w:lineRule="exact"/>
        <w:rPr>
          <w:rFonts w:ascii="Arial" w:cs="Arial" w:eastAsia="Arial" w:hAnsi="Arial"/>
          <w:sz w:val="18"/>
          <w:szCs w:val="18"/>
          <w:color w:val="auto"/>
        </w:rPr>
      </w:pPr>
    </w:p>
    <w:p>
      <w:pPr>
        <w:ind w:left="1460" w:right="20" w:hanging="547"/>
        <w:spacing w:after="0" w:line="270" w:lineRule="auto"/>
        <w:tabs>
          <w:tab w:leader="none" w:pos="1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18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These processes are referred to as Continuous Hull Survey (“CHS”) and Continuous Machinery Survey. However, the CHS notation is not valid for vessels that are subject to Enhanced Survey Program surveys, as required by SOLAS.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All areas subject to survey, as defined by the classification society, are required to be surveyed at least once per class period, unless shorter intervals between surveys are prescribed elsewhere.</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Most vessels are also drydocked every two and a half years for inspection of the underwater parts and any deficiencies identified during the inspections need to be rectified either during the inspection or at a later stage if that is found to be appropriate based on its class. The classification surveyor in this case will issue a “recommendation” which must be rectified by the ship-owner within prescribed time limits. Class and SOLAS rules allow one of the bottom surveys (the intermediate one) in a five-year period to be carried out afloat instead of by dry docking; however this is only applicable for certain ship types and for modern vessels of up to 15 years of age.</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Most insurance underwriters make it a condition for insurance coverage that a vessel be certified as “in class” by a classification society which is a member of the International Association of Classification Societies. All of our vessels are certified as being “in class” by Lloyd’s, ABS and BV.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could harm our business and financial condition or could materially impair or end our ability to trade or operate.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52" w:lineRule="exact"/>
        <w:rPr>
          <w:sz w:val="20"/>
          <w:szCs w:val="20"/>
          <w:color w:val="auto"/>
        </w:rPr>
      </w:pPr>
    </w:p>
    <w:p>
      <w:pPr>
        <w:ind w:left="1460" w:right="220" w:hanging="547"/>
        <w:spacing w:after="0" w:line="264"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86"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value insurance, which enhances hull and machinery insurance cover by increasing the insured value of the vessels in the event of a total loss casualty.</w:t>
      </w:r>
    </w:p>
    <w:p>
      <w:pPr>
        <w:spacing w:after="0" w:line="75" w:lineRule="exact"/>
        <w:rPr>
          <w:rFonts w:ascii="Arial" w:cs="Arial" w:eastAsia="Arial" w:hAnsi="Arial"/>
          <w:sz w:val="18"/>
          <w:szCs w:val="18"/>
          <w:color w:val="auto"/>
        </w:rPr>
      </w:pPr>
    </w:p>
    <w:p>
      <w:pPr>
        <w:ind w:left="1460" w:right="80" w:hanging="547"/>
        <w:spacing w:after="0" w:line="259"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Protection and indemnity insurance, which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War Risks insurance, which covers such items as piracy and terrorism.</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Freight, Demurrage &amp; Defense cover, which is a form of legal costs insurance covering certain costs of prosecuting or defending commercial (usually uninsured operating) claims.</w:t>
      </w:r>
    </w:p>
    <w:p>
      <w:pPr>
        <w:spacing w:after="0" w:line="17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addition, in relation to our vessel M/V Cape Agamemnon, we currently maintain insurance to protect us against the loss of income that would result from the charterer’s failure or refusal to pay hires under the time charter agreement. Under our revenue protection insurance, our insurer has agreed to pay us a maximum amount per day for each day of loss, defined as the difference between the hire contractually payable under the charter and the replacement hire earned or that could be earned by us during the policy period where replacement hire is defined as the greater of the actual hire earned and the average hire rate that the vessel is capable of earning.</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Not all risks are insured and not all risks are insurable. The principal insurable risks which nevertheless remain uninsured across the fleet are “loss of hire” and “strikes”. Except as described above with respect to the M/V Cape Agamemnon, we do not insure these risks because the costs are regarded as disproportionate to the benefit.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2017:</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26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Sum Insured for All Vessels in Our</w:t>
            </w:r>
          </w:p>
        </w:tc>
        <w:tc>
          <w:tcPr>
            <w:tcW w:w="0" w:type="dxa"/>
            <w:vAlign w:val="bottom"/>
          </w:tcPr>
          <w:p>
            <w:pPr>
              <w:spacing w:after="0"/>
              <w:rPr>
                <w:sz w:val="1"/>
                <w:szCs w:val="1"/>
                <w:color w:val="auto"/>
              </w:rPr>
            </w:pPr>
          </w:p>
        </w:tc>
      </w:tr>
      <w:tr>
        <w:trPr>
          <w:trHeight w:val="191"/>
        </w:trPr>
        <w:tc>
          <w:tcPr>
            <w:tcW w:w="384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Existing Fleet*</w:t>
            </w:r>
          </w:p>
        </w:tc>
        <w:tc>
          <w:tcPr>
            <w:tcW w:w="0" w:type="dxa"/>
            <w:vAlign w:val="bottom"/>
          </w:tcPr>
          <w:p>
            <w:pPr>
              <w:spacing w:after="0"/>
              <w:rPr>
                <w:sz w:val="1"/>
                <w:szCs w:val="1"/>
                <w:color w:val="auto"/>
              </w:rPr>
            </w:pPr>
          </w:p>
        </w:tc>
      </w:tr>
      <w:tr>
        <w:trPr>
          <w:trHeight w:val="190"/>
        </w:trPr>
        <w:tc>
          <w:tcPr>
            <w:tcW w:w="3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Hull</w:t>
            </w:r>
          </w:p>
        </w:tc>
        <w:tc>
          <w:tcPr>
            <w:tcW w:w="354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and Machinery</w:t>
            </w:r>
          </w:p>
        </w:tc>
        <w:tc>
          <w:tcPr>
            <w:tcW w:w="26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$1.958 billion</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Increased Value (including Excess Liabilities)</w:t>
            </w: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rPr>
              <w:t>$510 million additional “total loss” coverage</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&amp; Machinery (War Risks)</w:t>
            </w:r>
          </w:p>
        </w:tc>
        <w:tc>
          <w:tcPr>
            <w:tcW w:w="3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$2.468 billion</w:t>
            </w: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Protection and Indemnity (P&amp;I) Pollution liability</w:t>
            </w:r>
          </w:p>
        </w:tc>
        <w:tc>
          <w:tcPr>
            <w:tcW w:w="2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claims</w:t>
            </w: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rPr>
              <w:t>Up to $1.0 billion per incident per vessel</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right="560" w:hanging="212"/>
        <w:spacing w:after="0" w:line="277"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bareboat charterer is responsible for the insurance on the vessels. The values attributed to those vessels are in line with the values agreed in the relevant charters.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International Shipping Industry</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seaborne transportation industry is a vital link in international trade, with ocean-going vessels representing the most efficient and often the only method of transporting large volumes of basic commodities and finished products. Demand for oil tankers is dictated by world oil demand and trade, which is influenced by many factors, including international economic activity; geographic changes in oil production, processing, and consumption; oil price levels; inventory policies of the major oil and oil trading companies; and strategic</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inventory policies of countries such as the United States, China and India. The drybulk trade is influenced by the underlying demand for the drybulk commodities, which, in turn, is influenced by the level of worldwide economic activity. Generally, growth in gross domestic product, or GDP, and industrial production correlate with peaks in demand for marine drybulk transportation services. A wide range of cargoes are transported by container but most notably container transportation is responsible for the shipment of a diverse selection of manufactured and consumer goods in unitized form. These cargoes are transported by container to end users in all regions of the world, and in particular, from key producing and manufacturing regions to end users in the world’s largest consumer economies. Growth in global container trade is being driven by growth in world merchandise trade, and the growing share in the containerized part thereof, along with the expansion in “containerization” of new commodities and the trend towards globalization. Please read “Item 3.D: Risk Factors—</w:t>
      </w:r>
      <w:r>
        <w:rPr>
          <w:rFonts w:ascii="Arial" w:cs="Arial" w:eastAsia="Arial" w:hAnsi="Arial"/>
          <w:sz w:val="18"/>
          <w:szCs w:val="18"/>
          <w:i w:val="1"/>
          <w:iCs w:val="1"/>
          <w:color w:val="auto"/>
        </w:rPr>
        <w:t>Risks relating to the tanker industry</w:t>
      </w:r>
      <w:r>
        <w:rPr>
          <w:rFonts w:ascii="Arial" w:cs="Arial" w:eastAsia="Arial" w:hAnsi="Arial"/>
          <w:sz w:val="18"/>
          <w:szCs w:val="18"/>
          <w:color w:val="auto"/>
        </w:rPr>
        <w:t>,” “Item 3.D: Risk Factors —</w:t>
      </w:r>
      <w:r>
        <w:rPr>
          <w:rFonts w:ascii="Arial" w:cs="Arial" w:eastAsia="Arial" w:hAnsi="Arial"/>
          <w:sz w:val="18"/>
          <w:szCs w:val="18"/>
          <w:i w:val="1"/>
          <w:iCs w:val="1"/>
          <w:color w:val="auto"/>
        </w:rPr>
        <w:t>Risks related to the drybulk industry</w:t>
      </w:r>
      <w:r>
        <w:rPr>
          <w:rFonts w:ascii="Arial" w:cs="Arial" w:eastAsia="Arial" w:hAnsi="Arial"/>
          <w:sz w:val="18"/>
          <w:szCs w:val="18"/>
          <w:color w:val="auto"/>
        </w:rPr>
        <w:t>, and –</w:t>
      </w:r>
      <w:r>
        <w:rPr>
          <w:rFonts w:ascii="Arial" w:cs="Arial" w:eastAsia="Arial" w:hAnsi="Arial"/>
          <w:sz w:val="18"/>
          <w:szCs w:val="18"/>
          <w:i w:val="1"/>
          <w:iCs w:val="1"/>
          <w:color w:val="auto"/>
        </w:rPr>
        <w:t>Risks related to the container</w:t>
      </w:r>
      <w:r>
        <w:rPr>
          <w:rFonts w:ascii="Arial" w:cs="Arial" w:eastAsia="Arial" w:hAnsi="Arial"/>
          <w:sz w:val="18"/>
          <w:szCs w:val="18"/>
          <w:color w:val="auto"/>
        </w:rPr>
        <w:t xml:space="preserve"> </w:t>
      </w:r>
      <w:r>
        <w:rPr>
          <w:rFonts w:ascii="Arial" w:cs="Arial" w:eastAsia="Arial" w:hAnsi="Arial"/>
          <w:sz w:val="18"/>
          <w:szCs w:val="18"/>
          <w:i w:val="1"/>
          <w:iCs w:val="1"/>
          <w:color w:val="auto"/>
        </w:rPr>
        <w:t>carrier industry</w:t>
      </w:r>
      <w:r>
        <w:rPr>
          <w:rFonts w:ascii="Arial" w:cs="Arial" w:eastAsia="Arial" w:hAnsi="Arial"/>
          <w:sz w:val="18"/>
          <w:szCs w:val="18"/>
          <w:color w:val="auto"/>
        </w:rPr>
        <w:t>.”</w:t>
      </w:r>
    </w:p>
    <w:p>
      <w:pPr>
        <w:spacing w:after="0" w:line="19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Shipping demand, measured in tonne-miles, is a product of (a) the amount of cargo transported in ocean-going vessels, multiplied by (b) the distance over which this cargo is transported. The distance is the more variable element of the tonne-mile demand equation and is determined by seaborne trading patterns, which are principally influenced by the locations of production and consumption. Seaborne trading patterns are also periodically influenced by geo-political events that divert vessels from normal trading patterns, as well as by inter-regional trading activity created by commodity supply and demand imbalances.</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Demand for tankers and tonnage of oil shipped is primarily a function of global oil consumption, which is driven by economic activity, as well as the long-term impact of oil prices on the location and related volume of oil production. Global oil demand returned to limited growth in 2010 and has since been expanding at a modest pace, driven by a steady rise in Asia. According to the International Energy Agency, global oil demand for 2017 is estimated to be 97.8 mb/day compared to 96.3 mb/day for 2016.</w:t>
      </w:r>
    </w:p>
    <w:p>
      <w:pPr>
        <w:spacing w:after="0" w:line="18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Tonnage of oil shipped is also influenced by transportation alternatives (such as pipelines) and the output of refineries. Over the past few years, refinery output in the United States has increased significantly as a result of ample and growing domestic crude supply and an abundance of cheap natural gas. In 2017, refinery runs in the United States reached new record levels, resulting in an increase in petroleum product exports. The key markets for products from the United States were Latin America, including Mexico, Brazil, Chile and Colombia among others, as well as Europe. Over the past few years, Asia and the Middle East have also experienced a significant increase in their refinery capacity. It is estimated that refinery capacity in the Middle East and Asia combined increased by 4.1 mb/day over the last five years. In 2018, a notable number of additional refineries are expected to start operations in Asia.</w:t>
      </w:r>
    </w:p>
    <w:p>
      <w:pPr>
        <w:spacing w:after="0" w:line="16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Growth in global container trade has been driven by growth in world merchandise trade, and the growing share in the containerized part thereof, along with the expansion in “containerization” of new commodities and the trend towards globalization. In general, although the global container trade has grown at a multiple of GDP, that multiple appears to be gradually reducing as some of the trends driving it begin to mature. It is estimated that demand for containerships grew at rate of 5% in 2017 compared to 4.1% in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operate in a highly fragmented, highly diversified global market with many charterers, owners and operators of vessels.</w:t>
      </w:r>
    </w:p>
    <w:p>
      <w:pPr>
        <w:spacing w:after="0" w:line="22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Competition for charters in the tanker, drybulk and container markets can be intense. The ability to obtain favorable charters depends, in addition to price, on a variety of other factors, including the location, size, age, condition and acceptability of the vessel and its operator to the charterer.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especially as a number of our vessels will come off charter during 2018. However, Capital Maritime is among a small number of ship management companies in the tanker sector that has undergone and successfully completed office assessments by seven major international oil companies in the last few years, including audits with BP, Chevron Corporation, Philips 66 Inc., ExxonMobil Corporation, Royal Dutch Shell plc, Statoil ASA, Tesoro, Repsol and Total S.A. We believe our ability to comply better with the rigorous standards of major oil companies relative to less qualified or experienced operators allows us to effectively compete for new charters.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Our operations and our status as an operator and manager of ships are extensively regulated by international conventions, Class requirements, U.S. federal, state and local as well as non-U.S. health, safety and environmental protection laws and regulations, including OPA 90, the Comprehensive Environmental Response, Compensation, and Liability Act (“CERCLA”), the U.S. Port and Tanker Safety Act, the Act to Prevent Pollution from Ships, the U.S. Clean Air Act (“Clean Air Act”), the U.S. Clean Water Act, as well as regulations adopted by the International Maritime Organization and the European Union, air emission requirements, IMO/USCG/EPA pollution regulations and various SOLAS amendments, as well as other regulations described below. In addition, various jurisdictions either have or are adopting ballast water management conventions to prevent the introduction of non-indigenous invasive species. Compliance with these laws, regulations and other requirements could entail additional expense, including vessel modifications and implementation of additional operating procedures.</w:t>
      </w:r>
    </w:p>
    <w:p>
      <w:pPr>
        <w:spacing w:after="0" w:line="19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w:t>
      </w:r>
    </w:p>
    <w:p>
      <w:pPr>
        <w:spacing w:after="0" w:line="18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We believe that the heightened environmental and quality concerns of insurance underwriters, regulators and charterers will in the future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charterers, and particularly terminal operators and major oil companies which conduct frequent vessel inspections.</w:t>
      </w:r>
    </w:p>
    <w:p>
      <w:pPr>
        <w:spacing w:after="0" w:line="173"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It is our policy to operate our vessels in full compliance with applicable environmental laws and regulations. However, regulatory programs are complex and because such laws and regulations frequently change and may impose increasingly strict requirements, we cannot predict the ultimate cost of complying with these and any future requirements or their impact on the resale value or useful life of our vessels.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United States Requirements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United States regulates the tanker industry with extensive environmental protection requirements and a liability regime addressing violations and the cleanup of oil spills, primarily through OPA 90, CERCLA and certain coastal state laws.</w:t>
      </w:r>
    </w:p>
    <w:p>
      <w:pPr>
        <w:spacing w:after="0" w:line="17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OPA 90 affects all vessel owners and operators transporting crude oil or petroleum products to, from, or within U.S. waters. The law phased out the use of single-hull tankers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for certain economic losses, arising from oil spills and pollution from their vessels. USCG regulations limit OPA</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liability for environmental damages for double-hull vessels to the greater of $2,000 per gross ton or $17,088,000 million per tanker that is over 3,000 gross tons (subject to possible adjustment for inflation), unless the incident is caused by gross negligence, willful misconduct, or a violation of certain regulations, in which case, liability is unlimited. On November 19, 2015, USCG issued a final rule to raise these limits to the greater of $2,200/gross ton or</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$18.79 million. In addition, OPA 90 does not preempt state law and permits individual states to impose their own stricter liability regimes with regard to oil pollution incidents occurring within their boundaries. Certain coastal states have enacted additional pollution prevention, liability and response laws, many providing for unlimited liability. Bills are introduced periodically in the U.S. Congress to increase the limits of OPA liability for all vessels, including tanker vessels.</w:t>
      </w:r>
    </w:p>
    <w:p>
      <w:pPr>
        <w:spacing w:after="0" w:line="19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w:t>
      </w:r>
    </w:p>
    <w:p>
      <w:pPr>
        <w:spacing w:after="0" w:line="147"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USCG, Certificates of Financial Responsibility, or COFRs, in the amount sufficient to meet the maximum aggregate liability under OPA 90 and CERCLA. All of our vessels that need COFRs have them.</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All of the vessels in our fleet have double hulls.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believe that we are in material compliance with OPA 90, CERCLA and all applicable state and local regulations in U.S. ports where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vessels call.</w:t>
      </w:r>
    </w:p>
    <w:p>
      <w:pPr>
        <w:spacing w:after="0" w:line="21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OPA 90 and CERCLA, discussed herein.</w:t>
      </w:r>
    </w:p>
    <w:p>
      <w:pPr>
        <w:spacing w:after="0" w:line="18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w:t>
      </w:r>
    </w:p>
    <w:p>
      <w:pPr>
        <w:spacing w:after="0" w:line="173" w:lineRule="exact"/>
        <w:rPr>
          <w:sz w:val="20"/>
          <w:szCs w:val="20"/>
          <w:color w:val="auto"/>
        </w:rPr>
      </w:pPr>
    </w:p>
    <w:p>
      <w:pPr>
        <w:ind w:right="140" w:firstLine="913"/>
        <w:spacing w:after="0" w:line="289" w:lineRule="auto"/>
        <w:rPr>
          <w:sz w:val="20"/>
          <w:szCs w:val="20"/>
          <w:color w:val="auto"/>
        </w:rPr>
      </w:pPr>
      <w:r>
        <w:rPr>
          <w:rFonts w:ascii="Arial" w:cs="Arial" w:eastAsia="Arial" w:hAnsi="Arial"/>
          <w:sz w:val="16"/>
          <w:szCs w:val="16"/>
          <w:color w:val="auto"/>
        </w:rPr>
        <w:t>Administrative obligations, such as monitoring, recordkeeping and reporting requirements also apply. Implementation of the water treatment standards adopted by the USCG/EPA is required earlier than the implementation of equivalent standards agreed by the International Maritime Organization. For trading in the U.S. waters, vessels are to be fitted with ballast water treatment systems approved by the USCG at the first bottom survey after January 1, 2016. A number of BWTS technologies have Alternate Management System (“AMS”) extension approvals and a number of other systems have recently received a USCG type BWTS approval. We have obtained extensions for the majority of our vessels with due date of docking up to and including 2018 to carry out installation of BWTS at the next docking survey after December 31, 2018. Although future extensions may still be granted, obtaining an extension due to lack of type approved systems will now be more difficult because owners must prove that none of the recently approved systems are suitable for their vessels. Compliance with these requirements may impose substantial costs for retrofitting our vessels with BWTS or otherwise restrict our vessels from performing certain operations in U.S. waters that involve discharging of ballast water.</w:t>
      </w:r>
    </w:p>
    <w:p>
      <w:pPr>
        <w:spacing w:after="0" w:line="16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the International Maritime Organization designates areas extending 200 miles from the U.S. territorial sea baseline adjacent to the Atlantic/Gulf and Pacific coasts and the eight main Hawaiian Islands as Sulphur Emission Control Areas under amendments to the Annex VI of MARPOL (discussed below). 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addition, regulatory initiatives to require cold-ironing (shore-based power while docked) or alternative emission reduction measures are under consideration or in the process of adoption in a number of jurisdictions to reduce air emissions from docked ships. Compliance with these regulations entails significant capital expenditures or otherwise increases the costs of our operations.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International Requirements</w:t>
      </w:r>
    </w:p>
    <w:p>
      <w:pPr>
        <w:spacing w:after="0" w:line="11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In September 1997, the International Maritime Organization adopted Annex VI to the International Convention for the Prevention of Pollution from Ships to address air pollution from ships. Annex VI sets limits on sulfur oxide and nitrogen oxide emissions from ship exhausts and prohibits deliberate emissions of ozone depleting substances, such as chlorofluorocarbons. Annex VI also includes a global cap on the sulfur content of fuel oil and allows for special sulphur emission control areas to be established with more stringent controls on sulfur emissions (“SECA areas”).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Amendments to Annex VI to the MARPOL address particulate matter, nitrogen oxide and sulfur oxide emissions. The revised Annex VI reduces air pollution from vessels by, among other things (i) implementing a progressive reduction of sulfur oxide emissions from ships, and (ii) establishing new tiers of stringent nitrogen oxide emissions standards for new marine engines, depending on their date of installation. The International Maritime Organization confirmed in October 2016 that a global 0.5% sulphur cap on marine fuels will come into force on January 1, 2020, as agreed in amendments adopted in 2008 for Annex VI to the MARPOL. Annex VI sets progressively stricter regulations to control sulphur oxides (SOx) and nitrous oxides (NOx) emissions from ships, which present both environmental and health risks. The 0.5% sulphur cap marks a significant reduction from the current global sulphur cap of 3.5%, which came into effect on January 1, 2012. When the 2020 sulphur cap was decided upon in 2008, it was also agreed that a review should be undertaken by 2018 to assess whether there was sufficient compliant fuel available to meet the 2020 effective date, failing which, the effective date could be deferred to 2025. That review was completed in July 2016 by a consortium of consultants led by CE Delft, and submitted to the International Maritime Organization’s Marine Environment Protection Committee (MEPC) during their 70th session. The review concluded that sufficient compliant fuel would be available to meet the new requirement. However, it remains uncertain if there will be sufficient refining capacity in 2020 to produce compliant marine fuels and installing alternative sulphur emission control equipment on vessels entails significant cost and may be technically infeasible or uneconomic for some vessels. Questions also remain as to how the sulphur cap will be enforced, as it is up to individual parties to MARPOL to enforce fines and sanctions.</w:t>
      </w:r>
    </w:p>
    <w:p>
      <w:pPr>
        <w:spacing w:after="0" w:line="175"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Shipowners can meet the new requirements by continuing to use fuel types which exceed the 0.5% sulphur limit and retrofitting an approved Exhaust Gas Cleaning System (also known as scrubbers) to remove sulphur from exhaust, which might require a substantial capital expenditure and prolonged offhire of the vessel during installation; or use petroleum fuels such as marine gasoil (MGO), which meet the 0.5% sulphur limit. According to Clarksons Shipping Intelligence Network, the premium of MGO over 380 CST 3.5% bunker fuel in Rotterdam has averaged $244/mt over the last five years.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HSFOs and MGOs; or by retrofitting the vessel to handle alternative fuels, such as LNG, methanol, biofuels, LPG etc. Retrofitting vessels for the consumption of these type of alternative fuels would involve a substantial capital expenditure and might be uneconomical for most conventional vessel types given current technology and design challenges.</w:t>
      </w:r>
    </w:p>
    <w:p>
      <w:pPr>
        <w:spacing w:after="0" w:line="19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Additionally, as of January 1, 2015, more stringent sulfur emission standards apply in coastal areas designated as Sulphur Emission Control Areas.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Nevertheless, as most existing vessels are not designed to operate on ultra-low sulfur distillate fuel continuously, we are introducing mitigating measures and or modifications enabling vessels to operate continuously within SECA areas. These mitigation measures and modifications may increase our operating expenses.</w:t>
      </w:r>
    </w:p>
    <w:p>
      <w:pPr>
        <w:spacing w:after="0" w:line="193" w:lineRule="exact"/>
        <w:rPr>
          <w:sz w:val="20"/>
          <w:szCs w:val="20"/>
          <w:color w:val="auto"/>
        </w:rPr>
      </w:pPr>
    </w:p>
    <w:p>
      <w:pPr>
        <w:jc w:val="both"/>
        <w:ind w:right="360" w:firstLine="913"/>
        <w:spacing w:after="0" w:line="312" w:lineRule="auto"/>
        <w:rPr>
          <w:sz w:val="20"/>
          <w:szCs w:val="20"/>
          <w:color w:val="auto"/>
        </w:rPr>
      </w:pPr>
      <w:r>
        <w:rPr>
          <w:rFonts w:ascii="Arial" w:cs="Arial" w:eastAsia="Arial" w:hAnsi="Arial"/>
          <w:sz w:val="16"/>
          <w:szCs w:val="16"/>
          <w:color w:val="auto"/>
        </w:rPr>
        <w:t>New SOLAS requirements necessitate installation of ECDIS equipment for certain types of vessels at the first radio survey carried out after July 1, 2015. For container vessels, this requirement comes into force for their first radio survey after July 1, 2016. While some of our vessels are already fitted with ECDIS equipment requiring only minimal upgrades, a number of our vessels are not fitted with such equipment and additional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expenditure might be incurred to comply with this regulation. Furthermore, recent rule changes to ECDIS performance standards as from September 1, 2017, may necessitate replacement of ECDIS equipment in case their upgrade is not possible. If that happens, this replacement might require increased capital expenditure for certain of our vessels.</w:t>
      </w:r>
    </w:p>
    <w:p>
      <w:pPr>
        <w:spacing w:after="0" w:line="181" w:lineRule="exact"/>
        <w:rPr>
          <w:sz w:val="20"/>
          <w:szCs w:val="20"/>
          <w:color w:val="auto"/>
        </w:rPr>
      </w:pPr>
    </w:p>
    <w:p>
      <w:pPr>
        <w:jc w:val="both"/>
        <w:ind w:right="40" w:firstLine="913"/>
        <w:spacing w:after="0" w:line="297" w:lineRule="auto"/>
        <w:rPr>
          <w:sz w:val="20"/>
          <w:szCs w:val="20"/>
          <w:color w:val="auto"/>
        </w:rPr>
      </w:pPr>
      <w:r>
        <w:rPr>
          <w:rFonts w:ascii="Arial" w:cs="Arial" w:eastAsia="Arial" w:hAnsi="Arial"/>
          <w:sz w:val="16"/>
          <w:szCs w:val="16"/>
          <w:color w:val="auto"/>
        </w:rPr>
        <w:t>The ISM code, promulgated by the International Maritime Organization,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58"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w:t>
      </w:r>
    </w:p>
    <w:p>
      <w:pPr>
        <w:spacing w:after="0" w:line="14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Many countries have ratified and follow the liability plan adopted by the International Maritime Organization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required under the plan adopted by the International Maritime Organization.</w:t>
      </w:r>
    </w:p>
    <w:p>
      <w:pPr>
        <w:spacing w:after="0" w:line="18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2001, the International Maritime Organization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93"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IMO regulations also require owners and operators of vessels to adopt Shipboard Marine Pollution Emergency Plans (“SMPEPs”). Periodic training and drills for response personnel and for vessels and their crews are required.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SMPEPs required for our vessels are in place.</w:t>
      </w:r>
    </w:p>
    <w:p>
      <w:pPr>
        <w:spacing w:after="0" w:line="225"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In addition, our operations are subject to compliance with the International Bulk Chemical Code (“IBCC”) as required by MARPOL and SOLAS for chemical tankers built after July 1, 1986, which provides ship design, construction and equipment requirements and other standards for the bulk transport of certain liquid chemicals. Under October 2004 amendments to the IBCC (implemented to meet recent revisions to SOLAS and Annex II to MARPOL), some previously unrestricted vegetable oils, including animal fats and marine oils, must be 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carriage requirements, etc.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MARPOL Annex II, applicable from January 1, 2016, requires the upgrade of oil discharge monitoring equipment (“ODME”) installed on all of our MR tankers certified for the carriage of biofuels. To permit carriage of biofuels on our MR tankers, we have placed orders for on-time upgrades of ODME. As such, we expect to incur additional expenditures for compliance.</w:t>
      </w:r>
    </w:p>
    <w:p>
      <w:pPr>
        <w:spacing w:after="0" w:line="18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MARPOL Annex I, applicable from January 1, 2016, requires stability instruments onboard our tankers to demonstrate compliance with damage stability calculations. All of our tankers already comply with this requirement, so no additional expenditures are expected for compliance with this amended regulation.</w:t>
      </w:r>
    </w:p>
    <w:p>
      <w:pPr>
        <w:spacing w:after="0" w:line="18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International Convention on the Control of Harmful Anti-fouling Systems on Ships (the “Anti-fouling Convention”) prohibits the use of organotin compound coatings to prevent the attachment of mollusks and other sea life to the hulls of vessels. The Anti-fouling Convention applies to vessels constructed prior to January 1, 2003 that have not been in drydock since September 17, 2008. Vessels of over 400 gross tons engaged in international voyages must obtain an International Anti-fouling System Certificate and must undergo a survey before the vessel is put into service or when the anti-fouling systems are altered or replaced. We have obtained Anti-Fouling System Certificates for all of our vessels that are subject to the Anti-Fouling Convention and do not believe that maintaining such certificates will have a material adverse financial impact on the operation of our vessels.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Climate Change and Greenhouse Gas Regulation</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Increasing concerns about climate change have resulted in a number of international, national and regional measures to limit greenhouse gas emissions and additional stricter measures can be expected in the future.</w:t>
      </w:r>
    </w:p>
    <w:p>
      <w:pPr>
        <w:spacing w:after="0" w:line="170"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European Union also has indicated that it intends to propose an expansion of the existing European Union emissions trading scheme to include emissions of greenhouse gases from vessels. In addition, the EPA has begun regulating greenhouse gas emissions under the Clean Air Act and climate change initiatives have been adopted by state and local jurisdictions and are being considered in the U.S. Congress. A consensus agreement reached at the 2015 United Nations Climate Change Conference in Paris and ratified in October 2016 commits participating nations to reduce greenhouse gas emissions with a goal of keeping global temperature increases well below two degrees Celsius,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International Maritime Organization,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 Increased concern over the effects of climate change may also affect energy strategies and consumption patterns which could adversely affect demand for the marine transport of petroleum products.</w:t>
      </w:r>
    </w:p>
    <w:p>
      <w:pPr>
        <w:spacing w:after="0" w:line="27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Disclosure of activities pursuant to Section 13(r) of the U.S. Securities Exchange Act of 1934</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Section 219 of the Iran Threat Reduction and Syria Human Rights Act of 2012 added Section 13(r) to the U.S. Securities Exchange Act of 1934, as amended (the “Exchange Act”). Section 13(r) requires an issuer to disclose whether it or any of its affiliates knowingly engaged in certain activities, transactions or dealings. Disclosure is required even where the activities, transactions or dealings are conducted in compliance with applicable law. Provided in this section is information concerning the activities of CPLP and its affiliates that occurred in 2017 and which CPLP believes may be required to be disclosed pursuant to Section 13(r) of the Exchange Act.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In 2017, vessels owned by CPLP and chartered under time charter parties to PCTC, a subsidiary of CMTC, our sponsor and the sole member of our General Partner, made four port calls to Iran to load crude oil and three port calls to Iran to discharge vegetable oils. These port calls represented approximately 0.4% of the total port calls made by all the vessels owned by CPLP in 2017. They each occurred while the respective vessel was sublet under voyage or time charter by PCTC to an unaffiliated sub-charterer under the instructions of such sub-charterer. As the vessel owner, we earned revenues at the agreed daily charter rates from PCTC under the applicable time charter. PCTC in turn earned revenues at the agreed freight or hire rate from the sub-charterers that employed the vessels. CPLP’s aggregate revenue attributable to the number of days that our vessels under time charters remained in ports in Iran was approximately $0.5 million, representing approximately 0.2% of our total revenues for the year ended December 31, 2017. We do not attribute profits to specific voyages.</w:t>
      </w:r>
    </w:p>
    <w:p>
      <w:pPr>
        <w:spacing w:after="0" w:line="192"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Further, in 2017, vessels owned or chartered-in by CMTC (including the vessels chartered-in from CPLP by PCTC under time charters as described above) made 12 port calls to Iran to load crude oil and five port calls to Iran to discharge vegetable oils. These port calls represented 1.4% of the total port calls made by all the vessels owned or chartered-in by CMTC in 2017. They each occurred while the respective vessel was chartered out to an unaffiliated charterer or sub-charterer under the instructions of such charterer or sub-charterer. The aggregate revenue attributable to the number of days that the vessels under time charters remained in ports in Iran and to port calls made in Iran by vessels under voyage charters to unaffiliated charterers and sub-charterers was approximately $32.0 million, representing approximately 9.0% of CMTC’s total revenues during the year ended December 31, 2017. CMTC does not attribute profits to specific voyages.</w:t>
      </w:r>
    </w:p>
    <w:p>
      <w:pPr>
        <w:spacing w:after="0" w:line="17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As part of the voyage charter arrangements between CMTC and third-party charterers or sub-charterers, CMTC or its manager may pay fees and expenses related to the port calls made in Iran through a private third-party agent in Iran appointed by the third-party charterer or sub-charterer, which in 2017 did not include any payments for refueling or bunkers for the vessels making such port calls.</w:t>
      </w:r>
    </w:p>
    <w:p>
      <w:pPr>
        <w:spacing w:after="0" w:line="181"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CPLP and CMTC believe that all activities, transactions and dealings involving Iran were consistent with sanctions. CPLP and CMTC intend to continue to charter their respective vessels to charterers and sub-charterers, including, as the case may be, Iran-related parties, who may make, or may sublet the vessels to sub-charterers who may make, port calls to Iran, so long as the activities continue to be permissible and not sanctionable under applicable U.S. and EU and other applicable 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94615</wp:posOffset>
            </wp:positionV>
            <wp:extent cx="4759325" cy="43910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5932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Crude Carriers Investments Corp. owns 3,284,210 common units as of the date of this Annual Report.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Please also see Note 1 (Basis of Presentation and General Information) to our Financial Statements included herein and Exhibit 8.1 to this Annual Report for a list of our significant subsidiaries as of December 31, 2017.</w:t>
      </w:r>
    </w:p>
    <w:p>
      <w:pPr>
        <w:spacing w:after="0" w:line="315" w:lineRule="exact"/>
        <w:rPr>
          <w:sz w:val="20"/>
          <w:szCs w:val="20"/>
          <w:color w:val="auto"/>
        </w:rPr>
      </w:pPr>
    </w:p>
    <w:p>
      <w:pPr>
        <w:ind w:left="1920" w:hanging="440"/>
        <w:spacing w:after="0"/>
        <w:tabs>
          <w:tab w:leader="none" w:pos="19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Other than our vessels, we do not have any material property. For further details regarding our vessels, including any environmental issues that may affect our utilization of these assets, please read “Item 4B: Business Overview—Our Fleet” and “—Regulation.” Our obligations under our credit facilities are secured by all our vessels. For further details regarding our credit facilities, please read “Item 5B: Liquidity and Capital Resources—Borrowings —Our Credit Facilities.”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29" w:lineRule="exact"/>
        <w:rPr>
          <w:sz w:val="20"/>
          <w:szCs w:val="20"/>
          <w:color w:val="auto"/>
        </w:rPr>
      </w:pPr>
    </w:p>
    <w:p>
      <w:pPr>
        <w:ind w:right="460" w:firstLine="913"/>
        <w:spacing w:after="0" w:line="27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audited consolidated Financial Statements for the years ended December 31, 2017, 2016, and 2015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316" w:lineRule="exact"/>
        <w:rPr>
          <w:sz w:val="20"/>
          <w:szCs w:val="20"/>
          <w:color w:val="auto"/>
        </w:rPr>
      </w:pPr>
    </w:p>
    <w:p>
      <w:pPr>
        <w:ind w:right="4140" w:firstLine="8"/>
        <w:spacing w:after="0" w:line="378" w:lineRule="auto"/>
        <w:tabs>
          <w:tab w:leader="none" w:pos="446"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Discussion and Analysis of Financial Condition and Results of Operations Overview</w:t>
      </w:r>
    </w:p>
    <w:p>
      <w:pPr>
        <w:ind w:firstLine="913"/>
        <w:spacing w:after="0" w:line="273" w:lineRule="auto"/>
        <w:rPr>
          <w:sz w:val="20"/>
          <w:szCs w:val="20"/>
          <w:color w:val="auto"/>
        </w:rPr>
      </w:pPr>
      <w:r>
        <w:rPr>
          <w:rFonts w:ascii="Arial" w:cs="Arial" w:eastAsia="Arial" w:hAnsi="Arial"/>
          <w:sz w:val="17"/>
          <w:szCs w:val="17"/>
          <w:color w:val="auto"/>
        </w:rPr>
        <w:t>We are an international owner of tanker, container and drybulk vessels. We were organized in January 2007 by Capital Maritime, an international shipping company with a long history of operating and investing in the shipping market. Our fleet as of December 31, 2017 consisted of 36 high specification vessels with an average age of approximately 8.4 years. Our fleet is comprised of four Suezmax crude oil tankers (0.6 million dwt), 21 medium range product tankers (0.9 million dwt), ten neo-panamax container carrier vessels (0.9 million dwt) and one Capesize bulk carrier (0.2 million dwt). Our vessels are capable of carrying a wide range of cargoes, including crude oil, refined oil products, such as gasoline, diesel, fuel oil and jet fuel, edible oils and certain chemicals, such as ethanol, as well as dry cargo and containerized goods.</w:t>
      </w:r>
    </w:p>
    <w:p>
      <w:pPr>
        <w:spacing w:after="0" w:line="178" w:lineRule="exact"/>
        <w:rPr>
          <w:sz w:val="20"/>
          <w:szCs w:val="20"/>
          <w:color w:val="auto"/>
        </w:rPr>
      </w:pPr>
    </w:p>
    <w:p>
      <w:pPr>
        <w:jc w:val="both"/>
        <w:ind w:right="100" w:firstLine="913"/>
        <w:spacing w:after="0" w:line="277" w:lineRule="auto"/>
        <w:rPr>
          <w:sz w:val="20"/>
          <w:szCs w:val="20"/>
          <w:color w:val="auto"/>
        </w:rPr>
      </w:pPr>
      <w:r>
        <w:rPr>
          <w:rFonts w:ascii="Arial" w:cs="Arial" w:eastAsia="Arial" w:hAnsi="Arial"/>
          <w:sz w:val="18"/>
          <w:szCs w:val="18"/>
          <w:color w:val="auto"/>
        </w:rPr>
        <w:t>Our primary business objective is to pay a quarterly distribution per unit and increase our distributions over time, subject to shipping and charter market developments and our ability to obtain required financing and access financial markets.</w:t>
      </w:r>
    </w:p>
    <w:p>
      <w:pPr>
        <w:spacing w:after="0" w:line="170"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We seek to rely on medium- to long-term, fixed-rate period charters and Capital Ship Management’s cost-efficient management of our vessels to provide visibility of revenues, earnings and distributions in the medium- to long-term. As our vessels come up for re-chartering, we seek to redeploy them on terms that reflect our expectations of the market conditions prevailing at the time.</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intend to further evaluate potential opportunities to acquire both newly built and second-hand vessels from Capital Maritime or third parties (including, potentially, through the acquisition of, or combination with, other shipping businesses) in a prudent manner that is accretive to our unitholders and long-term distribution growth, subject to approval of our board of directors, overall market conditions and our ability to obtain required financing and access financial markets.</w:t>
      </w:r>
    </w:p>
    <w:p>
      <w:pPr>
        <w:spacing w:after="0" w:line="187"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Consistent with this strategy, we currently have a right of first refusal to acquire five additional product tanker vessels from Capital Maritime. , as further described in “Item 4.A: History and Development of the Partnership—2015 Developments—Delivery of Dropdown Vessels.”</w:t>
      </w:r>
    </w:p>
    <w:p>
      <w:pPr>
        <w:spacing w:after="0" w:line="14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generally rely on external financing sources, including bank borrowings and, depending on market conditions, the issuance of debt and equity securities, to fund the acquisition of new vessels. See “—B. Liquidity and Capital Resources” below.</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of December 31, 2017, the Marinakis family, including Evangelos M. Marinakis, our former chairman, may be deemed to beneficially own on a fully converted basis a 16.1% interest in us (17.7% on a non-fully converted basis), through, among others, Capital Maritime and Crude Carriers Investments.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Charters</w:t>
      </w:r>
    </w:p>
    <w:p>
      <w:pPr>
        <w:spacing w:after="0" w:line="117"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We generate revenues by charging our charterers for the use of our vessels. Historically, we have provided services to our charterers under time or bareboat charter agreements. As of December 31, 2017, 33 of our vessels were either trading in the period market or were expected to commence period employment.</w:t>
      </w:r>
    </w:p>
    <w:p>
      <w:pPr>
        <w:spacing w:after="0" w:line="18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Our vessels are currently under contracts with INSW, HMM, CSSA S.A. (Total S.A.), COSCO, Repsol, Flopec, PIL, Petrobras, Shell, CMA CGM and Capital Maritime. In 2017, we re-chartered a total of thirteen vessels.</w:t>
      </w:r>
    </w:p>
    <w:p>
      <w:pPr>
        <w:spacing w:after="0" w:line="170"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For the year ended December 31, 2017, Petrobras, Capital Maritime, HMM and CMA CGM accounted for 19%, 18%, 18% and 17% of our revenues, respectively. For the year ended December 31, 2016, HMM, Petrobras, CMA CGM and Capital Maritime accounted for 19%, 18%, 17% and 15% of our revenues, respectively. For the year ended December 31, 2015, Capital Maritime and HMM accounted for 29% and 21% of our revenues, respectively.</w:t>
      </w:r>
    </w:p>
    <w:p>
      <w:pPr>
        <w:spacing w:after="0" w:line="14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The loss of, default by or restructuring of any significant charterer or a substantial decline in the amount of services requested by a significant charterer could harm our business, financial condition and results of operations. As our fleet expands, we seek to enter into charters with new charterers and aim to maintain a portfolio that is diverse from a customer, geographic and maturity perspective. For information on the risks arising from a concentration of counterparties, see “Item 3. Key Information—D. Risk Factors—Risks Related to Our Business and Operations—We currently derive all of our revenues from a limited number of charterers and the loss of any charterer or charter or vessel could result in a significant loss of revenues and cash flows.”</w:t>
      </w:r>
    </w:p>
    <w:p>
      <w:pPr>
        <w:spacing w:after="0" w:line="158"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See also “Item 4B: Business Overview—Our Fleet,” “—Our Charters” and “—Our Charters—Profit Sharing Arrangements” for additional information on our charters.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HMM Restructuring</w:t>
      </w:r>
    </w:p>
    <w:p>
      <w:pPr>
        <w:spacing w:after="0" w:line="117"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HMM, the charterer of five of our container vessels and one of our largest counterparties in terms of revenue, completed a financial restructuring in July 2016. We entered into a charter restructuring agreement with HMM on July 15, 2016. This agreement provides for the reduction of the charter rate payable under the respective charter parties by 20% to $23,480 per day (from a gross daily rate of $29,350) for a three and a half year period starting in July 2016 and ending in December 2019. The total charter rate reduction for the charter reduction period is approximately $37.0 million. The charter restructuring agreement further provides that at the end of the charter reduction period, the charter rate under the respective charter parties will be restored to the original gross daily rate of $29,350 until the expiry of each charter in 2024 and 2025. As compensation for the charter rate reduction, we received approximately</w:t>
      </w:r>
    </w:p>
    <w:p>
      <w:pPr>
        <w:spacing w:after="0" w:line="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4.4 million HMM common shares, which we sold on the Stock Market Division of the Korean Exchange for an aggregate consideration of $29.7 million in August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Acquisitions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October 2016, we acquired the shares of the company owning the M/T Amor, an eco-type MR product tanker, with time charters attached expiring in October 2017 (at the earliest). We accounted for this transaction as an acquisition of a business based on the existence of an integrated set of activities (inputs and processes that generate outputs). Therefore, we recorded the identifiable assets acquired and liabilities assumed, consisting of the vessel, the time charter attached to the vessel and a term loan assumed on acquisition, in our financial statements at their fair values of $31.6 million, $1.1 million and $15.8 million, respectively.</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February 2016, we acquired the shares of the company owning the M/V CMA CGM Magdalena, the last of the five vessels we agreed to acquire from Capital Maritime pursuant to the Master Vessel Acquisition Agreement (to which we refer herein as the Dropdown Vessels), with time charter attached expiring in January 2021 (at the earliest). We accounted for this transaction as an acquisition of an asset. As we estimated that the daily charter rate of the time charter attached to the vessel was above market rates as of the transaction completion date, we allocated the total consideration for this acquisition to the vessel cost in the amount of $88.5 million and to the above market acquired charter in the amount of $3.2 million.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In July 2014, we entered into a Master Vessel Acquisition Agreement with Capital Maritime, pursuant to which we agreed to acquire, subject to the satisfaction of various conditions precedent, the Dropdown Vessels for an aggregate purchase price of $311.5 million. As consideration for these vessel acquisitions at prices below current market value, we agreed to amend the partnership agreement to revise the target distributions to holders of our incentive distribution rights. In September 2014, we paid the amount of $30.2 million to Capital Maritime as an advance payment on the acquisition of the Dropdown Vessels. During 2015, we acquired four of the five Dropdown Vessels which we accounted for as acquisitions of assets. For more information, please read Note 5 (Fixed Assets) and Note 12 (Partners’ Capital) in our Financial Statements included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Developments and Outlook</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2017, the tanker charter market, where the majority of our fleet operates and where we expect the vast majority of our renewals will occur in the next couple of years, was overall weaker due to, among other factors, high oil inventories and increased supply of vessels. As a result, we secured employment for a number of our vessels at reduced rates on average in 2017. Oil demand growth is estimated by the International Energy Agency (“IEA”) at 1.6% for 2017 and 1.3% for 2018. However global oil inventories remained at above five-year average levels at the end of 2017 and as a result might adversely affect demand for tankers into 2018. In addition, according to Clarksons Shipping Intelligence Network, the total tanker orderbook stood at 11.7% of the current worldwide fleet with 56% of this expected to be delivered within 2018.</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2017, in the container market, certain key routes have seen a resurgence in demand as compared to 2016, which has led to a decrease in the idle fleet of approximately 2% by year end and an overall increase in container charter rates and asset values. However, charter rates still remain below historical averages. While all but two of our container vessels come up for re-chartering after 2020, we depend on the ability of vessel charterers, which have come under significant financial stress, to honor their commitments. For further information, see “Item 3.D Risks Factors—Risks Related to the Container Carrier Industry—</w:t>
      </w:r>
      <w:r>
        <w:rPr>
          <w:rFonts w:ascii="Arial" w:cs="Arial" w:eastAsia="Arial" w:hAnsi="Arial"/>
          <w:sz w:val="16"/>
          <w:szCs w:val="16"/>
          <w:i w:val="1"/>
          <w:iCs w:val="1"/>
          <w:color w:val="auto"/>
        </w:rPr>
        <w:t>If our container carrier vessel charterers do not fulfill their obligations to us, or if they are unable to honor their obligations, our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results of operations, cash flows and ability to make cash distributions and service or refinance our debt can be adversely affected</w:t>
      </w:r>
      <w:r>
        <w:rPr>
          <w:rFonts w:ascii="Arial" w:cs="Arial" w:eastAsia="Arial" w:hAnsi="Arial"/>
          <w:sz w:val="16"/>
          <w:szCs w:val="16"/>
          <w:color w:val="auto"/>
        </w:rPr>
        <w:t>.”</w:t>
      </w:r>
    </w:p>
    <w:p>
      <w:pPr>
        <w:spacing w:after="0" w:line="16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After reaching historical highs in mid-2008, charter hire rates for capesize drybulk carriers, such as the M/V Cape Agamemnon, have declined to historically low levels. In 2017, the drybulk market experienced some recovery in charter rates and asset values compared to 2016. The M/V Cape Agamemnon is currently deployed on a period time charter which is expected to expire on June 2020 (at the earliest). In the future, we may be forced to re-charter the M/V Cape Agamemnon pursuant to short-term time charters, and may be exposed to changes in the spot market and short-term charter rates for capesize drybulk carriers, all of which may affect our earnings and the value of the M/V Cape Agamemnon. For further information, see “Item 3.D Risks Factors—Risks Related to the Drybulk Industry—</w:t>
      </w:r>
      <w:r>
        <w:rPr>
          <w:rFonts w:ascii="Arial" w:cs="Arial" w:eastAsia="Arial" w:hAnsi="Arial"/>
          <w:sz w:val="18"/>
          <w:szCs w:val="18"/>
          <w:i w:val="1"/>
          <w:iCs w:val="1"/>
          <w:color w:val="auto"/>
        </w:rPr>
        <w:t>We are exposed to various risks in the international drybulk shipping industry, which is cyclical and</w:t>
      </w:r>
      <w:r>
        <w:rPr>
          <w:rFonts w:ascii="Arial" w:cs="Arial" w:eastAsia="Arial" w:hAnsi="Arial"/>
          <w:sz w:val="18"/>
          <w:szCs w:val="18"/>
          <w:color w:val="auto"/>
        </w:rPr>
        <w:t xml:space="preserve"> </w:t>
      </w:r>
      <w:r>
        <w:rPr>
          <w:rFonts w:ascii="Arial" w:cs="Arial" w:eastAsia="Arial" w:hAnsi="Arial"/>
          <w:sz w:val="18"/>
          <w:szCs w:val="18"/>
          <w:i w:val="1"/>
          <w:iCs w:val="1"/>
          <w:color w:val="auto"/>
        </w:rPr>
        <w:t>volatile</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121"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147"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The world economy has experienced significant economic and political upheavals in recent history. In addition, credit supply has been constrained and financial markets have been particularly turbulent for master limited partnerships such as us. Protectionist trends, global growth and demand for the seaborne transportation of goods, including oil, oil products and dry and containerized goods, and overcapacity and deliveries of newly built vessels may affect the shipping industry in general and our business, financial condition, results of operations and cash flows.</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are exposed to the tanker market to a significant extent as (a) the majority of our vessels are either crude or product tankers and (b) most of the charters that have expired over the previous 12 months or we expect will expire in the coming 12 months are product or crude tanker charters. We expect 20 of our charters to expire in the coming 12 months compared to 12 charter expirations in 2017. 18 of these charter expirations relate to tanker vessels compared to ten tanker charter expirations in 2017.</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Some of the key factors that we expect may affect our business, future financial condition, results of operations and cash flow include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1460" w:hanging="547"/>
        <w:spacing w:after="0"/>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levels of oil product demand and inventories;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supply and demand for crude oil, oil products raw materials, dry cargo and containerized goods;</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charter hire levels (under time and bareboat charters) and our ability to re-charter our vessels at competitive rates as their current charters expire;</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developments in vessel values, which might affect our ability to comply with certain covenants under our credit facilities and/or refinance our debt;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ability to comply with the covenants in our credit facilities, including covenants relating to the maintenance of vessel value ratios;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w:t>
      </w:r>
    </w:p>
    <w:p>
      <w:pPr>
        <w:spacing w:after="0" w:line="130" w:lineRule="exact"/>
        <w:rPr>
          <w:rFonts w:ascii="Arial" w:cs="Arial" w:eastAsia="Arial" w:hAnsi="Arial"/>
          <w:sz w:val="18"/>
          <w:szCs w:val="18"/>
          <w:color w:val="auto"/>
        </w:rPr>
      </w:pPr>
    </w:p>
    <w:p>
      <w:pPr>
        <w:ind w:left="1460" w:right="60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access to debt and equity, and the cost of such capital, required to acquire additional vessels and/or to implement our business strategy;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supply and orderbook of vessels, including tankers, container vessels and drybulk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ability of Capital Maritime’s commercial and chartering operations to successfully employ our vessels at economically attractive rates, particularly as our charters expire and our fleet expands;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continuing demand for goods from China, India, Brazil and Russia and other emerging markets;</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comply with new maritime regulations and the more restrictive regulations for the transport of certain products and cargoes and the increased costs associated therewith;</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increased costs associated with the renewal of our technical management agreement and the full transition to a floating fee based on actual expenses for certain of our vessels;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associated with upcoming drydocking of our vessels;</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Capital Maritime’s ability to obtain and maintain major international oil company approvals and to satisfy their technical, health, safety and compliance standards;</w:t>
      </w:r>
    </w:p>
    <w:p>
      <w:pPr>
        <w:spacing w:after="0" w:line="75" w:lineRule="exact"/>
        <w:rPr>
          <w:rFonts w:ascii="Arial" w:cs="Arial" w:eastAsia="Arial" w:hAnsi="Arial"/>
          <w:sz w:val="18"/>
          <w:szCs w:val="18"/>
          <w:color w:val="auto"/>
        </w:rPr>
      </w:pPr>
    </w:p>
    <w:p>
      <w:pPr>
        <w:ind w:left="1460" w:right="42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strength of and growth in the number of our customer relationships, especially with major international oil companies and major commodity traders;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prevailing spot market rates and the number of our vessels which we may operate in the spot market;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acquire and sell vessels at prices we deem satisfactory;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level of any distribution on our common units.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read “Item 3.D: Risk Factors” for a discussion of certain risks inherent in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it is important to consider the following factors when evaluating our results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60" w:hanging="547"/>
        <w:spacing w:after="0" w:line="286" w:lineRule="auto"/>
        <w:tabs>
          <w:tab w:leader="none" w:pos="14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Size of our Fleet. </w:t>
      </w:r>
      <w:r>
        <w:rPr>
          <w:rFonts w:ascii="Arial" w:cs="Arial" w:eastAsia="Arial" w:hAnsi="Arial"/>
          <w:sz w:val="16"/>
          <w:szCs w:val="16"/>
          <w:color w:val="auto"/>
        </w:rPr>
        <w:t>During 2017, the weighted average number of our vessels increased by 0.97 vessels compared to the year 2016, as we</w:t>
      </w:r>
      <w:r>
        <w:rPr>
          <w:rFonts w:ascii="Arial" w:cs="Arial" w:eastAsia="Arial" w:hAnsi="Arial"/>
          <w:sz w:val="16"/>
          <w:szCs w:val="16"/>
          <w:i w:val="1"/>
          <w:iCs w:val="1"/>
          <w:color w:val="auto"/>
        </w:rPr>
        <w:t xml:space="preserve"> </w:t>
      </w:r>
      <w:r>
        <w:rPr>
          <w:rFonts w:ascii="Arial" w:cs="Arial" w:eastAsia="Arial" w:hAnsi="Arial"/>
          <w:sz w:val="16"/>
          <w:szCs w:val="16"/>
          <w:color w:val="auto"/>
        </w:rPr>
        <w:t>took delivery of the M/V Anaxagoras (renamed to “CMA CGM Magdalena”) and the M/T Amor on February 26, 2016 and October 24, 2016, respectively. As our fleet grows or as we dispose of our vessels, our results of operations reflect the contribution to revenue of, and the expenses associated with, a varying number of vessels over time, which may affect the comparability of our results year-on-year.</w:t>
      </w:r>
    </w:p>
    <w:p>
      <w:pPr>
        <w:spacing w:after="0" w:line="1" w:lineRule="exact"/>
        <w:rPr>
          <w:rFonts w:ascii="Arial" w:cs="Arial" w:eastAsia="Arial" w:hAnsi="Arial"/>
          <w:sz w:val="16"/>
          <w:szCs w:val="16"/>
          <w:color w:val="auto"/>
        </w:rPr>
      </w:pPr>
    </w:p>
    <w:p>
      <w:pPr>
        <w:ind w:left="1460" w:right="60"/>
        <w:spacing w:after="0" w:line="290" w:lineRule="auto"/>
        <w:rPr>
          <w:rFonts w:ascii="Arial" w:cs="Arial" w:eastAsia="Arial" w:hAnsi="Arial"/>
          <w:sz w:val="16"/>
          <w:szCs w:val="16"/>
          <w:color w:val="auto"/>
        </w:rPr>
      </w:pPr>
      <w:r>
        <w:rPr>
          <w:rFonts w:ascii="Arial" w:cs="Arial" w:eastAsia="Arial" w:hAnsi="Arial"/>
          <w:sz w:val="17"/>
          <w:szCs w:val="17"/>
          <w:color w:val="auto"/>
        </w:rPr>
        <w:t>Please see “—Overview—Accounting for Acquisitions” for information on the accounting treatment of vessel acquisitions for the period under review and Note 1 (Basis of Presentation and General Information) to the Financial Statements included herein.</w:t>
      </w:r>
    </w:p>
    <w:p>
      <w:pPr>
        <w:spacing w:after="0" w:line="67" w:lineRule="exact"/>
        <w:rPr>
          <w:rFonts w:ascii="Arial" w:cs="Arial" w:eastAsia="Arial" w:hAnsi="Arial"/>
          <w:sz w:val="16"/>
          <w:szCs w:val="16"/>
          <w:color w:val="auto"/>
        </w:rPr>
      </w:pPr>
    </w:p>
    <w:p>
      <w:pPr>
        <w:ind w:left="1460" w:right="20" w:hanging="547"/>
        <w:spacing w:after="0" w:line="289" w:lineRule="auto"/>
        <w:tabs>
          <w:tab w:leader="none" w:pos="14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Management Structure and Operating Expenses</w:t>
      </w:r>
      <w:r>
        <w:rPr>
          <w:rFonts w:ascii="Arial" w:cs="Arial" w:eastAsia="Arial" w:hAnsi="Arial"/>
          <w:sz w:val="16"/>
          <w:szCs w:val="16"/>
          <w:color w:val="auto"/>
        </w:rPr>
        <w:t>. We have entered into three separate technical and commercial management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Capital Ship Management for the management of our fleet: the fixed fee management agreement, the floating fee management agreement and, with respect to the vessels acquired as part of the merger with Crude Carriers, the Crude Carriers management agreement. Each agreement has a different operating expenses structure. In 2017, three vessels, which were previously managed under the fixed fee management agreement and were employed under bareboat charter agreements transitioned to a floating fee arrangement and incurred operating expenses. We expect that the remaining two vessels in our fleet that are still managed under the fixed fee management agreement and are currently employed under bareboat charter agreements, will over time transition to floating fee arrangements and that newly acquired vessels will also be managed under floating fee management arrangements. For information on our management agreements and the fees we pay to our Manager, please read “Item 4B: Business Overview—Our Management Agreements.”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results of operations for the years ended December 31, 2017 and 2016 differ primarily due to:</w:t>
      </w:r>
    </w:p>
    <w:p>
      <w:pPr>
        <w:spacing w:after="0" w:line="131" w:lineRule="exact"/>
        <w:rPr>
          <w:sz w:val="20"/>
          <w:szCs w:val="20"/>
          <w:color w:val="auto"/>
        </w:rPr>
      </w:pPr>
    </w:p>
    <w:p>
      <w:pPr>
        <w:ind w:left="1460" w:right="600" w:hanging="547"/>
        <w:spacing w:after="0" w:line="277" w:lineRule="auto"/>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increase in the weighted average number of our vessels as we took delivery of the M/V Anaxagoras (renamed to “CMA CGM Magdalena”) and the M/T Amor on February 26, 2016 and October 24, 2016, respectively;</w:t>
      </w:r>
    </w:p>
    <w:p>
      <w:pPr>
        <w:spacing w:after="0" w:line="75" w:lineRule="exact"/>
        <w:rPr>
          <w:rFonts w:ascii="Arial" w:cs="Arial" w:eastAsia="Arial" w:hAnsi="Arial"/>
          <w:sz w:val="18"/>
          <w:szCs w:val="18"/>
          <w:color w:val="auto"/>
        </w:rPr>
      </w:pPr>
    </w:p>
    <w:p>
      <w:pPr>
        <w:jc w:val="both"/>
        <w:ind w:left="1460" w:right="260" w:hanging="547"/>
        <w:spacing w:after="0" w:line="312" w:lineRule="auto"/>
        <w:tabs>
          <w:tab w:leader="none" w:pos="1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lower charter rates as a result of weaker market conditions for product and crude tankers on the back of increased tonnage availability, high oil and oil product inventories and OPEC/Non-OPEC oil production cuts, a trend that we expect to continue at least for the short term and that we anticipate may further affect our earnings as a significant number of our charters will expire in 2018;</w:t>
      </w:r>
    </w:p>
    <w:p>
      <w:pPr>
        <w:spacing w:after="0" w:line="52" w:lineRule="exact"/>
        <w:rPr>
          <w:rFonts w:ascii="Arial" w:cs="Arial" w:eastAsia="Arial" w:hAnsi="Arial"/>
          <w:sz w:val="16"/>
          <w:szCs w:val="16"/>
          <w:color w:val="auto"/>
        </w:rPr>
      </w:pPr>
    </w:p>
    <w:p>
      <w:pPr>
        <w:ind w:left="1460" w:right="280" w:hanging="547"/>
        <w:spacing w:after="0" w:line="264" w:lineRule="auto"/>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increase in the number of vessels in our fleet incurring operating expenses following the redelivery by their charterer of the M/T Atlantas II in September 2016 and the M/T Aiolos and the M/T Aktoras in March 2017, which were previously employed on bareboat charters; and</w:t>
      </w:r>
    </w:p>
    <w:p>
      <w:pPr>
        <w:spacing w:after="0" w:line="86"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higher interest costs incurred as a result of an increase in the LIBOR weighted average interest rate during the year ended December 31, 2017 compared to the year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Total revenues, consisting of time, voyage and bareboat charter revenues, amounted to $249.1 million for the year ended December 31, 2017 compared to $241.6 million for the year ended December 31, 2016.</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increase of $7.5 million was primarily attributable to the increase in vessel operating days as the weighted average size of our fleet expanded by 0.97 vessels in 2017 and the decrease in the number of off-hire days incurred by our vessels during the year 2017, partly offset by lower charter rates earned by certain of our vessels compared to the average charter rates earned during the year 2016 as result of, among other factors, weaker market conditions for product and crude tankers. For the year ended December 31, 2017, related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increased to $44.7 million, compared to $36.0 million for the year ended December 31, 2016 as the average number of vessels chartered by Capital Maritime increased by 2.7 vessels. Time, voyage and bareboat charter revenues are mainly comprised of the charter hires received from unaffiliated third-party charterers and Capital Maritime, and are generally affected by the number of vessel operating days, the average number of vessels in our fleet and the charter rates.</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For the year ended December 31, 2017, Petrobras, Capital Maritime, HMM and CMA CGM accounted for 19%, 18%, 18% and 17% of our total revenues, respectively. For information on the risks arising from a concentration of counterparties, see “Item 3. Key Information—D. Risk Factors—Risks Inherent in Our Operations—</w:t>
      </w:r>
      <w:r>
        <w:rPr>
          <w:rFonts w:ascii="Arial" w:cs="Arial" w:eastAsia="Arial" w:hAnsi="Arial"/>
          <w:sz w:val="18"/>
          <w:szCs w:val="18"/>
          <w:i w:val="1"/>
          <w:iCs w:val="1"/>
          <w:color w:val="auto"/>
        </w:rPr>
        <w:t>We currently derive all of our revenues from a limited number of charterers and the loss of any charterer or charter or vessel</w:t>
      </w:r>
      <w:r>
        <w:rPr>
          <w:rFonts w:ascii="Arial" w:cs="Arial" w:eastAsia="Arial" w:hAnsi="Arial"/>
          <w:sz w:val="18"/>
          <w:szCs w:val="18"/>
          <w:color w:val="auto"/>
        </w:rPr>
        <w:t xml:space="preserve"> </w:t>
      </w:r>
      <w:r>
        <w:rPr>
          <w:rFonts w:ascii="Arial" w:cs="Arial" w:eastAsia="Arial" w:hAnsi="Arial"/>
          <w:sz w:val="18"/>
          <w:szCs w:val="18"/>
          <w:i w:val="1"/>
          <w:iCs w:val="1"/>
          <w:color w:val="auto"/>
        </w:rPr>
        <w:t>could result in a significant loss of revenues and cash flows.</w:t>
      </w:r>
      <w:r>
        <w:rPr>
          <w:rFonts w:ascii="Arial" w:cs="Arial" w:eastAsia="Arial" w:hAnsi="Arial"/>
          <w:sz w:val="18"/>
          <w:szCs w:val="18"/>
          <w:color w:val="auto"/>
        </w:rPr>
        <w:t>”</w:t>
      </w:r>
    </w:p>
    <w:p>
      <w:pPr>
        <w:spacing w:after="0" w:line="18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Please read “Item 4B: Business Overview—Our Fleet” and “—Our Charters” for information about the charters on our vessels, including daily charter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Total voyage expenses amounted to $15.2 million for the year ended December 31, 2017, compared to $10.3 million for the year ended December 31, 2016. The increase of $4.9 million was primarily attributable to the increase in the number of voyage charters under which certain of our vessels were employed during the year 2017, compared to the year 2016. Voyage expenses primarily consist of bunkers, port expenses, canal dues and commissions. Commissions are paid to shipbrokers for negotiating and arranging charter party agreements on our behalf. Voyage expenses incurred during time and bareboat charters are paid for by the charterer, except for commissions, which are paid for by us. Voyage expenses incurred during voyage charters are paid for by us. Please also refer to Note 10 (Voyage Expenses and Vessel Operating Expenses) to the financial statements included herein for information on the composition of our voyage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For the year ended December 31, 2017, our total vessel operating expenses amounted to $86.1 million compared to $77.5 million for the year ended December 31, 2016. The $8.6 million increase in total vessel operating expenses primarily reflects the expansion in the weighted average size of our fleet and the increase in the number of vessels in our fleet incurring operating expenses, following the redelivery of the M/T Atlantas II, the M/T Aktoras and the M/T Aiolos, which were previously employed under bareboat charters.</w:t>
      </w:r>
    </w:p>
    <w:p>
      <w:pPr>
        <w:spacing w:after="0" w:line="18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Total vessel operating expenses for the year ended December 31, 2017 include expenses of $11.6 million incurred under the management agreements we have with our Manager, compared to $10.9 million during the year ended December 31, 2016.</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See Note 10 (Voyage Expenses and Vessel Operating Expenses) to the financial statements included herein for information on the composition of our vessel operating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General and administrative expenses amounted to $6.2 million for the year ended December 31, 2017, compared to $6.3 million for the year ended December 31, 2016. General and administrative expenses include board of directors’ fees and expenses, audit and certain legal fees, and other fees related to the expenses of the publicly traded partnership.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Depreciation and amortization amounted to $74.0 million for the year ended December 31, 2017, compared to $71.9 million for the year ended December 31, 2016. The increase was due to the increase in the average number of vessels in our fleet.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is expected to increase if the average number of vessels in our fleet increases.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vessel</w:t>
      </w:r>
    </w:p>
    <w:p>
      <w:pPr>
        <w:spacing w:after="0" w:line="121"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Impairment of vessel amounted to $3.3 million for the year ended December 31, 2017 and represents the difference between the carrying and the fair market value of the M/T Aristotelis, which we agreed to sell on December 22, 2017. The vessel was classified as held for sale and written down to its fair value less estimated sale costs. The fair value of the M/T Aristotelis was based on its transaction price, as the sale price was agreed with an unaffiliated third party.</w:t>
      </w:r>
    </w:p>
    <w:p>
      <w:pPr>
        <w:spacing w:after="0" w:line="18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Please see Note 5 (Fixed assets and assets held for sale) and Note 8 (Financial Instruments) to our Financial Statements included herein for more information on impairment charges.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Total other expense, net for the year ended December 31, 2017 amounted to $25.8 million, compared to $23.2 million for the year ended December 31, 2016. The increase of $2.6 million reflects higher interest costs incurred mainly as a result of the increase in the LIBOR weighted average interest rate for the year ended December 31, 2017 compared to the year ended December 31, 2016.</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expense and finance costs include interest expense, amortization of financing charges, commitment fees and bank charges.</w:t>
      </w:r>
    </w:p>
    <w:p>
      <w:pPr>
        <w:spacing w:after="0" w:line="237" w:lineRule="exact"/>
        <w:rPr>
          <w:sz w:val="20"/>
          <w:szCs w:val="20"/>
          <w:color w:val="auto"/>
        </w:rPr>
      </w:pPr>
    </w:p>
    <w:p>
      <w:pPr>
        <w:ind w:right="680" w:firstLine="913"/>
        <w:spacing w:after="0" w:line="308" w:lineRule="auto"/>
        <w:rPr>
          <w:sz w:val="20"/>
          <w:szCs w:val="20"/>
          <w:color w:val="auto"/>
        </w:rPr>
      </w:pPr>
      <w:r>
        <w:rPr>
          <w:rFonts w:ascii="Arial" w:cs="Arial" w:eastAsia="Arial" w:hAnsi="Arial"/>
          <w:sz w:val="17"/>
          <w:szCs w:val="17"/>
          <w:color w:val="auto"/>
        </w:rPr>
        <w:t>The weighted average interest rate on the loans outstanding under our credit facilities for the year ended December 31, 2017 was 4.29%, compared to 3.73% for the year 2016. Please also refer to Note 7 (Long Term Debt) to the Financial Statements included herein.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income for the year ended December 31, 2017 amounted to $38.5 million compared to $52.5 million for the year ended December 31, 2016.</w:t>
      </w:r>
    </w:p>
    <w:p>
      <w:pPr>
        <w:spacing w:after="0" w:line="24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For a list of factors which we believe are important to consider when evaluating our results, please refer to the discussion under “—Factors to Consider When Evaluating Our Results” and “—Factors Affecting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Our results of operations for the years ended December 31, 2016 and 2015 differ primarily due to the expansion of our fleet and the resulting increase in the weighted average number of vessels.</w:t>
      </w:r>
    </w:p>
    <w:p>
      <w:pPr>
        <w:spacing w:after="0" w:line="17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On February 26 and October 24, 2016, we took delivery of the M/V CMA CGM Magdalena and the M/T Amor, respectively. On</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March 31, June 10, June 30 and September 18, 2015, we took delivery of the M/T Active, the M/V CMA CGM Amazon, the M/T Amadeus and the M/V CMA CGM Uruguay,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revenues, consisting of time, voyage and bareboat charter revenues, amounted to $241.6 million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$220.3 million for the year ended December 31, 2015. The increase of $21.3 million was primarily attributable to the increase in vessel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as the weighted average size of our fleet expanded by 2.9 vessels, partly offset by lower charter rates earned by certain of our vessels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charter rates earned during the year 2015. For the year ended December 31, 2016, related party revenues decreased to $36.0 million,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$63.7 million for the year ended December 31, 2015 as the average number of vessels chartered by Capital Maritime decreased by 5.3 vessels. Time, voyage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bareboat charter revenues are mainly comprised of the charter hires received from unaffiliated third-party charterers and Capital Maritime, and 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generally affected by the number of operating days, the weighted average number of vessels in our fleet and the charter rates.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Total voyage expenses amounted to $10.3 million for the year ended December 31, 2016, compared to $6.9 million for the year ended December 31, 2015. The $3.4 million increase in voyage expenses was primarily attributable to the expansion of our fleet, voyage expenses incurred by the M/T Arionas, which traded in the spot market from July to December 2016, bunkers consumed during idle periods and ballast voyages performed by certain of our vessels during the year relating primarily to their scheduled drydocking, as well as certain crew expenses of Brazilian crew we are required to employ pursuant to the time charter agreements we entered into with Petrobras and which are included in our voyage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For the year ended December 31, 2016 our total vessel operating expenses amounted to $77.5 million compared to $70.3 million during the year ended December 31, 2015. The $7.2 million increase in total vessel operating expenses was primarily attributable to the increase in the weighted average size of our fleet by 2.9 vessels during the year 2016 compared to the year 2015. Total vessel operating expenses for the year ended December 31, 2016 included expenses of $10.9 million, incurred under the management agreements we have with our Manager, compared to $11.7 million during the year ended December 31,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General and administrative expenses amounted to $6.3 million for the year ended December 31, 2016, compared to $6.6 million for the year ended December 31, 2015. General and administrative expenses include board of directors’ fees and expenses, audit and certain legal fees, and other fees related to the expenses of the publicly traded partnership.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Depreciation and amortization amounted to $71.9 million for the year ended December 31, 2016, compared to $62.7 million for the year ended December 31, 2015. The increase was due to the expansion of our fleet.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Total other expense, net for the year ended December 31, 2016 amounted to $23.2 million, compared to $18.4 million for the year ended December 31, 2015. The increase of $4.8 million mainly reflects the higher interest expense and finance costs of $24.3 million incurred during the year ended December 31, 2016, compared to $20.1 million during the year ended December 31, 2015, driven by an increase in the weighted average interest rate and principal amounts outstanding under our credit facilities.</w:t>
      </w:r>
    </w:p>
    <w:p>
      <w:pPr>
        <w:spacing w:after="0" w:line="187" w:lineRule="exact"/>
        <w:rPr>
          <w:sz w:val="20"/>
          <w:szCs w:val="20"/>
          <w:color w:val="auto"/>
        </w:rPr>
      </w:pPr>
    </w:p>
    <w:p>
      <w:pPr>
        <w:ind w:right="640" w:firstLine="913"/>
        <w:spacing w:after="0" w:line="308" w:lineRule="auto"/>
        <w:rPr>
          <w:sz w:val="20"/>
          <w:szCs w:val="20"/>
          <w:color w:val="auto"/>
        </w:rPr>
      </w:pPr>
      <w:r>
        <w:rPr>
          <w:rFonts w:ascii="Arial" w:cs="Arial" w:eastAsia="Arial" w:hAnsi="Arial"/>
          <w:sz w:val="17"/>
          <w:szCs w:val="17"/>
          <w:color w:val="auto"/>
        </w:rPr>
        <w:t>The weighted average interest rate on the loans outstanding under our credit facilities for the year ended December 31, 2016 was 3.73%, compared to 3.18% for the year 2015. Please also refer to Note 7 (Long Term Debt) to the Financial Statements included herein.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income for the year ended December 31, 2016 amounted to $52.5 million compared to $55.4 million for the year ended December 31, 2015.</w:t>
      </w:r>
    </w:p>
    <w:p>
      <w:pPr>
        <w:spacing w:after="0" w:line="393" w:lineRule="exact"/>
        <w:rPr>
          <w:sz w:val="20"/>
          <w:szCs w:val="20"/>
          <w:color w:val="auto"/>
        </w:rPr>
      </w:pPr>
    </w:p>
    <w:p>
      <w:pPr>
        <w:ind w:left="1920" w:hanging="440"/>
        <w:spacing w:after="0"/>
        <w:tabs>
          <w:tab w:leader="none" w:pos="19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As of December 31, 2017, total cash and cash equivalents were $63.3 million, and restricted cash (under our credit facilities) amounted to $18.0 million. As of December 31, 2017, there were no undrawn amounts under the terms of our credit facilities.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Generally, our primary sources of funds have been cash from operations, bank borrowings and securities offerings.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913"/>
        <w:spacing w:after="0" w:line="279" w:lineRule="auto"/>
        <w:rPr>
          <w:sz w:val="20"/>
          <w:szCs w:val="20"/>
          <w:color w:val="auto"/>
        </w:rPr>
      </w:pPr>
      <w:r>
        <w:rPr>
          <w:rFonts w:ascii="Arial" w:cs="Arial" w:eastAsia="Arial" w:hAnsi="Arial"/>
          <w:sz w:val="17"/>
          <w:szCs w:val="17"/>
          <w:color w:val="auto"/>
        </w:rPr>
        <w:t>Depending on the prevailing market rates when our charters expire, we may not be able to re-charter our vessels at levels similar to their current charters, which may affect our future cash flows from operations. Cash flows from operations may be further affected by other factors described elsewhere in this Annual Report. See “Item 3. Key Information—D. Risk Factors.” We expect 20 of our charters to expire in the coming 12 months compared to 12 charter expirations in 2017. 18 of these charter expirations relate to tanker vessels compared to ten tanker charter expirations in 2017.</w:t>
      </w:r>
    </w:p>
    <w:p>
      <w:pPr>
        <w:spacing w:after="0" w:line="17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Because we distribute all of our available cash (a contractually defined term, generally referring to cash on hand at the end of each quarter after provision for reserves), we generally rely upon external financing sources, including bank borrowings and securities offerings, to fund replacement, expansion and investment capital expenditures, and to refinance or repay outstanding indebtedness under our credit facilities. Since 2011, our board of directors has elected not to provision cash reserves for estimated replacement capital expenditures. Therefore, our ability to maintain and grow our asset base, including through further dropdown opportunities from Capital Maritime or acquisitions from third parties, and to pay or increase our distributions as well as to maintain a strong balance sheet depends on, among other things, our ability to obtain required financing, access financial markets and refinance part or all of our existing indebtedness on commercially acceptable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May 22, 2017, we entered into a firm offer letter contemplating the 2017 credit facility for an aggregate principal amount of up to</w:t>
      </w:r>
    </w:p>
    <w:p>
      <w:pPr>
        <w:spacing w:after="0" w:line="2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$460.0 million with a syndicate of lenders led by HSH and ING, as mandated lead arrangers and bookrunners, and BNP Paribas and National Bank of Greece S.A., as arrangers. On September 6, 2017, we entered into the loan agreement documenting the 2017 credit facility. On October 2, 2017, we repaid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$14.0 million outstanding under our 2011 credit facility through available cash. On October 4, 2017 (or the Drawdown Date), we drew the full amount of</w:t>
      </w:r>
    </w:p>
    <w:p>
      <w:pPr>
        <w:spacing w:after="0" w:line="21"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$460.0 million under the 2017 credit facility and, together with available cash of $102.2 million, fully repaid total indebtedness of $562.2 million consisting of (i) $186.0 million under our 2007 credit facility, (ii) $181.6 million under our 2008 credit facility and (iii) $194.6 million under our 2013 credit facility.</w:t>
      </w:r>
    </w:p>
    <w:p>
      <w:pPr>
        <w:spacing w:after="0" w:line="139"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2017 credit facility is comprised of two tranches. Tranche A, amounting to $259.0 million, is secured by 11 of our vessels and is required to be repaid in 24 equal quarterly instalments of $4.8 million in addition to a balloon instalment of $143.0 million, which is payable together with the final quarterly instalment in the fourth quarter of 2023. Tranche B, amounting to $201.0 million, is secured by 24 of our vessels and is required to be repaid fully in 24 equal quarterly instalments of $8.4 million with the final quarterly instalment in the fourth quarter of 2023. The first quarterly instalments under both tranches A and B were paid on January 4, 2018. The loans drawn under the 2017 credit facility bear interest at LIBOR plus a margin of 3.25%. The covenants under the credit facility are substantially similar to the covenants of our refinanced credit facilities and do not contain any restrictions on distributions to our unit holders in the absence of an event of default.</w:t>
      </w:r>
    </w:p>
    <w:p>
      <w:pPr>
        <w:spacing w:after="0" w:line="189"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table below presents our principal repayment schedule under our 2017 credit facility and the credit facility originally arranged by Capital Maritime in 2015 and assumed by us in 2016 (the “2015 credit facility”) as of December 31,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Facility</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3"/>
              </w:rPr>
              <w:t>(In millions of U.S. Dollars)</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22"/>
        </w:trPr>
        <w:tc>
          <w:tcPr>
            <w:tcW w:w="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2017 credit facility (1)</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186.7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2015 credit facility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53.0</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63.3</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186.7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475.8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8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principal repayment schedule of the 2017 credit facility reflects the estimated partial prepayment of $14.8 million of Tranche A in connection with the sale of the M/T Aristotelis in 2018.</w:t>
      </w:r>
    </w:p>
    <w:p>
      <w:pPr>
        <w:spacing w:after="0" w:line="17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April 2016, in the face of severely depressed trading prices for master limited partnerships, including us, a significant deterioration in our cost of capital and potential loss of revenue, our board of directors took the decision to protect our liquidity position by creating a capital reserve and setting distributions at a level that our board believes to be sustainable and consistent with the proper conduct of our business. We used cash accumulated as a result of quarterly allocations to our capital reserve to partially prepay our indebtedness as part of our refinancing in October 2017. We expect to continue to reserve cash in amounts necessary to service our debt in the future, including to make quarterly amortization payments. Please see “Item 8A: How We Make Cash Distributions” for further information on our cash distribution policy.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In September 2016, we entered into an equity distribution agreement with UBS. See above “Item 4A: History and Development of the Partnership—2016 Developments—At-the-market Offering.” For the period between the launch of the ATM offering and December 31, 2017, we issued 6.6 million new common units translating into net proceeds of $22.3 million (before offering expenses).</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Subject to our ability to obtain required financing and access financial markets, we expect to continue to evaluate opportunities to acquire vessels and businesses. Subject to the acquisition of the M/T Anikitos, which we expect to complete in March 2018, we currently have no capital commitments to purchase or build additional vessels. Five of our vessels are scheduled to undergo their special survey during 2018.</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Total partners’ capital as of December 31, 2017 amounted to $933.4 million compared to $927.8 million as of December 31, 2016, corresponding to an increase of $5.6 million. The increase primarily reflects net income of $38.5 million, net proceeds (after UBS’s commissions and offering expenses) of $17.6 million from the issuance of common units under our ATM offering and equity compensation expense of $1.2 million partially offset by $51.6 million of distributions declared and paid during the year ended December 31, 2017.</w:t>
      </w:r>
    </w:p>
    <w:p>
      <w:pPr>
        <w:spacing w:after="0" w:line="187" w:lineRule="exact"/>
        <w:rPr>
          <w:sz w:val="20"/>
          <w:szCs w:val="20"/>
          <w:color w:val="auto"/>
        </w:rPr>
      </w:pPr>
    </w:p>
    <w:p>
      <w:pPr>
        <w:ind w:right="520" w:firstLine="913"/>
        <w:spacing w:after="0" w:line="308" w:lineRule="auto"/>
        <w:rPr>
          <w:sz w:val="20"/>
          <w:szCs w:val="20"/>
          <w:color w:val="auto"/>
        </w:rPr>
      </w:pPr>
      <w:r>
        <w:rPr>
          <w:rFonts w:ascii="Arial" w:cs="Arial" w:eastAsia="Arial" w:hAnsi="Arial"/>
          <w:sz w:val="17"/>
          <w:szCs w:val="17"/>
          <w:color w:val="auto"/>
        </w:rPr>
        <w:t>Notwithstanding the global economic downturn that occurred in the last several years and subject to shipping, charter and financial market developments, we believe that our working capital will be sufficient to meet our existing liquidity needs for at least the next 12 months.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table summarizes our cash and cash equivalents provided by / (used in) operating, financing and investing activities for the years presented below,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2017</w:t>
            </w:r>
          </w:p>
        </w:tc>
        <w:tc>
          <w:tcPr>
            <w:tcW w:w="4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$155.1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spacing w:after="0"/>
              <w:rPr>
                <w:sz w:val="20"/>
                <w:szCs w:val="20"/>
                <w:color w:val="auto"/>
              </w:rPr>
            </w:pPr>
            <w:r>
              <w:rPr>
                <w:rFonts w:ascii="Arial" w:cs="Arial" w:eastAsia="Arial" w:hAnsi="Arial"/>
                <w:sz w:val="18"/>
                <w:szCs w:val="18"/>
                <w:color w:val="auto"/>
              </w:rPr>
              <w:t>$ (91.8)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(209.9)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(168.3)</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Net cash provided by operating activities was $127.0 million for the year ended December 31, 2017, compared to $155.1 million for the year ended December 31, 2016. The decrease of $28.1 million was mainly attributable to (a) the decrease of $7.9 million in cash from operations, which was attributable to, among other factors, lower charter rates affecting our revenues and an increase in our total expenses, including vessel voyage, operating and total other expenses, net, and (b) the negative effect of the changes in our operating assets and liabilities amounting to $22.8 million, which were partially offset by a decrease of $2.5 million in dry-docking costs. Changes in our operating assets and liabilities were driven mainly by a reduction in deferred revenue in the year ended December 31, 2017, compared to the year ended December 31, 2016, which was primarily due to the receipt of the proceeds from the sale of HMM common shares in 2016, which is amortizing on a straight line basis within revenue, partially offset by (a) a reduction in the amounts we reimbursed to our Manager for expenses paid on our behalf, (b) an increase in accrued liabilities, as accrued interest for the first period of interest under our 2017 credit facility became payable in January 2018, and (c) an increase in trade accounts payable.</w:t>
      </w:r>
    </w:p>
    <w:p>
      <w:pPr>
        <w:spacing w:after="0" w:line="182"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Net cash provided by operating activities increased to $155.1 million for the year ended December 31, 2016, compared to $134.2 million for the year ended December 31, 2015. The increase of $20.9 million was attributable to the increase by $7.3 million in cash from operations before changes to our operating assets and liabilities, mainly due to the expansion of our fleet, and the positive effect of the change in our operating assets and liabilities between the two periods amounting to $15.1 million, primarily due to the proceeds from the sale of the HMM common shares (see “Overview—Disposal of HMM shares”) partially offset by the increase in the amounts reimbursed by us to our Manager for expenses paid by our Manager on our behalf. The increase in cash provided by operating activities was also partially offset by a $1.6 million increase in drydocking costs paid during the year ended December 31, 2016 compared to the year ended December 31, 2015.</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For an explanation of why our historical net cash provided by operating activities is not indicative of net cash provided by operating activities to be expected in future periods, please refer to the discussion under “—Factors to Consider When Evaluating Our Results” and “—Factors Affecting our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cash used in investing activities refers primarily to cash used for vessel acquisitions and improvements.</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Net cash used in investing activities for the year ended December 31, 2017 decreased to $2.0 million compared to $91.8 million during the year ended December 31, 2016, principally because we acquired no vessels in 2017, compared with the acquisition of the shares of two vessel-owning companies during the year 2016. Following the acquisitions that occurred during the year 2016, restricted cash increased by $1.0 million. Cash consideration paid for vessel improvements during the year ended December 31, 2017 amounted to $2.0 million compared to $1.2 million during the year ended December 31, 2016.</w:t>
      </w:r>
    </w:p>
    <w:p>
      <w:pPr>
        <w:spacing w:after="0" w:line="18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Net cash used in investing activities for the year ended December 31, 2016 amounted to $91.8 million compared to $209.9 million during the year ended December 31, 2015. The decrease of $118.1 million in net cash flows used in investing activities was primarily attributable to the lower number of vessels acquired in the year ended December 31, 2016 compared to the year ended December 31, 2015. We paid $207.7 million for the acquisition of the shares of four vessel-owning companies during the year ended December 31, 2015, compared to $89.6 million for the acquisition of the shares of two vessel-owning companies during the year ended December 31, 2016. Following the acquisition of a lower number of vessels during the year ended December 31, 2016, restricted cash increased by $1.0 million compared to an increase of $2.0 million during the year ended December 31, 2015. Cash consideration paid for vessels improvements for the year ended December 31, 2016 increased by $1.0 million compared to the year ended December 31,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in)/Provided by Financing Activities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cash used in financing activities for the year ended December 31, 2017, was $168.3 million compared to $46.8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The increase of $121.5 million in net cash used in financing activities during 2017 was mainly attributable to the amounts prepaid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refinancing of our debt in October 2017 of $116.2 million and the decrease in proceeds from the issuance of long-term debt principally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because we acquired no additional vessels in 2017, compared to $35.0 million of proceeds from the issuance of long term debt to partially finance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of CMA CGM Magdalena in 2016, partially offset by a decrease of $16.6 million in distributions paid to our unit holders and the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$13.8 million in net proceeds from the issuance of common units under our ATM offering during the year 2017 compared to the year 2016. See “Overview—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Quarterly Cash Distributions on our Common Units.”</w:t>
      </w:r>
    </w:p>
    <w:p>
      <w:pPr>
        <w:spacing w:after="0" w:line="211"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Net cash used in financing activities for the year ended December 31, 2016, amounted to $46.8 million compared to net cash provided by financing activities for the year ended December 31, 2015 of $1.7 million. The decrease of $48.5 million was mainly attributable to the issuance of a lower number of common units which were sold at prevailing market prices and resulted in net proceeds (after offering expenses) of $3.8 million in the year ended December 31, 2016, compared to net proceeds from the issuance of common units of $132.6 million in the year ended December 31, 2015. In addition, proceeds from the incurrence of long-term debt to fund vessel acquisitions decreased by $80.0 million in the year ended December 31, 2016 compared to the year ended December, 31, 2015. Lower proceeds from the incurrence of debt were offset by a decrease of $103.9 million in debt principal amortization to $17.4 million in the year ended December 31, 2016 from $121.3 million in the year ended December 31, 2015, where we used part of the net proceeds from the issuance of common units to prepay debt. In addition, during the year ended December 31, 2016, distributions to our unit holders decreased by $54.6 million compared to the year ended December 31,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long-term third-party borrowings are reflected in our balance sheet as “Long-term debt, net” and as current liabilities in “Current portion of long-term debt, net.”</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As of December 31, 2017, our total borrowings were $475.8 million, consisting of (i) $460.0 million principal amount outstanding under our 2017 credit facility and (ii) $15.8 million principal amount outstanding under the 2015 credit facility.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2016, our total borrowings were $605.0 million, consisting of: (i) $186.0 million outstanding under our 2007 credit facility;</w:t>
      </w:r>
    </w:p>
    <w:p>
      <w:pPr>
        <w:spacing w:after="0" w:line="46" w:lineRule="exact"/>
        <w:rPr>
          <w:sz w:val="20"/>
          <w:szCs w:val="20"/>
          <w:color w:val="auto"/>
        </w:rPr>
      </w:pPr>
    </w:p>
    <w:p>
      <w:pPr>
        <w:ind w:right="280" w:firstLine="8"/>
        <w:spacing w:after="0" w:line="323" w:lineRule="auto"/>
        <w:tabs>
          <w:tab w:leader="none" w:pos="265" w:val="left"/>
        </w:tabs>
        <w:numPr>
          <w:ilvl w:val="0"/>
          <w:numId w:val="78"/>
        </w:numPr>
        <w:rPr>
          <w:rFonts w:ascii="Arial" w:cs="Arial" w:eastAsia="Arial" w:hAnsi="Arial"/>
          <w:sz w:val="16"/>
          <w:szCs w:val="16"/>
          <w:color w:val="auto"/>
        </w:rPr>
      </w:pPr>
      <w:r>
        <w:rPr>
          <w:rFonts w:ascii="Arial" w:cs="Arial" w:eastAsia="Arial" w:hAnsi="Arial"/>
          <w:sz w:val="16"/>
          <w:szCs w:val="16"/>
          <w:color w:val="auto"/>
        </w:rPr>
        <w:t>$181.6 million outstanding under our 2008 credit facility; (iii) $14.0 million outstanding under our 2011 credit facility; (iv) $207.6 million outstanding under our 2013 credit facility and (v) $15.8 million outstanding under the 2015 credit facility that was originally arranged by Capital Maritime.</w:t>
      </w:r>
    </w:p>
    <w:p>
      <w:pPr>
        <w:spacing w:after="0" w:line="139"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On January 17, 2018, we acquired from Capital Maritime the shares of the company owning the M/T Aristaios, for a total consideration of $52.5 million. We partially financed the acquisition with the assumption of a $28.3 million term loan under a credit facility previously arranged by Capital Maritime.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Our Credit Facilities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Aristaios credit facility</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term loan drawn under the Aristaios credit facility bears interest at LIBOR plus a margin of 2.85% and is payable in twelve consecutive semi-annual instalments of approximately $0.9 million beginning in July 2018, plus a balloon payment payable together with the last semi-annual instalment due in January 2024.</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2017 credit facility</w:t>
      </w:r>
    </w:p>
    <w:p>
      <w:pPr>
        <w:spacing w:after="0" w:line="11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On September 6, 2017, we entered into a loan agreement of up to $460.0 million which we drew on October 4, 2017. The 2017 credit facility is comprised of two tranches. Tranche A, amounting to $259.0 million, is secured by 11 of our vessels and is required to be repaid in 24 equal quarterly instalments of $4.8 million in addition to a balloon instalment of $143.0 million, which is payable together with the final quarterly instalment in the fourth quarter of 2023. Tranche B, amounting to $201.0 million, is secured by 24 of our vessels and is required to be repaid fully in 24 equal quarterly instalments of $8.4 million with the final quarterly instalment in the fourth quarter of 2023. The first quarterly instalments under both tranches A and B were paid on January 4, 2018. The loans drawn under the 2017 credit facility bear interest at LIBOR plus a margin of 3.25%.</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2015 credit facility</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On October 24, 2016, in connection with the acquisition of the M/T Amor, we assumed a $15.8 million loan drawn under the 2015 credit facility arranged by Capital Maritime. This loan bears interest at LIBOR plus a margin of 2.50% and is repayable in 17 equal quarterly instalments starting in October 2018 plus a balloon payment due on its final maturity date in November 2022.</w:t>
      </w:r>
    </w:p>
    <w:p>
      <w:pPr>
        <w:spacing w:after="0" w:line="18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All our credit facilities contain customary ship finance covenants, including restrictions as to changes in management and ownership of the mortgaged vessels, the incurrence of additional indebtedness and the mortgaging of vessels. Our credit facilities also contain financial covenants (i) to maintain minimum free consolidated liquidity of at least $0.5 million per collateralized vessel, (ii) to maintain a ratio of EBITDA (as defined in each credit facility) to net interest expense of at least 2.00 to 1.00 on a trailing four-quarter basis and (iii) not to exceed a specified maximum leverage ratio, in the form of a ratio of total net indebtedness to (fair value adjusted) total assets of 0.750 in the case of our 2017 credit facility and a ratio of total net indebtedness to the market value of the vessel of 0.725 (in the case of the 2015 credit facility and the Aristaios facility).</w:t>
      </w:r>
    </w:p>
    <w:p>
      <w:pPr>
        <w:spacing w:after="0" w:line="178"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In addition, our credit facilities require that we maintain a minimum security coverage ratio, usually defined as the ratio of the market value of the collateralized vessels or vessel and net realizable value of additional acceptable security to our outstanding loans under the credit facility. The security coverage ratio is 125% under our 2017 credit facility, 125% (as long as the vessel is under charter with Tesoro) and 140% (at all other times) under the Aristaios credit facility and 120% under the 2015 credit facility.</w:t>
      </w:r>
    </w:p>
    <w:p>
      <w:pPr>
        <w:spacing w:after="0" w:line="18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Under our credit facilities, the vessel owning companies may pay dividends or make distributions provided that no event of default has occurred and the payment of such dividend or distribution does not result in an event of default, including a breach of any of the financial covenants. Our credit facilities require the earnings, insurances and requisition compensation of the respective vessel or vessels to be assigned as collateral. Each also requires additional security, including pledge and charge on current account, corporate guarantee from each of the vessel owning companies and mortgage interest insurance.</w:t>
      </w:r>
    </w:p>
    <w:p>
      <w:pPr>
        <w:spacing w:after="0" w:line="18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Our obligations under our credit facilities are secured by first-priority mortgages covering our vessels and are guaranteed by each vessel owning company. Our credit facilities contain a “Market Disruption Clause,”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which the lenders may unilaterally trigger, requiring us to compensate the lenders for any increases to their funding costs caused by disruptions to the market. For the years ended December 31, 2017, 2016, and 2015, we did not incur additional interest expense due to the “Market Disruption Clause.”</w:t>
      </w:r>
    </w:p>
    <w:p>
      <w:pPr>
        <w:spacing w:after="0" w:line="14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As of December 31, 2017, we were in compliance with all financial debt covenants. Our ability to comply with the covenants and restrictions contained in our credit facilities and any other debt instruments we may enter into in the future may be affected by events beyond our control, including prevailing economic, financial and industry conditions, including interest rate developments, changes in the funding costs of our banks and changes in vessel earnings and vessel asset valuations. If market or other economic conditions deteriorate, our ability to comply with these covenants may be impaired. If we are in breach of any of the restrictions, covenants, ratios or tests in our credit facilities, we are unlikely to be able to make any distributions to our unitholders, a significant portion of our obligations may become immediately due and payable and our lenders’ commitment to make further loans to us, if any,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Any contemplated vessel acquisitions will have to be at levels that do not breach the required ratios set out above. The global economic downturn that occurred in the last several years has had an adverse effect on vessel values, and economic conditions remain fragile with significant uncertainty surrounding levels of recovery and long-term economic growth effects. If the estimated asset values of the vessels in our fleet decrease, we may be obligated to prepay part of our outstanding debt in order to remain in compliance with the relevant covenants in our credit facilities. A decline in the market value of our vessels could also affect our ability to refinance our credit facilities and/or limit our ability to obtain additional financing. A decrease of 10% in the aggregate fair market values of our vessels would not cause any violation of the total indebtedness to aggregate market value covenant contained in our credit facilities.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results of operations depend primarily on the charter hire rates that we are able to realize for our vessels, which depend on, among other things, the demand and supply dynamics characterizing the tanker, container and drybulk markets at any given time. For other trends affecting our business please see other discussions in “Item 5—Operating and Financial Review and Prospects—Management’s Discussion and Analysis of Financial Condition and Results of Operations.”</w:t>
      </w:r>
    </w:p>
    <w:p>
      <w:pPr>
        <w:spacing w:after="0" w:line="331" w:lineRule="exact"/>
        <w:rPr>
          <w:sz w:val="20"/>
          <w:szCs w:val="20"/>
          <w:color w:val="auto"/>
        </w:rPr>
      </w:pPr>
    </w:p>
    <w:p>
      <w:pPr>
        <w:ind w:left="1920" w:hanging="440"/>
        <w:spacing w:after="0"/>
        <w:tabs>
          <w:tab w:leader="none" w:pos="19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2017, we have not entered into any off-balance sheet arrangements.</w:t>
      </w:r>
    </w:p>
    <w:p>
      <w:pPr>
        <w:spacing w:after="0" w:line="370" w:lineRule="exact"/>
        <w:rPr>
          <w:sz w:val="20"/>
          <w:szCs w:val="20"/>
          <w:color w:val="auto"/>
        </w:rPr>
      </w:pPr>
    </w:p>
    <w:p>
      <w:pPr>
        <w:ind w:left="1920" w:hanging="440"/>
        <w:spacing w:after="0"/>
        <w:tabs>
          <w:tab w:leader="none" w:pos="19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long-term contractual obligations as of December 31, 2017 (in thousands of U.S.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Payment due by period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50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1-</w:t>
            </w:r>
          </w:p>
        </w:tc>
        <w:tc>
          <w:tcPr>
            <w:tcW w:w="280" w:type="dxa"/>
            <w:vAlign w:val="bottom"/>
          </w:tcPr>
          <w:p>
            <w:pPr>
              <w:spacing w:after="0"/>
              <w:rPr>
                <w:sz w:val="10"/>
                <w:szCs w:val="10"/>
                <w:color w:val="auto"/>
              </w:rPr>
            </w:pPr>
          </w:p>
        </w:tc>
        <w:tc>
          <w:tcPr>
            <w:tcW w:w="5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3-</w:t>
            </w:r>
          </w:p>
        </w:tc>
        <w:tc>
          <w:tcPr>
            <w:tcW w:w="26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3 years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$475.8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Interest Obligations (1)</w:t>
            </w:r>
          </w:p>
        </w:tc>
        <w:tc>
          <w:tcPr>
            <w:tcW w:w="620" w:type="dxa"/>
            <w:vAlign w:val="bottom"/>
            <w:gridSpan w:val="4"/>
          </w:tcPr>
          <w:p>
            <w:pPr>
              <w:jc w:val="right"/>
              <w:ind w:right="120"/>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22.1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(2)</w:t>
            </w:r>
          </w:p>
        </w:tc>
        <w:tc>
          <w:tcPr>
            <w:tcW w:w="6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605.8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160.7</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151.2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r>
              <w:rPr>
                <w:rFonts w:ascii="Arial" w:cs="Arial" w:eastAsia="Arial" w:hAnsi="Arial"/>
                <w:sz w:val="18"/>
                <w:szCs w:val="18"/>
                <w:b w:val="1"/>
                <w:bCs w:val="1"/>
                <w:u w:val="single" w:color="auto"/>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6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our 2017 and 2015 credit facilities, interest has been estimated based on the LIBOR Bloomberg forward rates and the margins as of December 31, 2017 of 3.25% and 2.5%,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302"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fees payable to Capital Ship Management represent fees for the provision of commercial and technical services such as crewing, repairs and maintenance, insurance, stores, spares and lubricants under our management agreements. Management fees under the floating fee and Crude Carriers management agreements have been increased annually based on the United States Consumer Price Index for October 2017. The amount of $7.6 million for payments due between three and five years has been calculated on the basis of the agreed expiration dates of our management agreements.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8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Critical accounting policies are those that reflect significant judgments or uncertainties, and which could potentially result in materially different results under different assumptions and conditions. We have described below what we believe are our most critical accounting policies. For a description of all of our significant accounting policies, see Note 2 (Significant Accounting Policies) to our Financial Statements included herein for more information.</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newbuildings. However, in recent years, market conditions have changed significantly as a result of the credit crisis and the resulting slowdown in world trade. Charter rates for vessels have decreased and vessel values have been affected. We consider these market developments as indicators of potential impairment of the carrying amount of our assets. We performed undiscounted cash flow tests as of December 31, 2017 and 2016, as an impairment analysis, in which we made estimates and assumptions relating to determining the projected undiscounted net operating cash flows by considering the following:</w:t>
      </w:r>
    </w:p>
    <w:p>
      <w:pPr>
        <w:spacing w:after="0" w:line="83" w:lineRule="exact"/>
        <w:rPr>
          <w:sz w:val="20"/>
          <w:szCs w:val="20"/>
          <w:color w:val="auto"/>
        </w:rPr>
      </w:pPr>
    </w:p>
    <w:p>
      <w:pPr>
        <w:ind w:left="1460" w:hanging="547"/>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charter revenues from existing time charters for the fixed fleet days (our remaining charter agreement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vessel operating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drydocking expenditures;</w:t>
      </w:r>
    </w:p>
    <w:p>
      <w:pPr>
        <w:spacing w:after="0" w:line="130"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estimated gross daily time charter equivalent for the unfixed days (based on the ten-year average historical one-year Time Charter Equivalent) over the remaining economic life of each vessel, excluding days of scheduled off-hires;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residual value of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commercial and technical management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utilization rate of 98.8% based on the fleet’s historical performance;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remaining estimated life of our vessels.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Although we believe that the assumptions used to evaluate potential impairment which are largely based on the historical performance of our fleet,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assumptions consider historical trends and our accounting policies are as follows:</w:t>
      </w:r>
    </w:p>
    <w:p>
      <w:pPr>
        <w:spacing w:after="0" w:line="131" w:lineRule="exact"/>
        <w:rPr>
          <w:sz w:val="20"/>
          <w:szCs w:val="20"/>
          <w:color w:val="auto"/>
        </w:rPr>
      </w:pPr>
    </w:p>
    <w:p>
      <w:pPr>
        <w:ind w:left="1460" w:right="16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accordance with the prevailing industry standard, depreciation is calculated using an estimated useful life of 25 years for our vessels, commencing at the date the vessel was originally delivered from the shipyard;</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estimated useful life of vessels takes into account design life, commercial considerations and regulatory restrictions based on our fleet’s historical performance;</w:t>
      </w:r>
    </w:p>
    <w:p>
      <w:pPr>
        <w:spacing w:after="0" w:line="75" w:lineRule="exact"/>
        <w:rPr>
          <w:rFonts w:ascii="Arial" w:cs="Arial" w:eastAsia="Arial" w:hAnsi="Arial"/>
          <w:sz w:val="18"/>
          <w:szCs w:val="18"/>
          <w:color w:val="auto"/>
        </w:rPr>
      </w:pPr>
    </w:p>
    <w:p>
      <w:pPr>
        <w:ind w:left="1460" w:right="20" w:hanging="547"/>
        <w:spacing w:after="0" w:line="264"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estimated charter rates are based on rates under existing vessel contracts and thereafter at market rates at which we expect we can re-charter our vessels based on market trends. We believe that the ten-year average historical Time Charter Equivalent is appropriate (or less than ten years if appropriate data is not available) for the following reasons:</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it reflects more accurately the earnings capacity of the type, specification, deadweight capacity and average age of our vessels;</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it reflects the type of business concluded by us (period as opposed to spot);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it includes at least one market cycle;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respective data series are adequately populated;</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estimates of vessel utilization, including estimated off-hire time and the estimated amount of time our vessels may spend operating on the spot market, based on the historical experience of our fleet;</w:t>
      </w:r>
    </w:p>
    <w:p>
      <w:pPr>
        <w:spacing w:after="0" w:line="75" w:lineRule="exact"/>
        <w:rPr>
          <w:rFonts w:ascii="Arial" w:cs="Arial" w:eastAsia="Arial" w:hAnsi="Arial"/>
          <w:sz w:val="18"/>
          <w:szCs w:val="18"/>
          <w:color w:val="auto"/>
        </w:rPr>
      </w:pPr>
    </w:p>
    <w:p>
      <w:pPr>
        <w:ind w:left="1460" w:right="60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estimates of operating expenses and drydocking expenditures are based on historical operating and drydocking costs based on the historical experience of our fleet and our expectations of future operating requirements;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vessel residual values are a product of a vessel’s lightweight tonnage and an estimated scrap rate of $180 per ton; and</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remaining estimated lives of our vessels used in our estimates of future cash flows are consistent with those used in our depreciation calculations.</w:t>
      </w:r>
    </w:p>
    <w:p>
      <w:pPr>
        <w:spacing w:after="0" w:line="170"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The impairment test that we conduct is most sensitive to variances in future time charter rates. Based on the sensitivity analysis performed for December 31, 2017 and 2016, we would begin recording impairment on the first vessel that will incur impairment by vessel type for time charter declines from their ten-year historical averages as follows:</w:t>
      </w: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Percentage Decline from which</w:t>
      </w:r>
    </w:p>
    <w:p>
      <w:pPr>
        <w:ind w:left="6620"/>
        <w:spacing w:after="0" w:line="231" w:lineRule="auto"/>
        <w:rPr>
          <w:sz w:val="20"/>
          <w:szCs w:val="20"/>
          <w:color w:val="auto"/>
        </w:rPr>
      </w:pPr>
      <w:r>
        <w:rPr>
          <w:rFonts w:ascii="Arial" w:cs="Arial" w:eastAsia="Arial" w:hAnsi="Arial"/>
          <w:sz w:val="14"/>
          <w:szCs w:val="14"/>
          <w:color w:val="auto"/>
        </w:rPr>
        <w:t>Impairment would be Recorded</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color w:val="auto"/>
                <w:w w:val="90"/>
              </w:rPr>
              <w:t>Year ended December 31, 2017</w:t>
            </w:r>
          </w:p>
        </w:tc>
        <w:tc>
          <w:tcPr>
            <w:tcW w:w="2300" w:type="dxa"/>
            <w:vAlign w:val="bottom"/>
            <w:tcBorders>
              <w:top w:val="single" w:sz="8" w:color="auto"/>
            </w:tcBorders>
            <w:gridSpan w:val="2"/>
          </w:tcPr>
          <w:p>
            <w:pPr>
              <w:ind w:left="460"/>
              <w:spacing w:after="0" w:line="142" w:lineRule="exact"/>
              <w:rPr>
                <w:sz w:val="20"/>
                <w:szCs w:val="20"/>
                <w:color w:val="auto"/>
              </w:rPr>
            </w:pPr>
            <w:r>
              <w:rPr>
                <w:rFonts w:ascii="Arial" w:cs="Arial" w:eastAsia="Arial" w:hAnsi="Arial"/>
                <w:sz w:val="14"/>
                <w:szCs w:val="14"/>
                <w:color w:val="auto"/>
                <w:w w:val="91"/>
              </w:rPr>
              <w:t>Year ended December 31, 2016</w:t>
            </w:r>
          </w:p>
        </w:tc>
        <w:tc>
          <w:tcPr>
            <w:tcW w:w="160" w:type="dxa"/>
            <w:vAlign w:val="bottom"/>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7"/>
              </w:rPr>
              <w:t>Vessel</w:t>
            </w:r>
          </w:p>
        </w:tc>
        <w:tc>
          <w:tcPr>
            <w:tcW w:w="334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2420" w:type="dxa"/>
            <w:vAlign w:val="bottom"/>
            <w:gridSpan w:val="2"/>
          </w:tcPr>
          <w:p>
            <w:pPr>
              <w:jc w:val="right"/>
              <w:ind w:right="460"/>
              <w:spacing w:after="0"/>
              <w:rPr>
                <w:sz w:val="20"/>
                <w:szCs w:val="20"/>
                <w:color w:val="auto"/>
              </w:rPr>
            </w:pPr>
            <w:r>
              <w:rPr>
                <w:rFonts w:ascii="Arial" w:cs="Arial" w:eastAsia="Arial" w:hAnsi="Arial"/>
                <w:sz w:val="18"/>
                <w:szCs w:val="18"/>
                <w:color w:val="auto"/>
              </w:rPr>
              <w:t>15.5%</w:t>
            </w:r>
          </w:p>
        </w:tc>
        <w:tc>
          <w:tcPr>
            <w:tcW w:w="2460" w:type="dxa"/>
            <w:vAlign w:val="bottom"/>
            <w:gridSpan w:val="3"/>
          </w:tcPr>
          <w:p>
            <w:pPr>
              <w:jc w:val="right"/>
              <w:ind w:right="20"/>
              <w:spacing w:after="0"/>
              <w:rPr>
                <w:sz w:val="20"/>
                <w:szCs w:val="20"/>
                <w:color w:val="auto"/>
              </w:rPr>
            </w:pPr>
            <w:r>
              <w:rPr>
                <w:rFonts w:ascii="Arial" w:cs="Arial" w:eastAsia="Arial" w:hAnsi="Arial"/>
                <w:sz w:val="18"/>
                <w:szCs w:val="18"/>
                <w:color w:val="auto"/>
              </w:rPr>
              <w:t>24.6%</w:t>
            </w: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2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2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420" w:type="dxa"/>
            <w:vAlign w:val="bottom"/>
            <w:gridSpan w:val="2"/>
          </w:tcPr>
          <w:p>
            <w:pPr>
              <w:jc w:val="right"/>
              <w:ind w:right="460"/>
              <w:spacing w:after="0"/>
              <w:rPr>
                <w:sz w:val="20"/>
                <w:szCs w:val="20"/>
                <w:color w:val="auto"/>
              </w:rPr>
            </w:pPr>
            <w:r>
              <w:rPr>
                <w:rFonts w:ascii="Arial" w:cs="Arial" w:eastAsia="Arial" w:hAnsi="Arial"/>
                <w:sz w:val="18"/>
                <w:szCs w:val="18"/>
                <w:color w:val="auto"/>
              </w:rPr>
              <w:t>49.0%</w:t>
            </w:r>
          </w:p>
        </w:tc>
        <w:tc>
          <w:tcPr>
            <w:tcW w:w="2460" w:type="dxa"/>
            <w:vAlign w:val="bottom"/>
            <w:gridSpan w:val="3"/>
          </w:tcPr>
          <w:p>
            <w:pPr>
              <w:jc w:val="right"/>
              <w:ind w:right="20"/>
              <w:spacing w:after="0"/>
              <w:rPr>
                <w:sz w:val="20"/>
                <w:szCs w:val="20"/>
                <w:color w:val="auto"/>
              </w:rPr>
            </w:pPr>
            <w:r>
              <w:rPr>
                <w:rFonts w:ascii="Arial" w:cs="Arial" w:eastAsia="Arial" w:hAnsi="Arial"/>
                <w:sz w:val="18"/>
                <w:szCs w:val="18"/>
                <w:color w:val="auto"/>
              </w:rPr>
              <w:t>59.6%</w:t>
            </w: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36.1%</w:t>
            </w:r>
          </w:p>
        </w:tc>
        <w:tc>
          <w:tcPr>
            <w:tcW w:w="2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2420" w:type="dxa"/>
            <w:vAlign w:val="bottom"/>
            <w:gridSpan w:val="2"/>
          </w:tcPr>
          <w:p>
            <w:pPr>
              <w:jc w:val="right"/>
              <w:ind w:right="460"/>
              <w:spacing w:after="0"/>
              <w:rPr>
                <w:sz w:val="20"/>
                <w:szCs w:val="20"/>
                <w:color w:val="auto"/>
              </w:rPr>
            </w:pPr>
            <w:r>
              <w:rPr>
                <w:rFonts w:ascii="Arial" w:cs="Arial" w:eastAsia="Arial" w:hAnsi="Arial"/>
                <w:sz w:val="18"/>
                <w:szCs w:val="18"/>
                <w:color w:val="auto"/>
              </w:rPr>
              <w:t>31.4%</w:t>
            </w:r>
          </w:p>
        </w:tc>
        <w:tc>
          <w:tcPr>
            <w:tcW w:w="2460" w:type="dxa"/>
            <w:vAlign w:val="bottom"/>
            <w:gridSpan w:val="3"/>
          </w:tcPr>
          <w:p>
            <w:pPr>
              <w:jc w:val="right"/>
              <w:ind w:right="20"/>
              <w:spacing w:after="0"/>
              <w:rPr>
                <w:sz w:val="20"/>
                <w:szCs w:val="20"/>
                <w:color w:val="auto"/>
              </w:rPr>
            </w:pPr>
            <w:r>
              <w:rPr>
                <w:rFonts w:ascii="Arial" w:cs="Arial" w:eastAsia="Arial" w:hAnsi="Arial"/>
                <w:sz w:val="18"/>
                <w:szCs w:val="18"/>
                <w:color w:val="auto"/>
              </w:rPr>
              <w:t>40.2%</w:t>
            </w: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41.0%</w:t>
            </w:r>
          </w:p>
        </w:tc>
        <w:tc>
          <w:tcPr>
            <w:tcW w:w="2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tcPr>
          <w:p>
            <w:pPr>
              <w:jc w:val="right"/>
              <w:ind w:right="1112"/>
              <w:spacing w:after="0"/>
              <w:rPr>
                <w:sz w:val="20"/>
                <w:szCs w:val="20"/>
                <w:color w:val="auto"/>
              </w:rPr>
            </w:pPr>
            <w:r>
              <w:rPr>
                <w:rFonts w:ascii="Arial" w:cs="Arial" w:eastAsia="Arial" w:hAnsi="Arial"/>
                <w:sz w:val="18"/>
                <w:szCs w:val="18"/>
                <w:color w:val="auto"/>
              </w:rPr>
              <w:t>98</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As of March 5, 2018 and December 31, 2017, our current rates for time charters on average were above / (below) their ten-year historical averages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960" w:type="dxa"/>
            <w:vAlign w:val="bottom"/>
            <w:gridSpan w:val="4"/>
          </w:tcPr>
          <w:p>
            <w:pPr>
              <w:jc w:val="right"/>
              <w:ind w:right="740"/>
              <w:spacing w:after="0"/>
              <w:rPr>
                <w:sz w:val="20"/>
                <w:szCs w:val="20"/>
                <w:color w:val="auto"/>
              </w:rPr>
            </w:pPr>
            <w:r>
              <w:rPr>
                <w:rFonts w:ascii="Arial" w:cs="Arial" w:eastAsia="Arial" w:hAnsi="Arial"/>
                <w:sz w:val="14"/>
                <w:szCs w:val="14"/>
                <w:color w:val="auto"/>
              </w:rPr>
              <w:t>Time Charter Rates as Compared with Ten-year</w:t>
            </w: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960" w:type="dxa"/>
            <w:vAlign w:val="bottom"/>
            <w:gridSpan w:val="4"/>
          </w:tcPr>
          <w:p>
            <w:pPr>
              <w:jc w:val="right"/>
              <w:ind w:right="680"/>
              <w:spacing w:after="0"/>
              <w:rPr>
                <w:sz w:val="20"/>
                <w:szCs w:val="20"/>
                <w:color w:val="auto"/>
              </w:rPr>
            </w:pPr>
            <w:r>
              <w:rPr>
                <w:rFonts w:ascii="Arial" w:cs="Arial" w:eastAsia="Arial" w:hAnsi="Arial"/>
                <w:sz w:val="14"/>
                <w:szCs w:val="14"/>
                <w:color w:val="auto"/>
              </w:rPr>
              <w:t>Historical Average (as percentage above/(below))</w:t>
            </w: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300" w:type="dxa"/>
            <w:vAlign w:val="bottom"/>
            <w:tcBorders>
              <w:top w:val="single" w:sz="8" w:color="auto"/>
            </w:tcBorders>
            <w:gridSpan w:val="2"/>
          </w:tcPr>
          <w:p>
            <w:pPr>
              <w:jc w:val="center"/>
              <w:ind w:right="1300"/>
              <w:spacing w:after="0" w:line="123" w:lineRule="exact"/>
              <w:rPr>
                <w:sz w:val="20"/>
                <w:szCs w:val="20"/>
                <w:color w:val="auto"/>
              </w:rPr>
            </w:pPr>
            <w:r>
              <w:rPr>
                <w:rFonts w:ascii="Arial" w:cs="Arial" w:eastAsia="Arial" w:hAnsi="Arial"/>
                <w:sz w:val="14"/>
                <w:szCs w:val="14"/>
                <w:color w:val="auto"/>
                <w:w w:val="97"/>
              </w:rPr>
              <w:t>As of March 5,</w:t>
            </w:r>
          </w:p>
        </w:tc>
        <w:tc>
          <w:tcPr>
            <w:tcW w:w="1400" w:type="dxa"/>
            <w:vAlign w:val="bottom"/>
            <w:tcBorders>
              <w:top w:val="single" w:sz="8" w:color="auto"/>
            </w:tcBorders>
          </w:tcPr>
          <w:p>
            <w:pPr>
              <w:jc w:val="right"/>
              <w:ind w:right="34"/>
              <w:spacing w:after="0" w:line="123" w:lineRule="exact"/>
              <w:rPr>
                <w:sz w:val="20"/>
                <w:szCs w:val="20"/>
                <w:color w:val="auto"/>
              </w:rPr>
            </w:pPr>
            <w:r>
              <w:rPr>
                <w:rFonts w:ascii="Arial" w:cs="Arial" w:eastAsia="Arial" w:hAnsi="Arial"/>
                <w:sz w:val="14"/>
                <w:szCs w:val="14"/>
                <w:color w:val="auto"/>
              </w:rPr>
              <w:t>As of December 31,</w:t>
            </w:r>
          </w:p>
        </w:tc>
        <w:tc>
          <w:tcPr>
            <w:tcW w:w="2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2018</w:t>
            </w:r>
          </w:p>
        </w:tc>
        <w:tc>
          <w:tcPr>
            <w:tcW w:w="12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14"/>
                <w:szCs w:val="14"/>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7"/>
              </w:rPr>
              <w:t>Vessel</w:t>
            </w:r>
          </w:p>
        </w:tc>
        <w:tc>
          <w:tcPr>
            <w:tcW w:w="4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2.2%</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23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(24.1)%</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52.4%</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35.3%</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2300" w:type="dxa"/>
            <w:vAlign w:val="bottom"/>
            <w:gridSpan w:val="2"/>
          </w:tcPr>
          <w:p>
            <w:pPr>
              <w:jc w:val="right"/>
              <w:ind w:right="1080"/>
              <w:spacing w:after="0"/>
              <w:rPr>
                <w:sz w:val="20"/>
                <w:szCs w:val="20"/>
                <w:color w:val="auto"/>
              </w:rPr>
            </w:pPr>
            <w:r>
              <w:rPr>
                <w:rFonts w:ascii="Arial" w:cs="Arial" w:eastAsia="Arial" w:hAnsi="Arial"/>
                <w:sz w:val="18"/>
                <w:szCs w:val="18"/>
                <w:color w:val="auto"/>
              </w:rPr>
              <w:t>(69.9)%</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(69.9)%</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43.1%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on the above assumptions we determined that the undiscounted cash flows support the vessels’ carrying amounts as of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2016.</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Please also read “Item 4B: Business Overview—Comparison of Possible Excess of Carrying Value Over Estimated Charter-Free Market Value of Certain Vessels” for additional information.</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2(q) (Significant Accounting Policies—Recent Accounting Pronouncements) to our Financial Statements included herein.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12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Our board of directors consists of seven persons, including two persons who are designated by our General Partner in its sole discretion and five directors who are elected by the common unitholders.</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93"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At our annual general meeting of unitholders held on September 8, 2017, Rory Hussey was elected to act as a Class I Director until the Partnership’s 2020 annual meeting of Limited Partners.</w:t>
      </w:r>
    </w:p>
    <w:p>
      <w:pPr>
        <w:spacing w:after="0" w:line="170" w:lineRule="exact"/>
        <w:rPr>
          <w:sz w:val="20"/>
          <w:szCs w:val="20"/>
          <w:color w:val="auto"/>
        </w:rPr>
      </w:pPr>
    </w:p>
    <w:p>
      <w:pPr>
        <w:jc w:val="both"/>
        <w:ind w:right="80" w:firstLine="913"/>
        <w:spacing w:after="0" w:line="302" w:lineRule="auto"/>
        <w:rPr>
          <w:sz w:val="20"/>
          <w:szCs w:val="20"/>
          <w:color w:val="auto"/>
        </w:rPr>
      </w:pPr>
      <w:r>
        <w:rPr>
          <w:rFonts w:ascii="Arial" w:cs="Arial" w:eastAsia="Arial" w:hAnsi="Arial"/>
          <w:sz w:val="16"/>
          <w:szCs w:val="16"/>
          <w:color w:val="auto"/>
        </w:rPr>
        <w:t>Vangelis Bairactaris resigned from his position as Class III Director and secretary with effect on February 28, 2018. The directors elected by our common unitholders, being Messrs. Forman, Hussey, Rasterhoff and Christacopoulos, resolved unanimously to elect Eleni Tsoukala to fill the vacancy, with effect on February 28, 2018, in accordance with the procedure established by the Partnership Agreement. Ms. Tsoukala will hold office as Class III Director until the Partnership’s 2019 annual meeting of the Limited Partners. Biographical information concerning Ms. Tsoukala is included below.</w:t>
      </w:r>
    </w:p>
    <w:p>
      <w:pPr>
        <w:spacing w:after="0" w:line="15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holders of the Class B Units have no right to vote for, elect or appoint any director, or to nominate any individual to stand for election or appointment as a director. However, if we fail to pay the minimum Class B Unit distribution for six or more quarters, the holders of the Class B Units will have the right to appoint a director to our board and, if such arrearages exist after March 1, 2018, to replace the directors appointed by our General Partner, in each case by the affirmative vote of the holders of a majority of the Class B Units, subject to exceptions and conditions contained in our partnership agreement.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Our General Partner intends to cause its officers to devote as much time as is necessary for the proper conduct of our business and affairs. Our General Partner’s Chief Executive Officer, Gerasimos (Jerry) Kalogiratos, Chief Operating Officer, Mr. Gerasimos Ventouris, and Chief Financial Officer, Mr. Nikolaos Kalapotharakos, allocate their time between managing our business and affairs and the business and affairs of Capital Maritime. The amount of time they allocate between our business and the businesses of Capital Maritime varies from time to time depending on various circumstances and needs of the businesses, such as the relative levels of strategic activities of the businesses.</w:t>
      </w:r>
    </w:p>
    <w:p>
      <w:pPr>
        <w:spacing w:after="0" w:line="18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Factors—Risks Inherent in an Investment in Us—Our partnership agreement limits our General Partner’s and our directors’ fiduciary duties to our unitholders and restricts the remedies available to unitholders for actions taken by our General Partner or our directors” for a more detailed description of such limitations.</w:t>
      </w:r>
    </w:p>
    <w:p>
      <w:pPr>
        <w:spacing w:after="0" w:line="311" w:lineRule="exact"/>
        <w:rPr>
          <w:sz w:val="20"/>
          <w:szCs w:val="20"/>
          <w:color w:val="auto"/>
        </w:rPr>
      </w:pPr>
    </w:p>
    <w:p>
      <w:pPr>
        <w:ind w:left="1920" w:hanging="440"/>
        <w:spacing w:after="0"/>
        <w:tabs>
          <w:tab w:leader="none" w:pos="19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Set forth below are the names, ages and positions of our directors and our General Partner’s executive officers as of March 5, 2018.</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4480" w:type="dxa"/>
            <w:vAlign w:val="bottom"/>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Keith Forman</w:t>
            </w:r>
            <w:r>
              <w:rPr>
                <w:rFonts w:ascii="Arial" w:cs="Arial" w:eastAsia="Arial" w:hAnsi="Arial"/>
                <w:sz w:val="15"/>
                <w:szCs w:val="15"/>
                <w:color w:val="auto"/>
              </w:rPr>
              <w:t>(4)</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 and Chairman of the Board</w:t>
            </w:r>
            <w:r>
              <w:rPr>
                <w:rFonts w:ascii="Arial" w:cs="Arial" w:eastAsia="Arial" w:hAnsi="Arial"/>
                <w:sz w:val="15"/>
                <w:szCs w:val="15"/>
                <w:color w:val="auto"/>
              </w:rPr>
              <w:t>(5)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Gerasimos (Jerry) Kalogiratos</w:t>
            </w:r>
            <w:r>
              <w:rPr>
                <w:rFonts w:ascii="Arial" w:cs="Arial" w:eastAsia="Arial" w:hAnsi="Arial"/>
                <w:sz w:val="15"/>
                <w:szCs w:val="15"/>
                <w:color w:val="auto"/>
              </w:rPr>
              <w:t>(1)</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4480" w:type="dxa"/>
            <w:vAlign w:val="bottom"/>
          </w:tcPr>
          <w:p>
            <w:pPr>
              <w:ind w:left="140"/>
              <w:spacing w:after="0"/>
              <w:rPr>
                <w:sz w:val="20"/>
                <w:szCs w:val="20"/>
                <w:color w:val="auto"/>
              </w:rPr>
            </w:pPr>
            <w:r>
              <w:rPr>
                <w:rFonts w:ascii="Arial" w:cs="Arial" w:eastAsia="Arial" w:hAnsi="Arial"/>
                <w:sz w:val="18"/>
                <w:szCs w:val="18"/>
                <w:color w:val="auto"/>
                <w:w w:val="91"/>
              </w:rPr>
              <w:t>Director and Chief Executive Officer of our General Partner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Gerasimos Ventouris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4480" w:type="dxa"/>
            <w:vAlign w:val="bottom"/>
          </w:tcPr>
          <w:p>
            <w:pPr>
              <w:ind w:left="140"/>
              <w:spacing w:after="0"/>
              <w:rPr>
                <w:sz w:val="20"/>
                <w:szCs w:val="20"/>
                <w:color w:val="auto"/>
              </w:rPr>
            </w:pPr>
            <w:r>
              <w:rPr>
                <w:rFonts w:ascii="Arial" w:cs="Arial" w:eastAsia="Arial" w:hAnsi="Arial"/>
                <w:sz w:val="18"/>
                <w:szCs w:val="18"/>
                <w:color w:val="auto"/>
              </w:rPr>
              <w:t>Chief Operating Officer of our General Partner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Nikolaos Kalapotharakos</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4480" w:type="dxa"/>
            <w:vAlign w:val="bottom"/>
          </w:tcPr>
          <w:p>
            <w:pPr>
              <w:ind w:left="140"/>
              <w:spacing w:after="0"/>
              <w:rPr>
                <w:sz w:val="20"/>
                <w:szCs w:val="20"/>
                <w:color w:val="auto"/>
              </w:rPr>
            </w:pPr>
            <w:r>
              <w:rPr>
                <w:rFonts w:ascii="Arial" w:cs="Arial" w:eastAsia="Arial" w:hAnsi="Arial"/>
                <w:sz w:val="18"/>
                <w:szCs w:val="18"/>
                <w:color w:val="auto"/>
              </w:rPr>
              <w:t>Chief Financial Officer of our General Partner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Gurpal Grewal</w:t>
            </w:r>
            <w:r>
              <w:rPr>
                <w:rFonts w:ascii="Arial" w:cs="Arial" w:eastAsia="Arial" w:hAnsi="Arial"/>
                <w:sz w:val="15"/>
                <w:szCs w:val="15"/>
                <w:color w:val="auto"/>
              </w:rPr>
              <w:t>(1)</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Rory Hussey</w:t>
            </w:r>
            <w:r>
              <w:rPr>
                <w:rFonts w:ascii="Arial" w:cs="Arial" w:eastAsia="Arial" w:hAnsi="Arial"/>
                <w:sz w:val="15"/>
                <w:szCs w:val="15"/>
                <w:color w:val="auto"/>
              </w:rPr>
              <w:t>(2)</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Abel Rasterhoff</w:t>
            </w:r>
            <w:r>
              <w:rPr>
                <w:rFonts w:ascii="Arial" w:cs="Arial" w:eastAsia="Arial" w:hAnsi="Arial"/>
                <w:sz w:val="15"/>
                <w:szCs w:val="15"/>
                <w:color w:val="auto"/>
              </w:rPr>
              <w:t>(3)</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Eleni Tsoukala</w:t>
            </w:r>
            <w:r>
              <w:rPr>
                <w:rFonts w:ascii="Arial" w:cs="Arial" w:eastAsia="Arial" w:hAnsi="Arial"/>
                <w:sz w:val="15"/>
                <w:szCs w:val="15"/>
                <w:color w:val="auto"/>
              </w:rPr>
              <w:t>(4)</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Dimitris P. Christacopoulos</w:t>
            </w:r>
            <w:r>
              <w:rPr>
                <w:rFonts w:ascii="Arial" w:cs="Arial" w:eastAsia="Arial" w:hAnsi="Arial"/>
                <w:sz w:val="15"/>
                <w:szCs w:val="15"/>
                <w:color w:val="auto"/>
              </w:rPr>
              <w:t>(3)</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Appointed by our General Partner.</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 director (term expires in 2020).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II director (term expires in 2018).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III director (term expires in 2019).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21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Biographical information with respect to each of our directors, our director nominees and our General Partner’s executive officers is set forth below. The business address for our executive officers is 3 Iassonos Street Piraeus, 18537 Greece.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Forman, Director and Chairman of the Board.</w:t>
      </w:r>
    </w:p>
    <w:p>
      <w:pPr>
        <w:spacing w:after="0" w:line="12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Mr. Forman is the chairman of our board of directors and a member of our conflicts committee and audit committee. Mr. Forman joined our board on April 3, 2007. Mr. Forman has held a number of executive, director and advisory positions at investment companies and master limited partnerships throughout his career. Since May 2012, Mr. Forman has been acting as a senior advisor to Industry Funds Management, an Australian fund manager investing in infrastructure projects worldwide.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master limited partnership. Mr. Forman holds a B.A. degree in economics and political science from Vanderbilt University.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Gerasimos (Jerry) Kalogiratos, Director and Chief Executive Officer.</w:t>
      </w:r>
    </w:p>
    <w:p>
      <w:pPr>
        <w:spacing w:after="0" w:line="121"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Mr. Kalogiratos was appointed as the Chief Executive and Chief Financial Officer of our General Partner on June 12, 2015 and remained as Chief Financial Officer until February 28, 2018, when he was succeeded by Mr. Nikolaos Kalapotharakos. He joined our board of directors in December 2014. Mr. Kalogiratos joined Capital Maritime &amp; Trading Corp. in 2005 and was part of the team that completed the IPO of Capital Product Partners L.P. in</w:t>
      </w:r>
    </w:p>
    <w:p>
      <w:pPr>
        <w:ind w:right="120"/>
        <w:spacing w:after="0" w:line="253" w:lineRule="auto"/>
        <w:rPr>
          <w:sz w:val="20"/>
          <w:szCs w:val="20"/>
          <w:color w:val="auto"/>
        </w:rPr>
      </w:pPr>
      <w:r>
        <w:rPr>
          <w:rFonts w:ascii="Arial" w:cs="Arial" w:eastAsia="Arial" w:hAnsi="Arial"/>
          <w:sz w:val="18"/>
          <w:szCs w:val="18"/>
          <w:color w:val="auto"/>
        </w:rPr>
        <w:t>2007. He has also served as Chief Financial Officer and director of NYSE-listed Crude Carriers Corp. before its merger with us in September 2011. He has over 11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Nikolaos Kalapotharakos, Chief Financial Officer.</w:t>
      </w:r>
    </w:p>
    <w:p>
      <w:pPr>
        <w:spacing w:after="0" w:line="121"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Mr. Kalapotharakos was appointed as Chief Financial Officer of our General Partner on February 28, 2018. Mr. Kalapotharakos joined Capital Maritime &amp; Trading Corp. in January 2016 as deputy Chief Financial Officer. He started his professional career in 2001 at PricewaterhouseCoopers (PwC) where he served as an external auditor specializing in shipping companies until 2007 before joining Globus Maritime Limited, a Nasdaq listed owner of drybulk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Gurpal Grewal, Director.</w:t>
      </w:r>
    </w:p>
    <w:p>
      <w:pPr>
        <w:spacing w:after="0" w:line="121" w:lineRule="exact"/>
        <w:rPr>
          <w:sz w:val="20"/>
          <w:szCs w:val="20"/>
          <w:color w:val="auto"/>
        </w:rPr>
      </w:pPr>
    </w:p>
    <w:p>
      <w:pPr>
        <w:ind w:right="400" w:firstLine="913"/>
        <w:spacing w:after="0" w:line="291" w:lineRule="auto"/>
        <w:rPr>
          <w:sz w:val="20"/>
          <w:szCs w:val="20"/>
          <w:color w:val="auto"/>
        </w:rPr>
      </w:pPr>
      <w:r>
        <w:rPr>
          <w:rFonts w:ascii="Arial" w:cs="Arial" w:eastAsia="Arial" w:hAnsi="Arial"/>
          <w:sz w:val="16"/>
          <w:szCs w:val="16"/>
          <w:color w:val="auto"/>
        </w:rPr>
        <w:t>Mr. Gurpal Grewal joined our board of directors on November 16, 2017, replacing Mr. Nikolaos Syntychakis who resigned as an Appointed Director of the Partnership. Mr. Gurpal Grewal currently serves as technical director of Capital Ship Management Corp., the Partnership’s manager.</w:t>
      </w:r>
    </w:p>
    <w:p>
      <w:pPr>
        <w:ind w:right="200"/>
        <w:spacing w:after="0" w:line="281" w:lineRule="auto"/>
        <w:rPr>
          <w:sz w:val="20"/>
          <w:szCs w:val="20"/>
          <w:color w:val="auto"/>
        </w:rPr>
      </w:pPr>
      <w:r>
        <w:rPr>
          <w:rFonts w:ascii="Arial" w:cs="Arial" w:eastAsia="Arial" w:hAnsi="Arial"/>
          <w:sz w:val="16"/>
          <w:szCs w:val="16"/>
          <w:color w:val="auto"/>
        </w:rPr>
        <w:t>Mr. Grewal is a chartered engineer and has over 35 years of experience in new building design, construction, and supervision of bulk carriers, tankers, LPG and LNG vessels. He previously served as technical director for both Quintana Shipping Co. and Marmaras Navigation Ltd. Between 2004 and 2008,</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Rory Hussey, Director.</w:t>
      </w:r>
    </w:p>
    <w:p>
      <w:pPr>
        <w:spacing w:after="0" w:line="12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Mr. Rory Hussey joined our board of directors on September 8, 2017 and serves on our conflicts committee and our audit committee. Mr. Hussey most recently served as a Managing Director of ING Bank N.V., in charge of ING’s ship finance business in Southern Europe and the Middle East.</w:t>
      </w:r>
    </w:p>
    <w:p>
      <w:pPr>
        <w:ind w:right="100"/>
        <w:spacing w:after="0" w:line="253" w:lineRule="auto"/>
        <w:rPr>
          <w:sz w:val="20"/>
          <w:szCs w:val="20"/>
          <w:color w:val="auto"/>
        </w:rPr>
      </w:pPr>
      <w:r>
        <w:rPr>
          <w:rFonts w:ascii="Arial" w:cs="Arial" w:eastAsia="Arial" w:hAnsi="Arial"/>
          <w:sz w:val="18"/>
          <w:szCs w:val="18"/>
          <w:color w:val="auto"/>
        </w:rPr>
        <w:t>Mr. Hussey retired from his position in July 2017.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in 2009. Mr. Hussey holds a M.Sc. (Econ) from the London School of Economics and Political Science.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Abel Rasterhoff, Director.</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w:t>
      </w:r>
    </w:p>
    <w:p>
      <w:pPr>
        <w:spacing w:after="0" w:line="5" w:lineRule="exact"/>
        <w:rPr>
          <w:sz w:val="20"/>
          <w:szCs w:val="20"/>
          <w:color w:val="auto"/>
        </w:rPr>
      </w:pPr>
    </w:p>
    <w:p>
      <w:pPr>
        <w:jc w:val="both"/>
        <w:ind w:right="660"/>
        <w:spacing w:after="0" w:line="255" w:lineRule="auto"/>
        <w:rPr>
          <w:sz w:val="20"/>
          <w:szCs w:val="20"/>
          <w:color w:val="auto"/>
        </w:rPr>
      </w:pPr>
      <w:r>
        <w:rPr>
          <w:rFonts w:ascii="Arial" w:cs="Arial" w:eastAsia="Arial" w:hAnsi="Arial"/>
          <w:sz w:val="18"/>
          <w:szCs w:val="18"/>
          <w:color w:val="auto"/>
        </w:rPr>
        <w:t>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Eleni Tsoukala, Director and Secretary.</w:t>
      </w:r>
    </w:p>
    <w:p>
      <w:pPr>
        <w:spacing w:after="0" w:line="12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Ms. Tsoukala was appointed to our board of directors on February 28, 2018.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Dimitris P. Christacopoulos, Director.</w:t>
      </w:r>
    </w:p>
    <w:p>
      <w:pPr>
        <w:spacing w:after="0" w:line="12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Mr. Christacopoulos joined our board of directors on September 30, 2011, following our merger with NYSE-listed Crude Carriers, where he had served as a director since 2010 and he currently serves on our conflicts committee and our audit committee.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Gerasimos Ventouris, Chief Operating Officer.</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Mr. Ventouris has been appointed as our Chief Operating Officer as of June 30, 2015. Mr. Ventouris has been the Chief Commercial Officer of our Manager since 2003 and brings more than 40 years of experience in the shipping industry. Mr. Ventouris started his career with Union Commercial Steamship, which was one of the most prominent ship management companies in Piraeus, Greece at the time, and ascended to the position of Operations and Chartering Manager and obtained considerable experience in all aspects of the management of various types of vessels. He then joined his family shipping business, which he led until 2000, overseeing the operations of a large fleet of bulk carriers, container general cargo and product tankers vessels, as well as the construction and sale and purchase of new vessels. Mr. Ventouris holds a bachelor’s degree in Economics from the University of Athens.</w:t>
      </w:r>
    </w:p>
    <w:p>
      <w:pPr>
        <w:spacing w:after="0" w:line="309" w:lineRule="exact"/>
        <w:rPr>
          <w:sz w:val="20"/>
          <w:szCs w:val="20"/>
          <w:color w:val="auto"/>
        </w:rPr>
      </w:pPr>
    </w:p>
    <w:p>
      <w:pPr>
        <w:ind w:left="1920" w:hanging="440"/>
        <w:spacing w:after="0"/>
        <w:tabs>
          <w:tab w:leader="none" w:pos="19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Reimbursement of Expenses of Our General Partner</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and our General Partner were formed in January 2007. Prior to April 3, 2007, neither we nor our General Partner paid any compensation to our directors or our General Partner’s officers, nor accrued any obligations with respect to management incentive or retirement benefits for our directors or our General Partner’s officers. The compensation of our General Partner’s Chief Executive Officer, Chief Financial Officer, and Chief Operating Officer is set and paid by our General Partner, and we reimburse our General Partner for such costs and related expenses under relevant executive service agreements. We do not have a retirement plan for our General Partner’s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300" w:firstLine="913"/>
        <w:spacing w:after="0" w:line="255" w:lineRule="auto"/>
        <w:rPr>
          <w:sz w:val="20"/>
          <w:szCs w:val="20"/>
          <w:color w:val="auto"/>
        </w:rPr>
      </w:pPr>
      <w:r>
        <w:rPr>
          <w:rFonts w:ascii="Arial" w:cs="Arial" w:eastAsia="Arial" w:hAnsi="Arial"/>
          <w:sz w:val="18"/>
          <w:szCs w:val="18"/>
          <w:color w:val="auto"/>
        </w:rPr>
        <w:t>Our directors receive compensation for their services as directors, as well as for serving in the role of committee chair, and have also received restricted units. Please read “Item 6E: Share Ownership—Omnibus Incentive Compensation Plan” for additional information. For the year ended December 31, 2017, our directors, including our chairman, received an aggregate amount of $0.5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121"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Under separate service agreements entered into between our General Partner and its Chief Executive Officer and Chief Operating Officer, if a change in control affecting us occurs, each of our General Partner’s officers may resign within six months of such change in control. There are no service agreements between any of the directors and us.</w:t>
      </w:r>
    </w:p>
    <w:p>
      <w:pPr>
        <w:spacing w:after="0" w:line="326" w:lineRule="exact"/>
        <w:rPr>
          <w:sz w:val="20"/>
          <w:szCs w:val="20"/>
          <w:color w:val="auto"/>
        </w:rPr>
      </w:pPr>
    </w:p>
    <w:p>
      <w:pPr>
        <w:ind w:left="1920" w:hanging="440"/>
        <w:spacing w:after="0"/>
        <w:tabs>
          <w:tab w:leader="none" w:pos="19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Our General Partner, Capital GP L.L.C., manages our day-to-day activities consistent with the policies and procedures adopted by our board of directors.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6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During the year ended December 31, 2017, our board of directors held eight meetings. Even if Board members are not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Although the Nasdaq Global Select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18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The audit committee of our board of directors is composed of three or more independent directors, each of whom must meet</w:t>
      </w:r>
      <w:r>
        <w:rPr>
          <w:rFonts w:ascii="Arial" w:cs="Arial" w:eastAsia="Arial" w:hAnsi="Arial"/>
          <w:sz w:val="17"/>
          <w:szCs w:val="17"/>
          <w:i w:val="1"/>
          <w:iCs w:val="1"/>
          <w:color w:val="auto"/>
        </w:rPr>
        <w:t xml:space="preserve"> </w:t>
      </w:r>
      <w:r>
        <w:rPr>
          <w:rFonts w:ascii="Arial" w:cs="Arial" w:eastAsia="Arial" w:hAnsi="Arial"/>
          <w:sz w:val="17"/>
          <w:szCs w:val="17"/>
          <w:color w:val="auto"/>
        </w:rPr>
        <w:t>the independence standards of the Nasdaq Global Select Market, the SEC and any other applicable laws and regulations governing independence from time to time. The audit committee is currently comprised of directors Abel Rasterhoff (chair), Rory Hussey, Keith Forman and Dimitris Christacopoulos.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2017, on January 18, April 20, July 20 and October 19.</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The conflicts committee of our board of directors is composed of the same directors constituting the audit committee, being</w:t>
      </w:r>
      <w:r>
        <w:rPr>
          <w:rFonts w:ascii="Arial" w:cs="Arial" w:eastAsia="Arial" w:hAnsi="Arial"/>
          <w:sz w:val="17"/>
          <w:szCs w:val="17"/>
          <w:i w:val="1"/>
          <w:iCs w:val="1"/>
          <w:color w:val="auto"/>
        </w:rPr>
        <w:t xml:space="preserve"> </w:t>
      </w:r>
      <w:r>
        <w:rPr>
          <w:rFonts w:ascii="Arial" w:cs="Arial" w:eastAsia="Arial" w:hAnsi="Arial"/>
          <w:sz w:val="17"/>
          <w:szCs w:val="17"/>
          <w:color w:val="auto"/>
        </w:rPr>
        <w:t>Keith Forman (chair), Abel Rasterhoff, Rory Hussey and Dimitris Christacopoulos. The members of our conflicts committee may not be officers or employees of our General Partner or directors, officers or employees of its affiliates, and must meet the independence standards established by 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three times during the year ended December 31, 2017, on March 16, August 24 and October 23.</w:t>
      </w:r>
    </w:p>
    <w:p>
      <w:pPr>
        <w:spacing w:after="0" w:line="324" w:lineRule="exact"/>
        <w:rPr>
          <w:sz w:val="20"/>
          <w:szCs w:val="20"/>
          <w:color w:val="auto"/>
        </w:rPr>
      </w:pPr>
    </w:p>
    <w:p>
      <w:pPr>
        <w:ind w:left="1920" w:hanging="440"/>
        <w:spacing w:after="0"/>
        <w:tabs>
          <w:tab w:leader="none" w:pos="19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currently do not have our own executive officers or employees and expect to rely on the officers of our General Partner to manage our day-to-day activities consistent with the policies and procedures adopted by our board of directors. All of the executive officers of our General Partner and one of our directors also are executive officers, directors or employees of affiliates of Capital Maritime.</w:t>
      </w:r>
    </w:p>
    <w:p>
      <w:pPr>
        <w:spacing w:after="0" w:line="326" w:lineRule="exact"/>
        <w:rPr>
          <w:sz w:val="20"/>
          <w:szCs w:val="20"/>
          <w:color w:val="auto"/>
        </w:rPr>
      </w:pPr>
    </w:p>
    <w:p>
      <w:pPr>
        <w:ind w:left="1920" w:hanging="440"/>
        <w:spacing w:after="0"/>
        <w:tabs>
          <w:tab w:leader="none" w:pos="19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2017:</w:t>
      </w:r>
    </w:p>
    <w:p>
      <w:pPr>
        <w:spacing w:after="0" w:line="131" w:lineRule="exact"/>
        <w:rPr>
          <w:sz w:val="20"/>
          <w:szCs w:val="20"/>
          <w:color w:val="auto"/>
        </w:rPr>
      </w:pPr>
    </w:p>
    <w:p>
      <w:pPr>
        <w:ind w:left="1460" w:right="80" w:hanging="547"/>
        <w:spacing w:after="0" w:line="277" w:lineRule="auto"/>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850,000 restricted common units had been issued under our Plan (described below) out of which 304,998 had vested as of December 31, 2017;</w:t>
      </w:r>
    </w:p>
    <w:p>
      <w:pPr>
        <w:spacing w:after="0" w:line="75" w:lineRule="exact"/>
        <w:rPr>
          <w:rFonts w:ascii="Arial" w:cs="Arial" w:eastAsia="Arial" w:hAnsi="Arial"/>
          <w:sz w:val="18"/>
          <w:szCs w:val="18"/>
          <w:color w:val="auto"/>
        </w:rPr>
      </w:pPr>
    </w:p>
    <w:p>
      <w:pPr>
        <w:ind w:left="1460" w:right="20" w:hanging="547"/>
        <w:spacing w:after="0" w:line="293" w:lineRule="auto"/>
        <w:tabs>
          <w:tab w:leader="none" w:pos="1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in August 2010 and December 2015 to all members then-serving on our board of directors under the terms of our Plan (described below), which such members may be deemed to beneficially own, or to have beneficially owned. A portion of shares issued to our director Dimitris Christacopoulos, when he was a member of the board of directors of Crude Carriers, converted to common units in us in the same manner as all shares converted under the terms of our merger agreement. No member of our board of directors owns common or restricted units in a number representing more than 1.0% of our outstanding common units; and</w:t>
      </w:r>
    </w:p>
    <w:p>
      <w:pPr>
        <w:spacing w:after="0" w:line="70" w:lineRule="exact"/>
        <w:rPr>
          <w:rFonts w:ascii="Arial" w:cs="Arial" w:eastAsia="Arial" w:hAnsi="Arial"/>
          <w:sz w:val="16"/>
          <w:szCs w:val="16"/>
          <w:color w:val="auto"/>
        </w:rPr>
      </w:pPr>
    </w:p>
    <w:p>
      <w:pPr>
        <w:ind w:left="1460" w:hanging="547"/>
        <w:spacing w:after="0" w:line="264" w:lineRule="auto"/>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beneficial ownership of Capital Maritime and Crude Carriers Investments, may be deemed to beneficially own, or to have beneficially owned, all of our common units held by Capital Maritime and Crude Carriers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Incentive Compensation Plan</w:t>
      </w:r>
    </w:p>
    <w:p>
      <w:pPr>
        <w:spacing w:after="0" w:line="121"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On April 29, 2008, our board of directors adopted an Omnibus Incentive Compensation Plan, also referred to as the Plan in this Annual Report, according to which we may issue a limited number of awards to our employees, consultants, officers, directors or affiliates, including the employees, consultants, officers or directors of our General Partner, our Manager, Capital Maritime and certain key affiliates and other eligible persons. Awards may be made in the form of incentive stock options, non-qualified stock options, stock appreciation rights, dividend equivalent rights, restricted stock, unrestricted stock, restricted stock units and performance shares. The Plan is administered by our General Partner as authorized by our board of directors.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July 22, 2010, our board of directors amended the Plan to increase the aggregate number of restricted units issuable under the Plan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800,000.</w:t>
      </w:r>
    </w:p>
    <w:p>
      <w:pPr>
        <w:spacing w:after="0" w:line="21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On August 31, 2010, we, either directly or through our General Partner, issued 795,200 (or 2% of our total units outstanding as of December 31, 2010) of the 800,000 units authorized under the Plan. Awards were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issued to all members of our board of directors, to officers of our General Partner, our Manager, Capital Maritime and to employees of certain key affiliates and other eligible persons, with the majority vesting three years from the date of issuance, except for awards issued to certain members of our board of directors which vested in equal annual installments over a three-year period.</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On August 31, 2013, the units previously issued pursuant to the Plan fully vested and as of December 31, 2013, there were no incentive awards outstanding under the Plan.</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Following approval of our unitholders at our 2014 annual meeting, on August 21, 2014, our board of directors amended the Plan to increase the aggregate number of restricted units issuable under the Plan to 1,650,000 from 800,000.</w:t>
      </w:r>
    </w:p>
    <w:p>
      <w:pPr>
        <w:spacing w:after="0" w:line="17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On December 23, 2015, the Partnership awarded 850,000 unvested units to all members of our board of directors, to officers of our General Partner, our Manager, Capital Maritime, and to employees of certain key affiliates and other eligible persons, with the majority vesting three years from the date of issuance.</w:t>
      </w:r>
    </w:p>
    <w:p>
      <w:pPr>
        <w:spacing w:after="0" w:line="18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All awards issued under our Plan are conditional upon the grantee’s continued service until the applicable vesting date and all awards accrue distributions payable upon vesting. Please read Note 13 (Omnibus Incentive Compensation Plan) to our Financial Statements included herein for more information.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Related-Party Transactions.</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As of December 31, 2017, our partners’ capital consisted of 127,246,692 common units, of which 106,670,714 were owned by non-affiliated public unitholders, 12,983,333 Class B Units, no subordinated units and 2,439,989 general partner units. The Marinakis family, including Evangelos M. Marinakis, our former chairman, may be deemed to beneficially own on a fully converted basis a 16.1% interest in us (17.7% on a non-fully converted basis), through, among others, Capital Maritime, which may be deemed to beneficially own a 13.8% interest in us, including 17,291,768 common units and a 1.7% interest in us (1.9% on a non-fully converted basis) through its ownership of our General Partner, and Crude Carriers Investments, which may be deemed to beneficially own a 2.3% interest in us.</w:t>
      </w:r>
    </w:p>
    <w:p>
      <w:pPr>
        <w:spacing w:after="0" w:line="338"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Major Unitholders</w:t>
      </w:r>
    </w:p>
    <w:p>
      <w:pPr>
        <w:spacing w:after="0" w:line="121" w:lineRule="exact"/>
        <w:rPr>
          <w:sz w:val="20"/>
          <w:szCs w:val="20"/>
          <w:color w:val="auto"/>
        </w:rPr>
      </w:pPr>
    </w:p>
    <w:p>
      <w:pPr>
        <w:jc w:val="both"/>
        <w:ind w:right="200" w:firstLine="913"/>
        <w:spacing w:after="0" w:line="302" w:lineRule="auto"/>
        <w:rPr>
          <w:sz w:val="20"/>
          <w:szCs w:val="20"/>
          <w:color w:val="auto"/>
        </w:rPr>
      </w:pPr>
      <w:r>
        <w:rPr>
          <w:rFonts w:ascii="Arial" w:cs="Arial" w:eastAsia="Arial" w:hAnsi="Arial"/>
          <w:sz w:val="16"/>
          <w:szCs w:val="16"/>
          <w:color w:val="auto"/>
        </w:rPr>
        <w:t>The following table sets forth as of the date hereof, the beneficial ownership of our common units by each person we know beneficially owns more than 5.0% or more of our common units,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Common</w:t>
            </w:r>
          </w:p>
        </w:tc>
        <w:tc>
          <w:tcPr>
            <w:tcW w:w="2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Percentage of Total</w:t>
            </w:r>
          </w:p>
        </w:tc>
        <w:tc>
          <w:tcPr>
            <w:tcW w:w="0" w:type="dxa"/>
            <w:vAlign w:val="bottom"/>
          </w:tcPr>
          <w:p>
            <w:pPr>
              <w:spacing w:after="0"/>
              <w:rPr>
                <w:sz w:val="1"/>
                <w:szCs w:val="1"/>
                <w:color w:val="auto"/>
              </w:rPr>
            </w:pPr>
          </w:p>
        </w:tc>
      </w:tr>
      <w:tr>
        <w:trPr>
          <w:trHeight w:val="191"/>
        </w:trPr>
        <w:tc>
          <w:tcPr>
            <w:tcW w:w="4260" w:type="dxa"/>
            <w:vAlign w:val="bottom"/>
            <w:tcBorders>
              <w:bottom w:val="single" w:sz="8" w:color="CCEEFF"/>
            </w:tcBorders>
            <w:gridSpan w:val="2"/>
            <w:vMerge w:val="continue"/>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Units Owned</w:t>
            </w:r>
          </w:p>
        </w:tc>
        <w:tc>
          <w:tcPr>
            <w:tcW w:w="8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Common Units</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Capital Maritime (1)(2)</w:t>
            </w:r>
          </w:p>
        </w:tc>
        <w:tc>
          <w:tcPr>
            <w:tcW w:w="26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17,291,768</w:t>
            </w:r>
          </w:p>
        </w:tc>
        <w:tc>
          <w:tcPr>
            <w:tcW w:w="8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Crude Carriers Investments (2)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3,284,210</w:t>
            </w:r>
          </w:p>
        </w:tc>
        <w:tc>
          <w:tcPr>
            <w:tcW w:w="220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 and directors as a group</w:t>
            </w:r>
          </w:p>
        </w:tc>
        <w:tc>
          <w:tcPr>
            <w:tcW w:w="9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 persons) (3)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20" w:hanging="452"/>
        <w:spacing w:after="0" w:line="25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Excludes the 1.9% general partner interest (1.7% on a fully converted basis) held by our General Partner, a wholly owned subsidiary of Capital Maritime.</w:t>
      </w:r>
    </w:p>
    <w:p>
      <w:pPr>
        <w:spacing w:after="0" w:line="1" w:lineRule="exact"/>
        <w:rPr>
          <w:rFonts w:ascii="Arial" w:cs="Arial" w:eastAsia="Arial" w:hAnsi="Arial"/>
          <w:sz w:val="18"/>
          <w:szCs w:val="18"/>
          <w:color w:val="auto"/>
        </w:rPr>
      </w:pPr>
    </w:p>
    <w:p>
      <w:pPr>
        <w:ind w:left="460" w:right="66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ownership of Capital Maritime and Crude Carriers Investments, may be deemed to beneficially own, or to have beneficially owned, all of our units held by Capital Maritime and Crude Carriers Investments.</w:t>
      </w:r>
    </w:p>
    <w:p>
      <w:pPr>
        <w:spacing w:after="0" w:line="1" w:lineRule="exact"/>
        <w:rPr>
          <w:rFonts w:ascii="Arial" w:cs="Arial" w:eastAsia="Arial" w:hAnsi="Arial"/>
          <w:sz w:val="18"/>
          <w:szCs w:val="18"/>
          <w:color w:val="auto"/>
        </w:rPr>
      </w:pPr>
    </w:p>
    <w:p>
      <w:pPr>
        <w:ind w:left="460" w:hanging="452"/>
        <w:spacing w:after="0" w:line="29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in August 2010 to all members then-serving on our board of directors under the terms of our Plan, which such members may be deemed to beneficially own, or to have beneficially owned. The shares issued to our director Dimitris Christacopoulos, when he was a member of the board of directors of Crude Carriers, converted to common units in us in the same manner as all shares converted at the time of our merger with Crude Carriers. No member of our board of directors owns common or restricted units in a number representing more than 1% of our outstanding common units.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major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unitholders of the same class holding less than 4.9% of the voting power of that class. We are not aware of any arrangements, the operation of which may at a subsequent date result in a change in control of the Partnership.</w:t>
      </w:r>
    </w:p>
    <w:p>
      <w:pPr>
        <w:spacing w:after="0" w:line="80" w:lineRule="exact"/>
        <w:rPr>
          <w:sz w:val="20"/>
          <w:szCs w:val="20"/>
          <w:color w:val="auto"/>
        </w:rPr>
      </w:pPr>
    </w:p>
    <w:p>
      <w:pPr>
        <w:ind w:left="1920" w:hanging="440"/>
        <w:spacing w:after="0"/>
        <w:tabs>
          <w:tab w:leader="none" w:pos="19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Capital Maritime’s ability, as sole member of our General Partner, to control the appointment of three of the members of our board of directors and to approve certain significant actions we may take, as well as its ownership of 13.6% of our common units, which it can vote in their totality on all matters that arise under the partnership agreement (except for the election of directors elected by holders of our common units), means that Capital Maritime, together with its affiliates, will have the ability to exercise significant influence regarding our management and may be able to propose amendments to the partnership agreement that are in its best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 with Capital Maritime</w:t>
      </w:r>
    </w:p>
    <w:p>
      <w:pPr>
        <w:spacing w:after="0" w:line="117"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On September 30, 2011, we entered into an amended and restated Omnibus Agreement with Capital Maritime, Capital GP L.L.C and Capital Product Operating L.L.C., which governs the manner in which certain future tanker business opportunities will be offered by Capital Maritime to us. The Omnibus Agreement does not apply to container and drybulk vessels.</w:t>
      </w:r>
    </w:p>
    <w:p>
      <w:pPr>
        <w:spacing w:after="0" w:line="181"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Under the terms of the Omnibus Agreement, Capital Maritime and its controlled affiliates (other than us, our General Partner and our subsidiaries) have agreed not to acquire, own or operate product or crude oil tankers with carrying capacity greater than or equal to 30,000 dwt under time or bareboat charters with a remaining duration (excluding any extension options) of at least 12 months (calculated by reference to the earliest of (a) the date the tanker to which such time or bareboat charter is attached is first acquired by Capital Maritime or any of its controlled affiliates and (b) the date on which a tanker owned by Capital Maritime or any of its controlled affiliates is put under such time or bareboat charter) without the consent of our General Partner or our board of directors or without first offering such tanker vessel to us. Similarly, we may not acquire, own or operate product or crude oil tankers with a carrying capacity under 30,000 dwt, other than vessels we had owned prior to the date of the Omnibus Agreement, without first offering such tanker vessel to Capital Maritime.</w:t>
      </w:r>
    </w:p>
    <w:p>
      <w:pPr>
        <w:spacing w:after="0" w:line="192"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Furthermore, we granted Capital Maritime a right of first offer on the disposal of product and crude oil tankers, whereas Capital Maritime granted us a right of first offer on any disposal or re-chartering of any product and crude oil tanker with a carrying capacity greater than or equal to 30,000 dwt owned or acquired by Capital Maritime or any of its controlled affiliates (other than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and Executive services agreements with the Manager</w:t>
      </w:r>
    </w:p>
    <w:p>
      <w:pPr>
        <w:spacing w:after="0" w:line="11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On April 4, 2007, we entered into an administrative services agreement with our Manager, pursuant to which our Manager has agreed to provide certain administrative management services to the Partnership, such as accounting, auditing, legal, insurance, clerical, and other administrative services. On the same date, we entered into an IT services agreement with our Manager pursuant to which our Manager provides IT management services to CPLP. We also reimburse our Manager and our General Partner for reasonable costs and expenses incurred in connection with the provision of these services pursuant to both agreements after the Manager submits to us an invoice for such costs and expenses, together with any supporting detail that may be reasonably required.</w:t>
      </w:r>
    </w:p>
    <w:p>
      <w:pPr>
        <w:spacing w:after="0" w:line="15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In 2015, we entered into an executive services agreement (amended in 2016) with our General Partner according to which our General Partner provides certain executive officers services for the management of the Partnership’s business as well as investor relation and corporate support services to the Partnership.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2017</w:t>
      </w:r>
    </w:p>
    <w:p>
      <w:pPr>
        <w:spacing w:after="0" w:line="131" w:lineRule="exact"/>
        <w:rPr>
          <w:sz w:val="20"/>
          <w:szCs w:val="20"/>
          <w:color w:val="auto"/>
        </w:rPr>
      </w:pPr>
    </w:p>
    <w:p>
      <w:pPr>
        <w:ind w:left="1480" w:right="340" w:hanging="567"/>
        <w:spacing w:after="0" w:line="255"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Management Agreements. </w:t>
      </w:r>
      <w:r>
        <w:rPr>
          <w:rFonts w:ascii="Arial" w:cs="Arial" w:eastAsia="Arial" w:hAnsi="Arial"/>
          <w:sz w:val="18"/>
          <w:szCs w:val="18"/>
          <w:color w:val="auto"/>
        </w:rPr>
        <w:t>On March 25, 2017 and December 1, 2017, we amended and restated the fixed fee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with Capital Ship Management in its entirely to reflect, among other things, the vessels covered by such management agreement. On March 11, 2017, May 1, 2017, July 1, 2017 and December 1, 2017 we amended the floating rate management agreement with Capital Ship Management to reflect, among other things, the vessels covered by such management agreement. Please read “Item 4B: Business Overview—Our Management Agreements” for a detailed description of the terms of each management agreement.</w:t>
      </w:r>
    </w:p>
    <w:p>
      <w:pPr>
        <w:spacing w:after="0" w:line="98" w:lineRule="exact"/>
        <w:rPr>
          <w:rFonts w:ascii="Arial" w:cs="Arial" w:eastAsia="Arial" w:hAnsi="Arial"/>
          <w:sz w:val="18"/>
          <w:szCs w:val="18"/>
          <w:color w:val="auto"/>
        </w:rPr>
      </w:pPr>
    </w:p>
    <w:p>
      <w:pPr>
        <w:ind w:left="1480" w:right="240" w:hanging="567"/>
        <w:spacing w:after="0" w:line="257"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2017, each of the M/T Aktoras, M/T Aiolos, M/T Miltiadis M II and M/T</w:t>
      </w:r>
      <w:r>
        <w:rPr>
          <w:rFonts w:ascii="Arial" w:cs="Arial" w:eastAsia="Arial" w:hAnsi="Arial"/>
          <w:sz w:val="18"/>
          <w:szCs w:val="18"/>
          <w:i w:val="1"/>
          <w:iCs w:val="1"/>
          <w:color w:val="auto"/>
        </w:rPr>
        <w:t xml:space="preserve"> </w:t>
      </w:r>
      <w:r>
        <w:rPr>
          <w:rFonts w:ascii="Arial" w:cs="Arial" w:eastAsia="Arial" w:hAnsi="Arial"/>
          <w:sz w:val="18"/>
          <w:szCs w:val="18"/>
          <w:color w:val="auto"/>
        </w:rPr>
        <w:t>Amoureux entered into new or extended existing charter party agreements with Capital Maritime. These new charters/extensions were unanimously approved by the conflicts committee of independent directors of our board of directors. Please see “Item 4B: Business Overview—Our Fleet” and “—Our Charters” for a detailed description of these charters, including earliest possible redelivery dates of the vessels and relevant charter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2016</w:t>
      </w:r>
    </w:p>
    <w:p>
      <w:pPr>
        <w:spacing w:after="0" w:line="131" w:lineRule="exact"/>
        <w:rPr>
          <w:sz w:val="20"/>
          <w:szCs w:val="20"/>
          <w:color w:val="auto"/>
        </w:rPr>
      </w:pPr>
    </w:p>
    <w:p>
      <w:pPr>
        <w:ind w:left="1480" w:hanging="567"/>
        <w:spacing w:after="0" w:line="255"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Amendments to Management Agreements</w:t>
      </w:r>
      <w:r>
        <w:rPr>
          <w:rFonts w:ascii="Arial" w:cs="Arial" w:eastAsia="Arial" w:hAnsi="Arial"/>
          <w:sz w:val="18"/>
          <w:szCs w:val="18"/>
          <w:color w:val="auto"/>
        </w:rPr>
        <w:t>. On March 1, 2016 and September 28, 2016, we amended and restated the fixed fee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with Capital Ship Management in its entirely to reflect, among other things, the vessels covered by each management agreement. On February 26, 2016, September 1, 2016, September 28, 2016, October 24, 2016 and December 1, 2016, we amended the floating rate management agreement with Capital Ship Management to reflect, among other things, the vessels covered by such management agreement. Please read “Item 4B: Business Overview—Our Management Agreements” for a detailed description of the terms of such management agreement.</w:t>
      </w:r>
    </w:p>
    <w:p>
      <w:pPr>
        <w:spacing w:after="0" w:line="98" w:lineRule="exact"/>
        <w:rPr>
          <w:rFonts w:ascii="Arial" w:cs="Arial" w:eastAsia="Arial" w:hAnsi="Arial"/>
          <w:sz w:val="18"/>
          <w:szCs w:val="18"/>
          <w:color w:val="auto"/>
        </w:rPr>
      </w:pPr>
    </w:p>
    <w:p>
      <w:pPr>
        <w:ind w:left="1480" w:hanging="567"/>
        <w:spacing w:after="0" w:line="286" w:lineRule="auto"/>
        <w:tabs>
          <w:tab w:leader="none" w:pos="148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Share Purchase Agreement for the acquisition of the vessel owning company of the M/T Amor, the assumption of the 2015 credit facility and the time charter agreement with Cargill. </w:t>
      </w:r>
      <w:r>
        <w:rPr>
          <w:rFonts w:ascii="Arial" w:cs="Arial" w:eastAsia="Arial" w:hAnsi="Arial"/>
          <w:sz w:val="16"/>
          <w:szCs w:val="16"/>
          <w:color w:val="auto"/>
        </w:rPr>
        <w:t>On October 24, 2016, we entered into a share purchase agreement for the acquisition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the company owning the M/T Amor, an eco-type MR product tanker (49,999 dwt IMO II/III chemical product tanker built in 2015, Samsung Heavy Industries (Ningbo) Co., Ltd.) for a total consideration of $16.9 million comprising, $16.0 million in cash and the issuance of 283,696 new common units to Capital Maritime. The M/T Amor is employed under a time charter by Cargill at a gross daily rate of $17,500. On acquisition we assumed a term loan of a $15.8 million under a new credit facility with ING Bank N.V. arranged by Capital Maritime. The term loan is non-amortizing for a period of two years from the anniversary of the dropdown of the M/T Amor with an expected final maturity date in November 2022. The interest margin on the term loan is 2.50%. The term loan is subject to ship finance covenants similar to the covenants applicable under our existing facilities. For further information on our existing facilities, please see “Item 5.B.: Liquidity and Capital Resources—Borrowings—Our Credit Facilities.” The acquisition of the M/T Amor was reviewed and unanimously approved by the conflicts committee of our board of directors and our entire board of directors. Please also see “Item 5B: Liquidity and Capital Resources—Net Cash Used in Investing Activities” and Note 5 (Fixed Assets) to our Financial Statements included herein for more information regarding this acquisition, including a detailed explanation of how it was accounted for.</w:t>
      </w:r>
    </w:p>
    <w:p>
      <w:pPr>
        <w:spacing w:after="0" w:line="80" w:lineRule="exact"/>
        <w:rPr>
          <w:rFonts w:ascii="Arial" w:cs="Arial" w:eastAsia="Arial" w:hAnsi="Arial"/>
          <w:sz w:val="16"/>
          <w:szCs w:val="16"/>
          <w:color w:val="auto"/>
        </w:rPr>
      </w:pPr>
    </w:p>
    <w:p>
      <w:pPr>
        <w:ind w:left="1480" w:right="20" w:hanging="567"/>
        <w:spacing w:after="0" w:line="255"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Share Purchase Agreement for the acquisition of the vessel owning company of the CMA CGM Magdalena</w:t>
      </w:r>
      <w:r>
        <w:rPr>
          <w:rFonts w:ascii="Arial" w:cs="Arial" w:eastAsia="Arial" w:hAnsi="Arial"/>
          <w:sz w:val="18"/>
          <w:szCs w:val="18"/>
          <w:color w:val="auto"/>
        </w:rPr>
        <w:t>. Pursuant to the Master Vessel</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Agreement dated July 24, 2014, we entered into a share purchase agreement on February 26, 2016 with Capital Maritime for the acquisition of the shares of the company owning the M/V CMA CGM Magdalena, the last of five Dropdown Vessels that we agreed to acquire from Capital Maritime. The $81.5 million purchase price for the M/V CMA CGM Magdalena was funded through a drawdown under our former 2013 credit facility and from available cash. The M/V CMA CGM Magdalena was then chartered to CMA-CGM S.A. for five years at a gross daily charter rate of $39,250.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567"/>
        <w:spacing w:after="0" w:line="257"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2016, each of the M/T Amore Mio II, M/T Miltiadis M II, M/T Aristotelis,</w:t>
      </w:r>
      <w:r>
        <w:rPr>
          <w:rFonts w:ascii="Arial" w:cs="Arial" w:eastAsia="Arial" w:hAnsi="Arial"/>
          <w:sz w:val="18"/>
          <w:szCs w:val="18"/>
          <w:i w:val="1"/>
          <w:iCs w:val="1"/>
          <w:color w:val="auto"/>
        </w:rPr>
        <w:t xml:space="preserve"> </w:t>
      </w:r>
      <w:r>
        <w:rPr>
          <w:rFonts w:ascii="Arial" w:cs="Arial" w:eastAsia="Arial" w:hAnsi="Arial"/>
          <w:sz w:val="18"/>
          <w:szCs w:val="18"/>
          <w:color w:val="auto"/>
        </w:rPr>
        <w:t>M/T Atlantas II and M/T Arionas entered into new or extended existing charter party agreements with Capital Maritime. These new charters/extensions were unanimously approved by the conflicts committee of independent directors of our board of directors. Please see “Item 4B: Business Overview—Our Fleet” and “—Our Charters” for a detailed description of these charters, including earliest possible redelivery dates of the vessels and relevant charter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2015</w:t>
      </w:r>
    </w:p>
    <w:p>
      <w:pPr>
        <w:spacing w:after="0" w:line="131" w:lineRule="exact"/>
        <w:rPr>
          <w:sz w:val="20"/>
          <w:szCs w:val="20"/>
          <w:color w:val="auto"/>
        </w:rPr>
      </w:pPr>
    </w:p>
    <w:p>
      <w:pPr>
        <w:ind w:left="1480" w:right="160" w:hanging="567"/>
        <w:spacing w:after="0" w:line="255" w:lineRule="auto"/>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Management Agreements </w:t>
      </w:r>
      <w:r>
        <w:rPr>
          <w:rFonts w:ascii="Arial" w:cs="Arial" w:eastAsia="Arial" w:hAnsi="Arial"/>
          <w:sz w:val="18"/>
          <w:szCs w:val="18"/>
          <w:color w:val="auto"/>
        </w:rPr>
        <w:t>. On July 1, 2015 and October 1, 2015, we amended and restated the fixed fee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Capital Ship Management in its entirely to reflect, among other things, the vessels covered by such management agreement. On March 31, 2015, June 10, 2015, June 30, 2015, September 18, 2015, and October 1, 2015, we amended the floating rate management agreement with Capital Ship Management to reflect, among other things, the vessels covered by such management agreement. Please read “Item 4B: Business Overview—Our Management Agreements” for a detailed description of the terms of each management agreement.</w:t>
      </w:r>
    </w:p>
    <w:p>
      <w:pPr>
        <w:spacing w:after="0" w:line="98" w:lineRule="exact"/>
        <w:rPr>
          <w:rFonts w:ascii="Arial" w:cs="Arial" w:eastAsia="Arial" w:hAnsi="Arial"/>
          <w:sz w:val="18"/>
          <w:szCs w:val="18"/>
          <w:color w:val="auto"/>
        </w:rPr>
      </w:pPr>
    </w:p>
    <w:p>
      <w:pPr>
        <w:ind w:left="1480" w:right="20" w:hanging="567"/>
        <w:spacing w:after="0" w:line="293" w:lineRule="auto"/>
        <w:tabs>
          <w:tab w:leader="none" w:pos="148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Equity Offering. </w:t>
      </w:r>
      <w:r>
        <w:rPr>
          <w:rFonts w:ascii="Arial" w:cs="Arial" w:eastAsia="Arial" w:hAnsi="Arial"/>
          <w:sz w:val="16"/>
          <w:szCs w:val="16"/>
          <w:color w:val="auto"/>
        </w:rPr>
        <w:t>On April 21, 2015, we completed the issuance and sale of 14,555,000 common units representing limited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at a public offering price of $9.53 per unit, which included 1,755,000 common units sold as a result of the partial exercise of the overallotment option granted to the underwriters of the public offering and 1,100,000 common units sold to our sponsor. Proceeds after the deduction of the underwriters’ commissions and net proceeds after the deduction of the transaction expenses amounted to $133.3 and $132.6 million, respectively. Our sponsor Capital Maritime subsequently converted an aggregate of 315,908 common units into general partner units and delivered such units to our General Partner in order for it to maintain its 2% interest in us.</w:t>
      </w:r>
    </w:p>
    <w:p>
      <w:pPr>
        <w:spacing w:after="0" w:line="70" w:lineRule="exact"/>
        <w:rPr>
          <w:rFonts w:ascii="Arial" w:cs="Arial" w:eastAsia="Arial" w:hAnsi="Arial"/>
          <w:sz w:val="16"/>
          <w:szCs w:val="16"/>
          <w:color w:val="auto"/>
        </w:rPr>
      </w:pPr>
    </w:p>
    <w:p>
      <w:pPr>
        <w:ind w:left="1480" w:hanging="567"/>
        <w:spacing w:after="0" w:line="268" w:lineRule="auto"/>
        <w:tabs>
          <w:tab w:leader="none" w:pos="148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Share Purchase Agreements for the acquisition of the vessel owning companies of each of the M/T Active, M/V CMA CGM Amazon, M/T Amadeus and M/V CMA CGM Uruguay </w:t>
      </w:r>
      <w:r>
        <w:rPr>
          <w:rFonts w:ascii="Arial" w:cs="Arial" w:eastAsia="Arial" w:hAnsi="Arial"/>
          <w:sz w:val="17"/>
          <w:szCs w:val="17"/>
          <w:color w:val="auto"/>
        </w:rPr>
        <w:t>. On March 31, June 10, June 30, and September 18, 2015, in accordance with the Master Vessel</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Agreement, we entered into four share purchase agreements with Capital Maritime pursuant to which we acquired all of Capital Maritime’s interests in the vessel owning companies of the M/T Active, M/V CMA CGM Amazon, M/T Amadeus and M/V CMA CGM Uruguay, respectively. The acquisition was funded by four separate drawdowns under our 2013 credit facility in the aggregate amount of $115.0 million, while the remaining balance of $115.0 million was funded through available cash. The M/T Active and the M/T Amadeus were built in 2015 at Samsung Heavy Industries (Ningbo) Co. Ltd. and are currently employed by Cargill and Capital Maritime under a two-year time charter (+/-30 days) at a gross daily rate of $17,700 and a two-year time charter (+/-30 days) at a gross daily rate of $17,000 plus 50/50 profit share on actual earnings, respectively. The M/V CMA CGM Amazon and M/V CMA CGM Uruguay were built in 2015 at Daewoo-Mangalia Heavy Industries S.A. and both are currently employed by CMA CGM under five-year time charters (+90 days / -30 days) at a gross daily rate of $39,250. The transaction was approved by our board of directors following approval by the conflicts committee of independent directors. Please see “Item 5B: Liquidity and Capital Resources—Net Cash Used in Investing Activities” and Note 5 (Fixed Assets) to our Financial Statements included herein for more information regarding this acquisition, including a detailed explanation of how it was accounted for.</w:t>
      </w:r>
    </w:p>
    <w:p>
      <w:pPr>
        <w:spacing w:after="0" w:line="90" w:lineRule="exact"/>
        <w:rPr>
          <w:rFonts w:ascii="Arial" w:cs="Arial" w:eastAsia="Arial" w:hAnsi="Arial"/>
          <w:sz w:val="17"/>
          <w:szCs w:val="17"/>
          <w:color w:val="auto"/>
        </w:rPr>
      </w:pPr>
    </w:p>
    <w:p>
      <w:pPr>
        <w:ind w:left="1480" w:right="160" w:hanging="567"/>
        <w:spacing w:after="0" w:line="255" w:lineRule="auto"/>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2015, each of the M/T Agisilaos, M/T Atrotos, M/T Amore Mio II, M/T</w:t>
      </w:r>
      <w:r>
        <w:rPr>
          <w:rFonts w:ascii="Arial" w:cs="Arial" w:eastAsia="Arial" w:hAnsi="Arial"/>
          <w:sz w:val="18"/>
          <w:szCs w:val="18"/>
          <w:i w:val="1"/>
          <w:iCs w:val="1"/>
          <w:color w:val="auto"/>
        </w:rPr>
        <w:t xml:space="preserve"> </w:t>
      </w:r>
      <w:r>
        <w:rPr>
          <w:rFonts w:ascii="Arial" w:cs="Arial" w:eastAsia="Arial" w:hAnsi="Arial"/>
          <w:sz w:val="18"/>
          <w:szCs w:val="18"/>
          <w:color w:val="auto"/>
        </w:rPr>
        <w:t>Akeraios, M/T Apostolos, M/T Active, M/T Amadeus, M/T Miltiadis M II, M/T Aristotelis, M/T Ayrton II and M/T Anemos I entered into new or extended existing charter party agreements with Capital Maritime. These new charters/extensions were unanimously approved by the conflicts committee of independent directors of our board of directors. Please see “Item 4B: Business Overview—Our Fleet” and “—Our Charters” for a detailed description of these charters, including earliest possible redelivery dates of the vessels and relevant charter rates.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AND FIDUCIARY DUTIES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Conflicts of interest exist and may arise in the future as a result of the relationships between our General Partner and its affiliates, including Capital Maritime, on the one hand, and us and our unaffiliated limited partners, on the other hand. The officers of our General Partner may have certain fiduciary duties to manage our General Partner in a manner beneficial to its owners. At the same time, our General Partner has a fiduciary duty to manage us in a manner beneficial to us and our unitholders. Similarly, our board of directors has fiduciary duties to manage us in a manner beneficial to us, our General Partner and our limited partners. Furthermore, one of our directors is also a director and officer of Capital Maritime and as such he has fiduciary duties to Capital Maritime that may cause him to pursue business strategies that disproportionately benefit Capital Maritime or which otherwise are not in the best interests of us or our unitholders.</w:t>
      </w:r>
    </w:p>
    <w:p>
      <w:pPr>
        <w:spacing w:after="0" w:line="189"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Our partnership affairs are governed by our partnership agreement and the MILPA. The provisions of the MILPA resemble provisions of the limited partnership laws of a number of states in the United States, most notably Delaware. We are not aware of any material difference in unitholder rights between the MILPA and the Delaware Revised Uniform Limited Partnership Act.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certain Marshall Islands courts, the non-statutory law (or “case law”) of the State of Delaware is adopted as the law of the Marshall Islands. There have been, however, few, if any, court cases in the Marshall Islands interpreting the MILPA, in contrast to Delaware, which has a fairly well-developed body of case law interpreting its limited partnership statute.</w:t>
      </w:r>
    </w:p>
    <w:p>
      <w:pPr>
        <w:spacing w:after="0" w:line="16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Accordingly, we cannot predict whether Marshall Islands courts would reach the same conclusions as courts in Delaware. For example, the rights of our unitholders and fiduciary responsibilities of our General Partner and its affiliates under Marshall Islands law are not as clearly established as under judicial precedent in existence in Delaware. Due to the less-developed nature of Marshall Islands law, our public unitholders may have more difficulty in protecting their interests in the face of actions by our General Partner, its affiliates or controlling unitholders than would unitholders of a limited partnership organized in the United States.</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Our partnership agreement contains provisions that modify and restrict the fiduciary duties of our General Partner and our directors to the unitholders under Marshall Islands law. Our partnership agreement also restricts the remedies available to unitholders for actions taken by our General Partner or our directors that, without those limitations, might constitute breaches of fiduciary duty.</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Neither our General Partner nor our board of directors will be in breach of their obligations under the partnership agreement or their duties to us or the unitholders if the resolution of the conflict is:</w:t>
      </w:r>
    </w:p>
    <w:p>
      <w:pPr>
        <w:spacing w:after="0" w:line="76" w:lineRule="exact"/>
        <w:rPr>
          <w:sz w:val="20"/>
          <w:szCs w:val="20"/>
          <w:color w:val="auto"/>
        </w:rPr>
      </w:pPr>
    </w:p>
    <w:p>
      <w:pPr>
        <w:ind w:left="1460" w:hanging="547"/>
        <w:spacing w:after="0"/>
        <w:tabs>
          <w:tab w:leader="none" w:pos="1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approved by the conflicts committee, although neither our General Partner nor our board of directors are obligated to seek such approval;</w:t>
      </w:r>
    </w:p>
    <w:p>
      <w:pPr>
        <w:spacing w:after="0" w:line="153" w:lineRule="exact"/>
        <w:rPr>
          <w:rFonts w:ascii="Arial" w:cs="Arial" w:eastAsia="Arial" w:hAnsi="Arial"/>
          <w:sz w:val="16"/>
          <w:szCs w:val="16"/>
          <w:color w:val="auto"/>
        </w:rPr>
      </w:pPr>
    </w:p>
    <w:p>
      <w:pPr>
        <w:ind w:left="1460" w:right="140" w:hanging="547"/>
        <w:spacing w:after="0" w:line="308" w:lineRule="auto"/>
        <w:tabs>
          <w:tab w:leader="none" w:pos="1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approved by the vote of a majority of the outstanding common units, excluding any common units owned by our General Partner or any of its affiliates, although neither our General Partner nor our board of directors are obligated to seek such approval;</w:t>
      </w:r>
    </w:p>
    <w:p>
      <w:pPr>
        <w:spacing w:after="0" w:line="51" w:lineRule="exact"/>
        <w:rPr>
          <w:rFonts w:ascii="Arial" w:cs="Arial" w:eastAsia="Arial" w:hAnsi="Arial"/>
          <w:sz w:val="17"/>
          <w:szCs w:val="17"/>
          <w:color w:val="auto"/>
        </w:rPr>
      </w:pPr>
    </w:p>
    <w:p>
      <w:pPr>
        <w:ind w:left="1460" w:right="180" w:hanging="547"/>
        <w:spacing w:after="0" w:line="308" w:lineRule="auto"/>
        <w:tabs>
          <w:tab w:leader="none" w:pos="1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on terms no less favorable to us than those generally being provided to or available from unrelated third parties, but neither our General Partner nor our directors are required to obtain confirmation to such effect from an independent third party; or</w:t>
      </w:r>
    </w:p>
    <w:p>
      <w:pPr>
        <w:spacing w:after="0" w:line="51" w:lineRule="exact"/>
        <w:rPr>
          <w:rFonts w:ascii="Arial" w:cs="Arial" w:eastAsia="Arial" w:hAnsi="Arial"/>
          <w:sz w:val="17"/>
          <w:szCs w:val="17"/>
          <w:color w:val="auto"/>
        </w:rPr>
      </w:pPr>
    </w:p>
    <w:p>
      <w:pPr>
        <w:ind w:left="1460" w:right="260" w:hanging="547"/>
        <w:spacing w:after="0" w:line="277" w:lineRule="auto"/>
        <w:tabs>
          <w:tab w:leader="none" w:pos="1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between the parties involved, including other transactions that may be particularly favorable or advantageous to us.</w:t>
      </w:r>
    </w:p>
    <w:p>
      <w:pPr>
        <w:spacing w:after="0" w:line="170"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Our General Partner or our board of directors may, but are not required to, seek the approval of such resolution from the conflicts committee of our board of directors or from the common unitholders. If neither our General Partner nor our board of directors seek approval from the conflicts committee, and our board of directors determines that the resolution or course of action taken with respect to the conflict of interest satisfies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either of the standards set forth in the third and fourth bullet points above, then it will be presumed that, in making its decision, the board of directors, including the board members affected by the conflict, acted in good faith, and in any proceeding brought by or on behalf of any limited partner or the partnership, the person bringing or prosecuting such proceeding will have the burden of overcoming such presumption. When our partnership agreement requires someone to act in good faith, it requires that person to reasonably believe that he is acting in the best interests of the partnership, unless the context otherwise requires.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Conflicts of interest could arise in the situations described below, among others.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taken by our board of directors may affect the amount of cash available for distribution to unitholders.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amount of cash that is available for distribution to unitholders is affected by decisions of our board of directors regarding such matters as:</w:t>
      </w:r>
    </w:p>
    <w:p>
      <w:pPr>
        <w:spacing w:after="0" w:line="154" w:lineRule="exact"/>
        <w:rPr>
          <w:sz w:val="20"/>
          <w:szCs w:val="20"/>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 and timing of asset purchases and sales;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cash expenditures;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borrowings;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issuance of additional units;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creation, reduction or increase of reserves in any quarter.</w:t>
      </w:r>
    </w:p>
    <w:p>
      <w:pPr>
        <w:spacing w:after="0" w:line="225" w:lineRule="exact"/>
        <w:rPr>
          <w:sz w:val="20"/>
          <w:szCs w:val="20"/>
          <w:color w:val="auto"/>
        </w:rPr>
      </w:pPr>
    </w:p>
    <w:p>
      <w:pPr>
        <w:ind w:right="480" w:firstLine="913"/>
        <w:spacing w:after="0" w:line="342" w:lineRule="auto"/>
        <w:rPr>
          <w:sz w:val="20"/>
          <w:szCs w:val="20"/>
          <w:color w:val="auto"/>
        </w:rPr>
      </w:pPr>
      <w:r>
        <w:rPr>
          <w:rFonts w:ascii="Arial" w:cs="Arial" w:eastAsia="Arial" w:hAnsi="Arial"/>
          <w:sz w:val="16"/>
          <w:szCs w:val="16"/>
          <w:color w:val="auto"/>
        </w:rPr>
        <w:t>In addition, borrowings by us and our affiliates do not constitute a breach of any duty owed by our General Partner or our directors to our unitholders, including borrowings that have the purpose or effect of enabling our General Partner or its affiliates to receive incentive distribution rights.</w:t>
      </w:r>
    </w:p>
    <w:p>
      <w:pPr>
        <w:spacing w:after="0" w:line="12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For example, in the event we have not generated sufficient cash from our operations to pay the minimum quarterly distribution on our units, our partnership agreement permits us to borrow funds, which would enable us to make this distribution on all outstanding units.</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Our partnership agreement provides that we and our subsidiaries may borrow funds from our General Partner and its affiliates. Our General Partner and its affiliates may not borrow funds from us or our subsidiaries.</w:t>
      </w:r>
    </w:p>
    <w:p>
      <w:pPr>
        <w:spacing w:after="0" w:line="27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Neither our partnership agreement nor any other agreement requires Capital Maritime to pursue a business strategy that favors us or utilizes our assets or dictates what markets to pursue or grow. Capital Maritime’s directors and executive officers have a fiduciary duty to make these decisions in the best interests of the stockholders of Capital Maritime, which may be contrary to our interests.</w:t>
      </w:r>
    </w:p>
    <w:p>
      <w:pPr>
        <w:spacing w:after="0" w:line="5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Because all of the officers of our General Partner and one of our directors are also directors, officers or employees of Capital Maritime or its affiliates, such officers and director have fiduciary duties to Capital Maritime that may cause them to pursue business strategies that disproportionately benefit Capital Maritime or which otherwise are not in the best interests of us or our unitholders.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is allowed to take into account the interests of parties other than us, such as Capital Maritime.</w:t>
      </w:r>
    </w:p>
    <w:p>
      <w:pPr>
        <w:spacing w:after="0" w:line="11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Our partnership agreement contains provisions that restrict the standards to which our General Partner would otherwise be held by Marshall Islands fiduciary duty law. For example, our partnership agreement permits our General Partner to make a number of decisions in its individual capacity, as opposed to in its capacity as our General Partner. This entitles our General Partner to consider only the interests and factors that it desires, and it has no duty or obligations to give any consideration to any interest of or factors affecting us, our affiliates or any unitholder. Decisions made by our General Partner in its individual capacity will be made by its sole owner, Capital Maritime.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officers and rely solely on officers of our General Partner.</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Affiliates of our General Partner conduct businesses and activities of their own in which we have no economic interest. If these separate activities are significantly greater than our activities, there could be material competition for the time and effort of the officers who provide services to our General Partner and its affiliates. The officers of our General Partner are not required to work full-time on our affairs but may be required to devote time to the affairs of Capital GP L.L.C. and its affiliates, and we reimburse their employers for the services they render to us and our subsidiaries. Our General Partner’s Chief Executive Officer, Chief Financial Officer and Chief Operating Officer are also executive officers or employees of Capital Maritime or its affiliates.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reimburse our General Partner and its affiliates for expenses.</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will reimburse our General Partner and its affiliates for costs incurred in managing and operating us, including costs incurred in rendering corporate staff and support services to us. Our partnership agreement provides that our General Partner will determine the expenses that are allocable to us in good faith.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unitholders will have no right to enforce obligations of our General Partner and its affiliates under agreements with us.</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Any agreements between us, on the one hand, and our General Partner and its affiliates, on the other, will not grant to the unitholders, separate and apart from us, the right to enforce the obligations of our General Partner and its affiliates in our favor.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Contracts between us, on the one hand, and our General Partner and its affiliates, on the other, will not be the result of arms’- length negotiations.</w:t>
      </w:r>
    </w:p>
    <w:p>
      <w:pPr>
        <w:spacing w:after="0" w:line="248" w:lineRule="exact"/>
        <w:rPr>
          <w:sz w:val="20"/>
          <w:szCs w:val="20"/>
          <w:color w:val="auto"/>
        </w:rPr>
      </w:pPr>
    </w:p>
    <w:p>
      <w:pPr>
        <w:ind w:right="480" w:firstLine="913"/>
        <w:spacing w:after="0" w:line="264" w:lineRule="auto"/>
        <w:rPr>
          <w:sz w:val="20"/>
          <w:szCs w:val="20"/>
          <w:color w:val="auto"/>
        </w:rPr>
      </w:pPr>
      <w:r>
        <w:rPr>
          <w:rFonts w:ascii="Arial" w:cs="Arial" w:eastAsia="Arial" w:hAnsi="Arial"/>
          <w:sz w:val="18"/>
          <w:szCs w:val="18"/>
          <w:color w:val="auto"/>
        </w:rPr>
        <w:t>Neither our partnership agreement nor any of the other agreements, contracts and arrangements between us and our General Partner and its affiliates are or will be the result of arms’-length negotiations. Our partnership agreement generally provides that any affiliated transaction, such as an agreement, contract or arrangement between us and our General Partner and its affiliates, must be:</w:t>
      </w:r>
    </w:p>
    <w:p>
      <w:pPr>
        <w:spacing w:after="0" w:line="87" w:lineRule="exact"/>
        <w:rPr>
          <w:sz w:val="20"/>
          <w:szCs w:val="20"/>
          <w:color w:val="auto"/>
        </w:rPr>
      </w:pPr>
    </w:p>
    <w:p>
      <w:pPr>
        <w:ind w:left="1460" w:hanging="547"/>
        <w:spacing w:after="0"/>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terms no less favorable to us then those generally being provided to or available from unrelated third parties; or</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between the parties involved (including other transactions that may be particularly favorable or advantageous to us).</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Our General Partner may also enter into additional contractual arrangements with any of its affiliates on our behalf; however, there is no obligation of our General Partner and its affiliates to enter into any contracts of this kind, and our General Partner will determine, in good faith, the terms of any of these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units are subject to our General Partner’s limited call right.</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General Partner may exercise its right to call and purchase limited partner interests, including common units, as provided in the partnership agreement and may assign this right to one of its affiliates (including us). Our General Partner may use its own discretion, free of fiduciary duty restrictions, in determining whether to exercise this right. As a result, a common unitholder may have common units purchased from the unitholder at an undesirable time or price. Please read “Item 10B: The Partnership Agreement—Limited Call Right.”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choose not to retain separate counsel for ourselves or for the holders of common units.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The attorneys, independent accountants and others who perform services for us have been retained by our board of directors. Attorneys, independent accountants and others who perform services for us are selected by our board of directors or the conflicts committee and may perform services for our General Partner and its affiliates. We may retain separate counsel for ourselves or the holders of common units in the event of a conflict of interest between our General Partner and its affiliates, on the one hand, and us or the holders of common units, on the other, depending on the nature of the conflict. We do not intend to do so in most cases.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including Capital Maritime, may compete with us.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In addition, our partnership agreement provides that our General Partner, for so long as it is general partner of our partnership, will cause its affiliates not to engage in, by acquisition or otherwise, certain businesses described in the omnibus agreement. Similarly, under the omnibus agreement, Capital Maritime agreed and agreed to cause it affiliates to agree, for so long as Capital Maritime controls our partnership, not to engage in certain businesses. Except as provided in our partnership agreement and the omnibus agreement, affiliates of our General Partner are not prohibited from engaging in other businesses or activities, including those that might be in direct competition with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Duties</w:t>
      </w:r>
    </w:p>
    <w:p>
      <w:pPr>
        <w:spacing w:after="0" w:line="121"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Our General Partner and its affiliates are accountable to us and our unitholders as fiduciaries. Fiduciary duties owed to unitholders by our General Partner and its affiliates are prescribed by law and the partnership agreement. The MILPA provides that Marshall Islands partnerships may, in their partnership agreements, restrict or expand the fiduciary duties owed by our General Partner and its affiliates to the limited partners and the partnership. Our directors are subject to the same fiduciary duties as our General Partner, as restricted or expanded by the partnership agreement.</w:t>
      </w:r>
    </w:p>
    <w:p>
      <w:pPr>
        <w:spacing w:after="0" w:line="154"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In addition, we have entered into services agreements, and may enter into additional agreements with Capital Maritime and certain of its subsidiaries, including Capital Ship Management. In the performance of their obligations under these agreements, Capital Maritime and its subsidiaries are not held to a fiduciary standard of care but rather to the standards of care specified in the relevant agreement.</w:t>
      </w:r>
    </w:p>
    <w:p>
      <w:pPr>
        <w:spacing w:after="0" w:line="166"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Our partnership agreement contains various provisions restricting the fiduciary duties that might otherwise be owed by our General Partner or by our directors. We have adopted these provisions to allow our General Partner and our directors to take into account the interests of other parties in addition to our interests when resolving conflicts of interest. We believe this is appropriate and necessary because the officers of our General Partner have fiduciary duties to manage our General Partner in a manner beneficial both to its owner, Capital Maritime, as well as to you. These modifications disadvantage the common unitholders because they restrict the rights and remedies that would otherwise be available to unitholders for actions that, without those limitations, might constitute breaches of fiduciary duty, as described below. The following is a summary of:</w:t>
      </w:r>
    </w:p>
    <w:p>
      <w:pPr>
        <w:spacing w:after="0" w:line="84" w:lineRule="exact"/>
        <w:rPr>
          <w:sz w:val="20"/>
          <w:szCs w:val="20"/>
          <w:color w:val="auto"/>
        </w:rPr>
      </w:pPr>
    </w:p>
    <w:p>
      <w:pPr>
        <w:ind w:left="1460" w:hanging="547"/>
        <w:spacing w:after="0"/>
        <w:tabs>
          <w:tab w:leader="none" w:pos="1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fiduciary duties imposed on our General Partner and our directors by the MILPA;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material modifications of these duties contained in our partnership agreement;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rights and remedies of unitholders contained in the MILPA.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940" w:type="dxa"/>
            <w:vAlign w:val="bottom"/>
          </w:tcPr>
          <w:p>
            <w:pPr>
              <w:spacing w:after="0"/>
              <w:rPr>
                <w:sz w:val="17"/>
                <w:szCs w:val="17"/>
                <w:color w:val="auto"/>
              </w:rPr>
            </w:pPr>
          </w:p>
        </w:tc>
      </w:tr>
      <w:tr>
        <w:trPr>
          <w:trHeight w:val="627"/>
        </w:trPr>
        <w:tc>
          <w:tcPr>
            <w:tcW w:w="3760" w:type="dxa"/>
            <w:vAlign w:val="bottom"/>
            <w:gridSpan w:val="2"/>
          </w:tcPr>
          <w:p>
            <w:pPr>
              <w:spacing w:after="0"/>
              <w:rPr>
                <w:sz w:val="20"/>
                <w:szCs w:val="20"/>
                <w:color w:val="auto"/>
              </w:rPr>
            </w:pPr>
            <w:r>
              <w:rPr>
                <w:rFonts w:ascii="Arial" w:cs="Arial" w:eastAsia="Arial" w:hAnsi="Arial"/>
                <w:sz w:val="18"/>
                <w:szCs w:val="18"/>
                <w:color w:val="auto"/>
              </w:rPr>
              <w:t>Marshall Islands law fiduciary duty standards</w:t>
            </w: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1"/>
              </w:rPr>
              <w:t>Fiduciary duties are generally considered to include an obligation to act in good faith and with due</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8"/>
              </w:rPr>
              <w:t>care and loyalty. The duty of care, in the absence of a provision in a partnership agreement</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5"/>
              </w:rPr>
              <w:t>providing otherwise, would generally require a General Partner and the directors of a Marshall</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7"/>
              </w:rPr>
              <w:t>Islands limited partnership to refrain from engaging in grossly negligent or reckless conduct,</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8"/>
              </w:rPr>
              <w:t>intentional misconduct or a knowing violation of law. The duty of loyalty, in the absence of a</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3"/>
              </w:rPr>
              <w:t>provision in a partnership agreement providing otherwise, would generally require that a partner</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rPr>
              <w:t>refrain from dealing with the limited partnership in the conduct or winding up of the limited</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2"/>
              </w:rPr>
              <w:t>partnership business or affairs as or on behalf of a party having an interest adverse to the limited</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8"/>
              </w:rPr>
              <w:t>partnership, refrain from competing with the limited partnership in the conduct of the limited</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1"/>
              </w:rPr>
              <w:t>partnership’s business or affairs before the dissolution of the limited partnership, and to account to</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7"/>
              </w:rPr>
              <w:t>the limited partnership and hold as trustee for it any property, profit or benefit derived by the</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1"/>
              </w:rPr>
              <w:t>partner in the conduct or winding up of the limited partnership’s business or affairs or derived from</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4"/>
              </w:rPr>
              <w:t>a use by the partner of partnership property, including the appropriation of a limited partnership</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3"/>
              </w:rPr>
              <w:t>opportunity. In addition, although not a fiduciary duty, a partner shall discharge the duties to the</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4"/>
              </w:rPr>
              <w:t>limited partnership and exercise any rights consistently with the obligation of good faith and fair</w:t>
            </w:r>
          </w:p>
        </w:tc>
      </w:tr>
      <w:tr>
        <w:trPr>
          <w:trHeight w:val="230"/>
        </w:trPr>
        <w:tc>
          <w:tcPr>
            <w:tcW w:w="1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rPr>
              <w:t>dealing.</w:t>
            </w:r>
          </w:p>
        </w:tc>
      </w:tr>
      <w:tr>
        <w:trPr>
          <w:trHeight w:val="310"/>
        </w:trPr>
        <w:tc>
          <w:tcPr>
            <w:tcW w:w="3760" w:type="dxa"/>
            <w:vAlign w:val="bottom"/>
            <w:gridSpan w:val="2"/>
          </w:tcPr>
          <w:p>
            <w:pPr>
              <w:spacing w:after="0"/>
              <w:rPr>
                <w:sz w:val="20"/>
                <w:szCs w:val="20"/>
                <w:color w:val="auto"/>
              </w:rPr>
            </w:pPr>
            <w:r>
              <w:rPr>
                <w:rFonts w:ascii="Arial" w:cs="Arial" w:eastAsia="Arial" w:hAnsi="Arial"/>
                <w:sz w:val="18"/>
                <w:szCs w:val="18"/>
                <w:color w:val="auto"/>
              </w:rPr>
              <w:t>Partnership agreement modified standards</w:t>
            </w: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3"/>
              </w:rPr>
              <w:t>Our partnership agreement contains provisions that waive or consent to conduct by our General</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2"/>
              </w:rPr>
              <w:t>Partner and its affiliates and our directors that might otherwise raise issues as to compliance with</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rPr>
              <w:t>fiduciary duties under the laws of the Marshall Islands. For example, Section 7.16 of our</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6"/>
              </w:rPr>
              <w:t>partnership agreement provides that when our General Partner is acting in its capacity as our</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2"/>
              </w:rPr>
              <w:t>General Partner, as opposed to in its individual capacity, it must act in “good faith” and will not be</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0"/>
              </w:rPr>
              <w:t>subject to any other standard under the laws of the Marshall Islands. In addition, when our General</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3"/>
              </w:rPr>
              <w:t>Partner is acting in its individual capacity, as opposed to in its capacity as our general partner, it</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5"/>
              </w:rPr>
              <w:t>may act without any fiduciary obligation to us or the unitholders whatsoever. These standards</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1"/>
              </w:rPr>
              <w:t>reduce the obligations to which our General Partner and our board of directors would otherwise be</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2"/>
              </w:rPr>
              <w:t>held. Our partnership agreement generally provides that affiliated transactions and resolutions of</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w w:val="94"/>
              </w:rPr>
              <w:t>conflicts of interest not involving a vote of unitholders and that are not approved by the conflicts</w:t>
            </w:r>
          </w:p>
        </w:tc>
      </w:tr>
      <w:tr>
        <w:trPr>
          <w:trHeight w:val="230"/>
        </w:trPr>
        <w:tc>
          <w:tcPr>
            <w:tcW w:w="1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620" w:type="dxa"/>
            <w:vAlign w:val="bottom"/>
            <w:gridSpan w:val="2"/>
          </w:tcPr>
          <w:p>
            <w:pPr>
              <w:ind w:left="480"/>
              <w:spacing w:after="0"/>
              <w:rPr>
                <w:sz w:val="20"/>
                <w:szCs w:val="20"/>
                <w:color w:val="auto"/>
              </w:rPr>
            </w:pPr>
            <w:r>
              <w:rPr>
                <w:rFonts w:ascii="Arial" w:cs="Arial" w:eastAsia="Arial" w:hAnsi="Arial"/>
                <w:sz w:val="18"/>
                <w:szCs w:val="18"/>
                <w:color w:val="auto"/>
              </w:rPr>
              <w:t>committee of our board of directors must be:</w:t>
            </w:r>
          </w:p>
        </w:tc>
      </w:tr>
      <w:tr>
        <w:trPr>
          <w:trHeight w:val="310"/>
        </w:trPr>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rPr>
              <w:t>•</w:t>
            </w:r>
          </w:p>
        </w:tc>
        <w:tc>
          <w:tcPr>
            <w:tcW w:w="6940" w:type="dxa"/>
            <w:vAlign w:val="bottom"/>
          </w:tcPr>
          <w:p>
            <w:pPr>
              <w:ind w:left="140"/>
              <w:spacing w:after="0"/>
              <w:rPr>
                <w:sz w:val="20"/>
                <w:szCs w:val="20"/>
                <w:color w:val="auto"/>
              </w:rPr>
            </w:pPr>
            <w:r>
              <w:rPr>
                <w:rFonts w:ascii="Arial" w:cs="Arial" w:eastAsia="Arial" w:hAnsi="Arial"/>
                <w:sz w:val="18"/>
                <w:szCs w:val="18"/>
                <w:color w:val="auto"/>
                <w:w w:val="96"/>
              </w:rPr>
              <w:t>on terms no less favorable to us than those generally being provided to or available from</w:t>
            </w:r>
          </w:p>
        </w:tc>
      </w:tr>
      <w:tr>
        <w:trPr>
          <w:trHeight w:val="230"/>
        </w:trPr>
        <w:tc>
          <w:tcPr>
            <w:tcW w:w="1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unrelated third parties; or</w:t>
            </w:r>
          </w:p>
        </w:tc>
      </w:tr>
      <w:tr>
        <w:trPr>
          <w:trHeight w:val="310"/>
        </w:trPr>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rPr>
              <w:t>•</w:t>
            </w:r>
          </w:p>
        </w:tc>
        <w:tc>
          <w:tcPr>
            <w:tcW w:w="6940" w:type="dxa"/>
            <w:vAlign w:val="bottom"/>
          </w:tcPr>
          <w:p>
            <w:pPr>
              <w:ind w:left="140"/>
              <w:spacing w:after="0"/>
              <w:rPr>
                <w:sz w:val="20"/>
                <w:szCs w:val="20"/>
                <w:color w:val="auto"/>
              </w:rPr>
            </w:pPr>
            <w:r>
              <w:rPr>
                <w:rFonts w:ascii="Arial" w:cs="Arial" w:eastAsia="Arial" w:hAnsi="Arial"/>
                <w:sz w:val="18"/>
                <w:szCs w:val="18"/>
                <w:color w:val="auto"/>
                <w:w w:val="94"/>
              </w:rPr>
              <w:t>“fair and reasonable” to us, taking into account the totality of the relationships between the</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parties involved (including other transactions that may be particularly favorable or</w:t>
            </w:r>
          </w:p>
        </w:tc>
      </w:tr>
      <w:tr>
        <w:trPr>
          <w:trHeight w:val="230"/>
        </w:trPr>
        <w:tc>
          <w:tcPr>
            <w:tcW w:w="1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advantageous to us).</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240" w:right="20"/>
        <w:spacing w:after="0" w:line="276" w:lineRule="auto"/>
        <w:rPr>
          <w:sz w:val="20"/>
          <w:szCs w:val="20"/>
          <w:color w:val="auto"/>
        </w:rPr>
      </w:pPr>
      <w:r>
        <w:rPr>
          <w:rFonts w:ascii="Arial" w:cs="Arial" w:eastAsia="Arial" w:hAnsi="Arial"/>
          <w:sz w:val="17"/>
          <w:szCs w:val="17"/>
          <w:color w:val="auto"/>
        </w:rPr>
        <w:t>If our board of directors does not seek approval from the conflicts committee, and our board of directors determines that the resolution or course of action taken with respect to the conflict of interest satisfies either of the standards set forth in the bullet points above, then it will be presumed that, in making its decision, our board of directors acted in good faith. These standards reduce the obligations to which our board of directors would otherwise be held.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46" w:right="2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4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2"/>
              </w:rPr>
              <w:t>In addition to the other more specific provisions limiting the obligations of our General Partner and</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2"/>
              </w:rPr>
              <w:t>our directors, our partnership agreement further provides that our General Partner and its officers</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4"/>
              </w:rPr>
              <w:t>and our directors, will not be liable for monetary damages to us for errors of judgment or for any</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9"/>
              </w:rPr>
              <w:t>acts or omissions unless there has been a final and non-appealable judgment by a court of</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2"/>
              </w:rPr>
              <w:t>competent jurisdiction determining that our General Partner or its officers or our directors acted in</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1"/>
              </w:rPr>
              <w:t>bad faith or engaged in actual fraud or willful misconduct or, in the case of a criminal matter, acted</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with knowledge that the conduct was unlawful.</w:t>
            </w:r>
          </w:p>
        </w:tc>
      </w:tr>
      <w:tr>
        <w:trPr>
          <w:trHeight w:val="310"/>
        </w:trPr>
        <w:tc>
          <w:tcPr>
            <w:tcW w:w="3380" w:type="dxa"/>
            <w:vAlign w:val="bottom"/>
            <w:gridSpan w:val="2"/>
          </w:tcPr>
          <w:p>
            <w:pPr>
              <w:spacing w:after="0"/>
              <w:rPr>
                <w:sz w:val="20"/>
                <w:szCs w:val="20"/>
                <w:color w:val="auto"/>
              </w:rPr>
            </w:pPr>
            <w:r>
              <w:rPr>
                <w:rFonts w:ascii="Arial" w:cs="Arial" w:eastAsia="Arial" w:hAnsi="Arial"/>
                <w:sz w:val="18"/>
                <w:szCs w:val="18"/>
                <w:color w:val="auto"/>
              </w:rPr>
              <w:t>Rights and remedies of unitholders</w:t>
            </w:r>
          </w:p>
        </w:tc>
        <w:tc>
          <w:tcPr>
            <w:tcW w:w="8040" w:type="dxa"/>
            <w:vAlign w:val="bottom"/>
          </w:tcPr>
          <w:p>
            <w:pPr>
              <w:ind w:left="860"/>
              <w:spacing w:after="0"/>
              <w:rPr>
                <w:sz w:val="20"/>
                <w:szCs w:val="20"/>
                <w:color w:val="auto"/>
              </w:rPr>
            </w:pPr>
            <w:r>
              <w:rPr>
                <w:rFonts w:ascii="Arial" w:cs="Arial" w:eastAsia="Arial" w:hAnsi="Arial"/>
                <w:sz w:val="18"/>
                <w:szCs w:val="18"/>
                <w:color w:val="auto"/>
                <w:w w:val="94"/>
              </w:rPr>
              <w:t>The provisions of the MILPA resemble the provisions of the limited partnership act of Delaware.</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For example, like Delaware, the MILPA favors the principles of freedom of contract and</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4"/>
              </w:rPr>
              <w:t>enforceability of partnership agreements and allows the partnership agreement to contain terms</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1"/>
              </w:rPr>
              <w:t>governing the rights of the unitholders. The rights of our unitholders, including voting and approval</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3"/>
              </w:rPr>
              <w:t>rights and the ability of the partnership to issue additional units, are governed by the terms of our</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partnership agreement. Please read “The Partnership Agreement.”</w:t>
            </w:r>
          </w:p>
        </w:tc>
      </w:tr>
      <w:tr>
        <w:trPr>
          <w:trHeight w:val="310"/>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1"/>
              </w:rPr>
              <w:t>As to remedies of unitholders, the MILPA permits a limited partner or an assignee of a partnership</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interest to bring action in the High Court in the right of the limited partnership to recover a</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2"/>
              </w:rPr>
              <w:t>judgment in the limited partnership’s favor if general partners with authority to do so have refused</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w w:val="96"/>
              </w:rPr>
              <w:t>to bring the action or if effort to cause those general partners to bring the action is not likely to</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succeed.</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right="640" w:firstLine="913"/>
        <w:spacing w:after="0" w:line="264" w:lineRule="auto"/>
        <w:rPr>
          <w:sz w:val="20"/>
          <w:szCs w:val="20"/>
          <w:color w:val="auto"/>
        </w:rPr>
      </w:pPr>
      <w:r>
        <w:rPr>
          <w:rFonts w:ascii="Arial" w:cs="Arial" w:eastAsia="Arial" w:hAnsi="Arial"/>
          <w:sz w:val="18"/>
          <w:szCs w:val="18"/>
          <w:color w:val="auto"/>
        </w:rPr>
        <w:t>In order to become one of our limited partners, a common unitholder is deemed to agree to be bound by the provisions in the partnership agreement, including the provisions discussed above. The failure of a limited partner or transferee to sign a partnership agreement does not render the partnership agreement unenforceable against that person.</w:t>
      </w:r>
    </w:p>
    <w:p>
      <w:pPr>
        <w:spacing w:after="0" w:line="181"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Under the partnership agreement, we must indemnify our General Partner and its officers and our directors to the fullest extent permitted by law, against liabilities, costs and expenses incurred by our General Partner or these other persons. We must provide this indemnification unless there has been a final and non-appealable judgment by a court of competent jurisdiction determining that these persons engaged in actual fraud or willful misconduct. We also must provide this indemnification for criminal proceedings when our General Partner or these other persons acted with no reasonable cause to believe that their conduct was unlawful. Thus, our General Partner and its officers and our directors could be indemnified for their negligent acts if they met the requirements set forth above. To the extent that these provisions purport to include indemnification for liabilities arising under the Securities Act, in the opinion of the Securities and Exchange Commission such indemnification is contrary to public policy and therefore unenforceable. Please read “Item 10B: The Partnership Agreement—Indemnification.”</w:t>
      </w:r>
    </w:p>
    <w:p>
      <w:pPr>
        <w:spacing w:after="0" w:line="337" w:lineRule="exact"/>
        <w:rPr>
          <w:sz w:val="20"/>
          <w:szCs w:val="20"/>
          <w:color w:val="auto"/>
        </w:rPr>
      </w:pPr>
    </w:p>
    <w:p>
      <w:pPr>
        <w:ind w:left="1920" w:hanging="440"/>
        <w:spacing w:after="0"/>
        <w:tabs>
          <w:tab w:leader="none" w:pos="19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31" w:lineRule="exact"/>
        <w:rPr>
          <w:sz w:val="20"/>
          <w:szCs w:val="20"/>
          <w:color w:val="auto"/>
        </w:rPr>
      </w:pPr>
    </w:p>
    <w:p>
      <w:pPr>
        <w:ind w:left="1920" w:hanging="440"/>
        <w:spacing w:after="0"/>
        <w:tabs>
          <w:tab w:leader="none" w:pos="19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46"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December 2017, one of our subsidiaries reached a settlement with the U.S. Department of Justice (“DOJ”) regarding the M/T Amoureux for oil record book violation. Under the terms of the agreement, the subsidiary pled guilty to oil record book violation with respect to the M/T Amoureux. The subsidiary paid $700,000 in fine and was placed on probation for three years. If, during the term of probation, the subsidiary fails to adhere to the terms of the plea agreement, the DOJ may withdraw from the plea agreement and would be free to prosecute the subsidiary on all charges arising out of its investigation, including any charges dismissed pursuant to the terms of the plea agreement, as well as potentially other charges. Our subsidiary is also required to implement a comprehensive environmental compliance plan in connection with the settlement.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MAKE CASH DISTRIBUTIONS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Within approximately 45 days after the end of each quarter, subject to legal limitations, we distribute all of our available cash to unitholders of record on the applicable record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Available cash means, for each fiscal quarter, all cash and cash equivalents on hand at the end of the quarter:</w:t>
      </w:r>
    </w:p>
    <w:p>
      <w:pPr>
        <w:spacing w:after="0" w:line="131" w:lineRule="exact"/>
        <w:rPr>
          <w:sz w:val="20"/>
          <w:szCs w:val="20"/>
          <w:color w:val="auto"/>
        </w:rPr>
      </w:pPr>
    </w:p>
    <w:p>
      <w:pPr>
        <w:ind w:left="1460" w:hanging="547"/>
        <w:spacing w:after="0"/>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 or</w:t>
      </w:r>
    </w:p>
    <w:p>
      <w:pPr>
        <w:spacing w:after="0" w:line="130" w:lineRule="exact"/>
        <w:rPr>
          <w:rFonts w:ascii="Arial" w:cs="Arial" w:eastAsia="Arial" w:hAnsi="Arial"/>
          <w:sz w:val="18"/>
          <w:szCs w:val="18"/>
          <w:color w:val="auto"/>
        </w:rPr>
      </w:pPr>
    </w:p>
    <w:p>
      <w:pPr>
        <w:ind w:left="1460" w:right="100" w:hanging="547"/>
        <w:spacing w:after="0" w:line="273" w:lineRule="auto"/>
        <w:tabs>
          <w:tab w:leader="none" w:pos="1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the extent permitted under our partnership agreement, provide funds for distributions to our unitholders and to our General Partner for any one or more of the next four quarters; provided, however, that our board of directors may not establish such cash reserves in respect of the Class B Units if, as a result, we are unable to distribute the minimum quarterly distribution on our Class B Units in cash, plus any arrearages on all Class B Units nor may our board of directors establish such cash reserves in respect of our common units if, as a result, we are unable to distribute the minimum quarterly distribution on all Class B Units and the minimum quarterly distribution on all common units, plus any arrearage on all common units;</w:t>
      </w:r>
    </w:p>
    <w:p>
      <w:pPr>
        <w:spacing w:after="0" w:line="83" w:lineRule="exact"/>
        <w:rPr>
          <w:rFonts w:ascii="Arial" w:cs="Arial" w:eastAsia="Arial" w:hAnsi="Arial"/>
          <w:sz w:val="17"/>
          <w:szCs w:val="17"/>
          <w:color w:val="auto"/>
        </w:rPr>
      </w:pPr>
    </w:p>
    <w:p>
      <w:pPr>
        <w:jc w:val="both"/>
        <w:ind w:left="1460" w:hanging="547"/>
        <w:spacing w:after="0" w:line="286" w:lineRule="auto"/>
        <w:tabs>
          <w:tab w:leader="none" w:pos="1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Quarterly Distribution</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partnership agreement provides that the minimum quarterly distribution on our common units is $0.2325 per unit, which is equal to $0.93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 See information on current distribution levels elsewhere in this annual report.</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minimum quarterly distribution on our Class B Units is $0.21375 per unit, which is equal to $0.855 per unit per year. Distributions on our Class B Units are cumulative in that they shall accumulate whether or not any restrictions (such as arising out of our indebtedness) prohibit the authorization, declaration and payment of such distributions, whether or not there is sufficient available cash for the payment of such distributions and whether or not such distributions are authorized by our board of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If the Class B Units do not receive the full amount of the distribution for such period in cash, no distributions can be made on our common units. If we do not have the available cash to pay the minimum quarterly distribution on our Class B Units in any quarter, then the amount due per Class B Unit will accrue at 11.5% per annum for such quarter and, if such distribution has been authorized by our board of directors for such quarter, shall be paid, to the extent of such shortfall, by issuing a number of common units calculated based on the lesser of the 30-day volume weighted average price (or VWAP) of our common unit and the 90-day VWAP of our common units.</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the event we experience a change of control, the minimum quarterly distribution rate on our Class B Units will equal 1.25 times the then applicable distribution rate. Upon the occurrence of a cross default or certain defaults on the payment of cash distributions on Class B Units, the distribution rate will equal 1.25 times the then applicable distribution rate, and on each subsequent payment date, the then applicable distribution rate will further increase to a rate that is 1.25 times the then applicable distribution rate as of the close of business on the day immediately preceding such distribution payment date, until the cross default or payment default is cured. The applicable quarterly distribution rate for the Class B Units as a result of such increases however shall not exceed $0.33345 per Class B Unit.</w:t>
      </w:r>
    </w:p>
    <w:p>
      <w:pPr>
        <w:spacing w:after="0" w:line="19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any quarter where the distributions on common units is greater than the common unit minimum quarterly distribution rate, whether as a result of an increase in the customary quarterly distribution or a special distribution on the common units, the corresponding distribution on the Class B Units shall be increased pro rata (on an as converted basis) for the quarter by the amount that the actual distribution on the common units exceeds the common unit minimum quarterly distribution rate.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7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87" w:lineRule="exact"/>
        <w:rPr>
          <w:sz w:val="20"/>
          <w:szCs w:val="20"/>
          <w:color w:val="auto"/>
        </w:rPr>
      </w:pPr>
    </w:p>
    <w:p>
      <w:pPr>
        <w:jc w:val="both"/>
        <w:ind w:left="1460" w:right="500" w:hanging="547"/>
        <w:spacing w:after="0" w:line="264" w:lineRule="auto"/>
        <w:tabs>
          <w:tab w:leader="none" w:pos="1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86" w:lineRule="exact"/>
        <w:rPr>
          <w:rFonts w:ascii="Arial" w:cs="Arial" w:eastAsia="Arial" w:hAnsi="Arial"/>
          <w:sz w:val="18"/>
          <w:szCs w:val="18"/>
          <w:color w:val="auto"/>
        </w:rPr>
      </w:pPr>
    </w:p>
    <w:p>
      <w:pPr>
        <w:ind w:left="1460" w:right="420" w:hanging="547"/>
        <w:spacing w:after="0" w:line="279" w:lineRule="auto"/>
        <w:tabs>
          <w:tab w:leader="none" w:pos="1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 (including in certain circumstances described in our partnership agreement with the holders of Class B Units voting on an as-converted basis).</w:t>
      </w:r>
    </w:p>
    <w:p>
      <w:pPr>
        <w:spacing w:after="0" w:line="76" w:lineRule="exact"/>
        <w:rPr>
          <w:rFonts w:ascii="Arial" w:cs="Arial" w:eastAsia="Arial" w:hAnsi="Arial"/>
          <w:sz w:val="17"/>
          <w:szCs w:val="17"/>
          <w:color w:val="auto"/>
        </w:rPr>
      </w:pPr>
    </w:p>
    <w:p>
      <w:pPr>
        <w:ind w:left="1460" w:right="40" w:hanging="547"/>
        <w:spacing w:after="0" w:line="264" w:lineRule="auto"/>
        <w:tabs>
          <w:tab w:leader="none" w:pos="1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 w:hanging="547"/>
        <w:spacing w:after="0" w:line="257" w:lineRule="auto"/>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93" w:lineRule="exact"/>
        <w:rPr>
          <w:rFonts w:ascii="Arial" w:cs="Arial" w:eastAsia="Arial" w:hAnsi="Arial"/>
          <w:sz w:val="18"/>
          <w:szCs w:val="18"/>
          <w:color w:val="auto"/>
        </w:rPr>
      </w:pPr>
    </w:p>
    <w:p>
      <w:pPr>
        <w:ind w:left="1460" w:right="160" w:hanging="547"/>
        <w:spacing w:after="0" w:line="276" w:lineRule="auto"/>
        <w:tabs>
          <w:tab w:leader="none" w:pos="1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Our common units are subject to the prior distribution rights of any holders of our preferred units then outstanding. Under the terms of our partnership agreement, we are prohibited from declaring and paying distributions on our common units until we declare and pay (or set aside for payment) full distributions on the Class B Units. Furthermore, an upward adjustment to the distribution rate for the Class B Units occurs in the event the distribution rate on our common units is increased or upon the occurrence of a cross default or certain defaults on the payment of cash distributions on our Class B Units.</w:t>
      </w:r>
    </w:p>
    <w:p>
      <w:pPr>
        <w:spacing w:after="0" w:line="77" w:lineRule="exact"/>
        <w:rPr>
          <w:rFonts w:ascii="Arial" w:cs="Arial" w:eastAsia="Arial" w:hAnsi="Arial"/>
          <w:sz w:val="17"/>
          <w:szCs w:val="17"/>
          <w:color w:val="auto"/>
        </w:rPr>
      </w:pPr>
    </w:p>
    <w:p>
      <w:pPr>
        <w:ind w:left="1460" w:right="80" w:hanging="547"/>
        <w:spacing w:after="0" w:line="279" w:lineRule="auto"/>
        <w:tabs>
          <w:tab w:leader="none" w:pos="1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anticipated cash needs or the payment of distributions on the Class B Units, which our partnership agreement requires us to pay prior to distributions on our common units.</w:t>
      </w:r>
    </w:p>
    <w:p>
      <w:pPr>
        <w:spacing w:after="0" w:line="76" w:lineRule="exact"/>
        <w:rPr>
          <w:rFonts w:ascii="Arial" w:cs="Arial" w:eastAsia="Arial" w:hAnsi="Arial"/>
          <w:sz w:val="17"/>
          <w:szCs w:val="17"/>
          <w:color w:val="auto"/>
        </w:rPr>
      </w:pPr>
    </w:p>
    <w:p>
      <w:pPr>
        <w:ind w:left="1460" w:hanging="547"/>
        <w:spacing w:after="0" w:line="259" w:lineRule="auto"/>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92" w:lineRule="exact"/>
        <w:rPr>
          <w:rFonts w:ascii="Arial" w:cs="Arial" w:eastAsia="Arial" w:hAnsi="Arial"/>
          <w:sz w:val="18"/>
          <w:szCs w:val="18"/>
          <w:color w:val="auto"/>
        </w:rPr>
      </w:pPr>
    </w:p>
    <w:p>
      <w:pPr>
        <w:ind w:left="1460" w:right="220" w:hanging="547"/>
        <w:spacing w:after="0" w:line="264" w:lineRule="auto"/>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86" w:lineRule="exact"/>
        <w:rPr>
          <w:rFonts w:ascii="Arial" w:cs="Arial" w:eastAsia="Arial" w:hAnsi="Arial"/>
          <w:sz w:val="18"/>
          <w:szCs w:val="18"/>
          <w:color w:val="auto"/>
        </w:rPr>
      </w:pPr>
    </w:p>
    <w:p>
      <w:pPr>
        <w:ind w:left="1460" w:right="240" w:hanging="547"/>
        <w:spacing w:after="0" w:line="264" w:lineRule="auto"/>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76" w:lineRule="exact"/>
        <w:rPr>
          <w:sz w:val="20"/>
          <w:szCs w:val="20"/>
          <w:color w:val="auto"/>
        </w:rPr>
      </w:pPr>
    </w:p>
    <w:p>
      <w:pPr>
        <w:ind w:left="1460" w:right="120" w:hanging="547"/>
        <w:spacing w:after="0" w:line="277"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January 2010, we introduced an annual distribution guidance of $0.90 per unit per annum, which was revised in July 2010 upwards to $0.93 per unit per annum, or $0.2325 per quarter.</w:t>
      </w:r>
    </w:p>
    <w:p>
      <w:pPr>
        <w:spacing w:after="0" w:line="75" w:lineRule="exact"/>
        <w:rPr>
          <w:rFonts w:ascii="Arial" w:cs="Arial" w:eastAsia="Arial" w:hAnsi="Arial"/>
          <w:sz w:val="18"/>
          <w:szCs w:val="18"/>
          <w:color w:val="auto"/>
        </w:rPr>
      </w:pPr>
    </w:p>
    <w:p>
      <w:pPr>
        <w:ind w:left="1460" w:right="60" w:hanging="547"/>
        <w:spacing w:after="0" w:line="257"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April 30, 2015, we announced that it was our objective to increase our common and Class B distributions between 2% and 3% per annum for the foreseeable future. As a result, we increased our quarterly distribution for the first quarter of 2015 by $0.002 to $0.2345, for the second quarter of 2015 to $0.2365 and for the third quarter of 2015 to $0.2385. Our board of directors maintained the distribution level for the fourth quarter at $0.2385, due to the severe pricing dislocation for MLPs observed at the end of 2015 and at the beginning of 2016.</w:t>
      </w:r>
    </w:p>
    <w:p>
      <w:pPr>
        <w:spacing w:after="0" w:line="93" w:lineRule="exact"/>
        <w:rPr>
          <w:rFonts w:ascii="Arial" w:cs="Arial" w:eastAsia="Arial" w:hAnsi="Arial"/>
          <w:sz w:val="18"/>
          <w:szCs w:val="18"/>
          <w:color w:val="auto"/>
        </w:rPr>
      </w:pPr>
    </w:p>
    <w:p>
      <w:pPr>
        <w:ind w:left="1460" w:right="60" w:hanging="547"/>
        <w:spacing w:after="0" w:line="272" w:lineRule="auto"/>
        <w:tabs>
          <w:tab w:leader="none" w:pos="1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April 2016, in the face of severely depressed trading prices for master limited partnerships, including us, a significant deterioration in our cost of capital and potential loss of revenue, the board of directors made the decision to protect our liquidity position by creating a capital reserve, provisioning further reserves and setting distributions at a level that the board believes to be sustainable and consistent with the proper conduct of our business. The capital reserve, set by the board of directors at approximately $14.6 million per quarter, was intended to address amortization requirements under our credit facilities through the end of 2018. Accordingly, our board of directors issued a new quarterly distribution guidance of $0.075 per common unit. We made distributions on our common units in accordance with this new guidance in May 2016, August 2016 and November 2016.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86" w:lineRule="auto"/>
        <w:tabs>
          <w:tab w:leader="none" w:pos="1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October 2016, considering the positive impact of the expansion of our asset base following the acquisition of the M/T Amor, our board of directors decided to approve an increase of $0.005 in our quarterly distribution for the fourth quarter 2016 onwards to $0.08 per common unit. Our board of directors maintained this level of distribution through the fourth quarter of 2017.</w:t>
      </w:r>
    </w:p>
    <w:p>
      <w:pPr>
        <w:spacing w:after="0" w:line="70" w:lineRule="exact"/>
        <w:rPr>
          <w:rFonts w:ascii="Arial" w:cs="Arial" w:eastAsia="Arial" w:hAnsi="Arial"/>
          <w:sz w:val="17"/>
          <w:szCs w:val="17"/>
          <w:color w:val="auto"/>
        </w:rPr>
      </w:pPr>
    </w:p>
    <w:p>
      <w:pPr>
        <w:ind w:left="1460" w:right="240" w:hanging="547"/>
        <w:spacing w:after="0" w:line="264" w:lineRule="auto"/>
        <w:tabs>
          <w:tab w:leader="none" w:pos="1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used cash accumulated as a result of quarterly allocations to our capital reserve to partially prepay our indebtedness as part of our refinancing in October 2017. We expect to continue to reserve cash in amounts necessary to service our debt in the future, including to make quarterly amortization payments.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For any period, other than the quarter during which an event giving rise to our liquidation occurs (unless our unitholders have a right to elect to continue our business and so elect), operating surplus generally means:</w:t>
      </w:r>
    </w:p>
    <w:p>
      <w:pPr>
        <w:spacing w:after="0" w:line="76" w:lineRule="exact"/>
        <w:rPr>
          <w:sz w:val="20"/>
          <w:szCs w:val="20"/>
          <w:color w:val="auto"/>
        </w:rPr>
      </w:pPr>
    </w:p>
    <w:p>
      <w:pPr>
        <w:ind w:left="1460" w:right="260" w:hanging="547"/>
        <w:spacing w:after="0" w:line="342" w:lineRule="auto"/>
        <w:tabs>
          <w:tab w:leader="none" w:pos="1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 amount equal to two times the amount needed for any one quarter for us to pay a distribution on all of our units, the general partner units and the incentive distribution rights at the same per-unit amount as was distributed in the immediately preceding quarter; plus</w:t>
      </w:r>
    </w:p>
    <w:p>
      <w:pPr>
        <w:spacing w:after="0" w:line="29" w:lineRule="exact"/>
        <w:rPr>
          <w:rFonts w:ascii="Arial" w:cs="Arial" w:eastAsia="Arial" w:hAnsi="Arial"/>
          <w:sz w:val="16"/>
          <w:szCs w:val="16"/>
          <w:color w:val="auto"/>
        </w:rPr>
      </w:pPr>
    </w:p>
    <w:p>
      <w:pPr>
        <w:ind w:left="1460" w:right="720" w:hanging="547"/>
        <w:spacing w:after="0" w:line="342" w:lineRule="auto"/>
        <w:tabs>
          <w:tab w:leader="none" w:pos="1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of our cash receipts, excluding cash from (1) borrowings, other than working capital borrowings, (2) sales of equity and debt securities, (3) sales or other dispositions of assets outside the ordinary course of business, (4) capital contributions; plus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working capital borrowings made after the end of a quarter but before the date of determination of operating surplus for the quarter; plus</w:t>
      </w:r>
    </w:p>
    <w:p>
      <w:pPr>
        <w:spacing w:after="0" w:line="153" w:lineRule="exact"/>
        <w:rPr>
          <w:rFonts w:ascii="Arial" w:cs="Arial" w:eastAsia="Arial" w:hAnsi="Arial"/>
          <w:sz w:val="16"/>
          <w:szCs w:val="16"/>
          <w:color w:val="auto"/>
        </w:rPr>
      </w:pPr>
    </w:p>
    <w:p>
      <w:pPr>
        <w:jc w:val="both"/>
        <w:ind w:left="1460" w:right="380" w:hanging="547"/>
        <w:spacing w:after="0" w:line="286" w:lineRule="auto"/>
        <w:tabs>
          <w:tab w:leader="none" w:pos="1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interest paid on debt incurred and cash distributions paid on equity securities issued, in each case, to finance all or any portion of the construction, replacement or improvement of a capital asset such as vessels during the period from such financing until the earlier to occur of the date the capital asset is put into service and the date that it is abandoned or disposed of; plus</w:t>
      </w:r>
    </w:p>
    <w:p>
      <w:pPr>
        <w:spacing w:after="0" w:line="70" w:lineRule="exact"/>
        <w:rPr>
          <w:rFonts w:ascii="Arial" w:cs="Arial" w:eastAsia="Arial" w:hAnsi="Arial"/>
          <w:sz w:val="17"/>
          <w:szCs w:val="17"/>
          <w:color w:val="auto"/>
        </w:rPr>
      </w:pPr>
    </w:p>
    <w:p>
      <w:pPr>
        <w:ind w:left="1460" w:right="120" w:hanging="547"/>
        <w:spacing w:after="0" w:line="264" w:lineRule="auto"/>
        <w:tabs>
          <w:tab w:leader="none" w:pos="1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interest paid on debt incurred and cash distributions paid on equity securities issued, in each case, to pay the construction period interest on debt incurred, or to pay construction period distributions on equity issued, to finance the construction projects described in the immediately preceding bullet; less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all of our operating expenditures after the repayment of working capital borrowings, but not (1) the repayment of other borrowings,</w:t>
      </w:r>
    </w:p>
    <w:p>
      <w:pPr>
        <w:spacing w:after="0" w:line="34" w:lineRule="exact"/>
        <w:rPr>
          <w:rFonts w:ascii="Arial" w:cs="Arial" w:eastAsia="Arial" w:hAnsi="Arial"/>
          <w:sz w:val="17"/>
          <w:szCs w:val="17"/>
          <w:color w:val="auto"/>
        </w:rPr>
      </w:pPr>
    </w:p>
    <w:p>
      <w:pPr>
        <w:ind w:left="1720" w:hanging="253"/>
        <w:spacing w:after="0"/>
        <w:tabs>
          <w:tab w:leader="none" w:pos="17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actual maintenance and replacement capital expenditures or expansion capital expenditures or investment capital expenditures,</w:t>
      </w:r>
    </w:p>
    <w:p>
      <w:pPr>
        <w:spacing w:after="0" w:line="20" w:lineRule="exact"/>
        <w:rPr>
          <w:rFonts w:ascii="Arial" w:cs="Arial" w:eastAsia="Arial" w:hAnsi="Arial"/>
          <w:sz w:val="17"/>
          <w:szCs w:val="17"/>
          <w:color w:val="auto"/>
        </w:rPr>
      </w:pPr>
    </w:p>
    <w:p>
      <w:pPr>
        <w:ind w:left="1720" w:hanging="253"/>
        <w:spacing w:after="0"/>
        <w:tabs>
          <w:tab w:leader="none" w:pos="1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transaction expenses (including taxes) related to interim capital transactions or (4) distributions; less</w:t>
      </w:r>
    </w:p>
    <w:p>
      <w:pPr>
        <w:spacing w:after="0" w:line="116"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estimated maintenance and replacement capital expenditures and the amount of cash reserves established by our board of directors to provide funds for future operating expenditures; less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working capital borrowings not repaid within twelve months after having been incurred.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If a working capital borrowing, which increases operating surplus, is not repaid during the 12-month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of cash we receive from non-operating sources.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For purposes of determining operating surplus, maintenance and replacement capital expenditures are those capital expenditures required to maintain over the long term the operating capacity of or the revenue generated by our capital assets, and expansion capital expenditures are those capital expenditures that increase the operating capacity of or the revenue generated by our capital assets. To the extent, however, that capital expenditures associated with acquiring a new vessel increase the revenues or the operating capacity of our fleet, those capital expenditures would be classified as expansion capital expenditures.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Investment capital expenditures are those that are neither maintenance and replacement capital expenditures nor expansion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capital expenditures largely will consist of capital expenditures made for investment purposes.</w:t>
      </w:r>
    </w:p>
    <w:p>
      <w:pPr>
        <w:spacing w:after="0" w:line="103"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73"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to finance the construction of a replacement vessel and paid during the construction period, which we define as the period beginning on the date that we enter into a binding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will also be considered maintenance and replacement capital expenditures.</w:t>
      </w:r>
    </w:p>
    <w:p>
      <w:pPr>
        <w:spacing w:after="0" w:line="7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Our partnership agreement provides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the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is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is prospective only. Our board of directors has elected not to deduct any replacement capital expenditures from our operating surplus since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117"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Any available cash that is distributed after we distribute the operating surplus is capital surplus. Capital surplus generally is expected to be generated by:</w:t>
      </w:r>
    </w:p>
    <w:p>
      <w:pPr>
        <w:spacing w:after="0" w:line="76" w:lineRule="exact"/>
        <w:rPr>
          <w:sz w:val="20"/>
          <w:szCs w:val="20"/>
          <w:color w:val="auto"/>
        </w:rPr>
      </w:pPr>
    </w:p>
    <w:p>
      <w:pPr>
        <w:ind w:left="1460" w:hanging="547"/>
        <w:spacing w:after="0"/>
        <w:tabs>
          <w:tab w:leader="none" w:pos="1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We have not yet made any distributions from capital surplus and do not anticipate doing so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make quarterly distributions of available cash from operating surplus in the following manner, after payment of any amounts owed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B Units and subject to applicable law:</w:t>
      </w:r>
    </w:p>
    <w:p>
      <w:pPr>
        <w:spacing w:after="0" w:line="116" w:lineRule="exact"/>
        <w:rPr>
          <w:sz w:val="20"/>
          <w:szCs w:val="20"/>
          <w:color w:val="auto"/>
        </w:rPr>
      </w:pPr>
    </w:p>
    <w:p>
      <w:pPr>
        <w:ind w:left="1460" w:right="240" w:hanging="547"/>
        <w:spacing w:after="0" w:line="277" w:lineRule="auto"/>
        <w:tabs>
          <w:tab w:leader="none" w:pos="1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 Rights”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121"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Any transfer by our General Partner of the incentive distribution rights would not change the percentage allocations of quarterly distributions with respect to such rights.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for any quarter:</w:t>
      </w:r>
    </w:p>
    <w:p>
      <w:pPr>
        <w:spacing w:after="0" w:line="131" w:lineRule="exact"/>
        <w:rPr>
          <w:sz w:val="20"/>
          <w:szCs w:val="20"/>
          <w:color w:val="auto"/>
        </w:rPr>
      </w:pPr>
    </w:p>
    <w:p>
      <w:pPr>
        <w:ind w:left="1460" w:hanging="547"/>
        <w:spacing w:after="0"/>
        <w:tabs>
          <w:tab w:leader="none" w:pos="1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we have paid to the holders of our Class B units the minimum quarterly amount we have promised to them, and all arrearages;</w:t>
      </w:r>
    </w:p>
    <w:p>
      <w:pPr>
        <w:spacing w:after="0" w:line="142" w:lineRule="exact"/>
        <w:rPr>
          <w:rFonts w:ascii="Arial" w:cs="Arial" w:eastAsia="Arial" w:hAnsi="Arial"/>
          <w:sz w:val="17"/>
          <w:szCs w:val="17"/>
          <w:color w:val="auto"/>
        </w:rPr>
      </w:pPr>
    </w:p>
    <w:p>
      <w:pPr>
        <w:ind w:left="1460" w:right="140" w:hanging="547"/>
        <w:spacing w:after="0" w:line="277" w:lineRule="auto"/>
        <w:tabs>
          <w:tab w:leader="none" w:pos="1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paid to the holders of any other outstanding units that are senior in right of distribution to our common units the agreed amount of distribution;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500" w:hanging="547"/>
        <w:spacing w:after="0" w:line="277" w:lineRule="auto"/>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w:t>
      </w:r>
    </w:p>
    <w:p>
      <w:pPr>
        <w:spacing w:after="0" w:line="75"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then, we will distribute any additional available cash from operating surplus for that quarter among the unitholders and our General Partner in the following manner:</w:t>
      </w:r>
    </w:p>
    <w:p>
      <w:pPr>
        <w:spacing w:after="0" w:line="75" w:lineRule="exact"/>
        <w:rPr>
          <w:rFonts w:ascii="Arial" w:cs="Arial" w:eastAsia="Arial" w:hAnsi="Arial"/>
          <w:sz w:val="18"/>
          <w:szCs w:val="18"/>
          <w:color w:val="auto"/>
        </w:rPr>
      </w:pPr>
    </w:p>
    <w:p>
      <w:pPr>
        <w:ind w:left="1920" w:right="60" w:hanging="440"/>
        <w:spacing w:after="0" w:line="277" w:lineRule="auto"/>
        <w:tabs>
          <w:tab w:leader="none" w:pos="1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each unitholder receives a total of $0.2425 per unit for that quarter (the “first target distribution”),</w:t>
      </w:r>
    </w:p>
    <w:p>
      <w:pPr>
        <w:spacing w:after="0" w:line="75" w:lineRule="exact"/>
        <w:rPr>
          <w:rFonts w:ascii="Arial" w:cs="Arial" w:eastAsia="Arial" w:hAnsi="Arial"/>
          <w:sz w:val="18"/>
          <w:szCs w:val="18"/>
          <w:color w:val="auto"/>
        </w:rPr>
      </w:pPr>
    </w:p>
    <w:p>
      <w:pPr>
        <w:ind w:left="1920" w:right="140" w:hanging="440"/>
        <w:spacing w:after="0" w:line="277" w:lineRule="auto"/>
        <w:tabs>
          <w:tab w:leader="none" w:pos="1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second, 85% to all unitholders, pro rata, and 15% to our General Partner, until each unitholder receives a total of $0.2675 per unit for that quarter (the “second target distribution”),</w:t>
      </w:r>
    </w:p>
    <w:p>
      <w:pPr>
        <w:spacing w:after="0" w:line="75" w:lineRule="exact"/>
        <w:rPr>
          <w:rFonts w:ascii="Arial" w:cs="Arial" w:eastAsia="Arial" w:hAnsi="Arial"/>
          <w:sz w:val="18"/>
          <w:szCs w:val="18"/>
          <w:color w:val="auto"/>
        </w:rPr>
      </w:pPr>
    </w:p>
    <w:p>
      <w:pPr>
        <w:ind w:left="1920" w:right="60" w:hanging="440"/>
        <w:spacing w:after="0" w:line="277" w:lineRule="auto"/>
        <w:tabs>
          <w:tab w:leader="none" w:pos="1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third, 75% to all unitholders, pro rata, and 25% to our General Partner, until each unitholder receives a total of $0.2925 per unit for that quarter (the “third target distribution”),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thereafter, 65% to all unitholders, pro rata, and 35% to our General Partner.</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percentage interests set forth above assume that our General Partner maintains its 2.0% general partner interest and has not transferred the incentive distribution rights and that we do not issue additional classes of equity securities.</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Following discussion with, and with the unanimous support of, the conflicts committee of our board of directors, Capital Maritime permanently waived its rights to receive quarterly incentive distributions between $0.2425 and $0.25. This waiver effectively increases the first target distribution and the lower bound of the second target distribution (as referenced in the table below) from $0.2425 to $0.25.</w:t>
      </w:r>
    </w:p>
    <w:p>
      <w:pPr>
        <w:spacing w:after="0" w:line="181"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Arrearages on Class B Units do not accrue interest. In addition, holders of Class B Units are not entitled to any distributions, whether payable in cash, property or partnership interests, in excess of the then arrearage plus the minimum quarterly distribution on the Class B Units for the relevant quarter.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and our General Partner up to the various target distribution levels. The percentage allocations in the table are subject to the distribution rights of the holders of our Class B Units.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upon conversion of its general partner units, our General Partner maintains a 2.0% general partner interest and assume our General Partner has not transferred the incentive distribution rights.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Marginal Percentage</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Interest in Distributions</w:t>
            </w: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Quarterly Distribution Target Amount</w:t>
            </w:r>
          </w:p>
        </w:tc>
        <w:tc>
          <w:tcPr>
            <w:tcW w:w="580" w:type="dxa"/>
            <w:vAlign w:val="bottom"/>
            <w:vMerge w:val="restart"/>
          </w:tcPr>
          <w:p>
            <w:pPr>
              <w:spacing w:after="0"/>
              <w:rPr>
                <w:sz w:val="10"/>
                <w:szCs w:val="10"/>
                <w:color w:val="auto"/>
              </w:rPr>
            </w:pPr>
          </w:p>
        </w:tc>
        <w:tc>
          <w:tcPr>
            <w:tcW w:w="1440" w:type="dxa"/>
            <w:vAlign w:val="bottom"/>
            <w:tcBorders>
              <w:top w:val="single" w:sz="8" w:color="auto"/>
            </w:tcBorders>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Unitholders</w:t>
            </w: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9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$0.2325</w:t>
            </w:r>
          </w:p>
        </w:tc>
        <w:tc>
          <w:tcPr>
            <w:tcW w:w="5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54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up to $0.2425 (1)</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5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9"/>
              </w:rPr>
              <w:t>above $0.2425 (1) up to $0.2675</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54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above $0.2675 up to $0.2925</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75%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5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above $0.2925</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2960" w:type="dxa"/>
            <w:vAlign w:val="bottom"/>
          </w:tcPr>
          <w:p>
            <w:pPr>
              <w:jc w:val="right"/>
              <w:ind w:right="1893"/>
              <w:spacing w:after="0"/>
              <w:rPr>
                <w:sz w:val="20"/>
                <w:szCs w:val="20"/>
                <w:color w:val="auto"/>
              </w:rPr>
            </w:pPr>
            <w:r>
              <w:rPr>
                <w:rFonts w:ascii="Arial" w:cs="Arial" w:eastAsia="Arial" w:hAnsi="Arial"/>
                <w:sz w:val="18"/>
                <w:szCs w:val="18"/>
                <w:color w:val="auto"/>
              </w:rPr>
              <w:t>121</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79"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disclosed on our Current Report on Form 6-K furnished on August 26, 2014, Capital Maritime unilaterally notified the Partnership that it decided to waive its rights to receive quarterly incentive distributions between $0.2425 and $0.25. Capital Maritime permanently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$0.2425 to $0.25.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make distributions of available cash from capital surplus, if any, in the following manner:</w:t>
      </w:r>
    </w:p>
    <w:p>
      <w:pPr>
        <w:spacing w:after="0" w:line="131" w:lineRule="exact"/>
        <w:rPr>
          <w:sz w:val="20"/>
          <w:szCs w:val="20"/>
          <w:color w:val="auto"/>
        </w:rPr>
      </w:pPr>
    </w:p>
    <w:p>
      <w:pPr>
        <w:ind w:left="1460" w:right="220" w:hanging="547"/>
        <w:spacing w:after="0" w:line="279" w:lineRule="auto"/>
        <w:tabs>
          <w:tab w:leader="none" w:pos="14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first, 100% to the Class B unitholders, pro rata, until we distribute in respect of each outstanding unit an aggregate amount of available cash from capital surplus equal to the redemption value of the Class B Units, being the sum of (i) the per unit purchase price of $9.00, plus (ii) arrearages in payment of the minimum quarterly distribution on the Class B units, plus (iii) the accrued minimum quarterly distribution rate for the Class B units since the close of the last complete quarter; and</w:t>
      </w:r>
    </w:p>
    <w:p>
      <w:pPr>
        <w:spacing w:after="0" w:line="76" w:lineRule="exact"/>
        <w:rPr>
          <w:rFonts w:ascii="Arial" w:cs="Arial" w:eastAsia="Arial" w:hAnsi="Arial"/>
          <w:sz w:val="17"/>
          <w:szCs w:val="17"/>
          <w:color w:val="auto"/>
        </w:rPr>
      </w:pPr>
    </w:p>
    <w:p>
      <w:pPr>
        <w:jc w:val="both"/>
        <w:ind w:left="1460" w:right="100" w:hanging="547"/>
        <w:spacing w:after="0" w:line="342" w:lineRule="auto"/>
        <w:tabs>
          <w:tab w:leader="none" w:pos="1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second, 98% to the common unitholders, pro rata, and 2% to our General Partner, until we distribute for each common unit an aggregate amount of available cash from capital surplus equal to the initial unit price of the common units issued in our initial public offering; and</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thereafter, we will make distributions of available cash from capital surplus as if they were from operating surplus.</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preceding paragraph is based on the assumption that our General Partner maintains a 2.0% general partner interest and that we do not issue additional classes of equity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partnership agreement treats a distribution of capital surplus as a return of capital. Each time a distribution of capital surplus is made, the minimum quarterly distribution and the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our General Partner to receive incentive distributions.</w:t>
      </w:r>
    </w:p>
    <w:p>
      <w:pPr>
        <w:spacing w:after="0" w:line="17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However, any distribution of capital surplus before the minimum quarterly distribution is reduced to zero cannot be applied to the payment of the minimum quarterly distribution or any arrearages.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In addition to adjusting the minimum quarterly distribution and target distribution levels to reflect a distribution of capital surplus, if we combine our units into fewer units or subdivide our units into a greater number of units, we will proportionately adjust:</w:t>
      </w:r>
    </w:p>
    <w:p>
      <w:pPr>
        <w:spacing w:after="0" w:line="76" w:lineRule="exact"/>
        <w:rPr>
          <w:sz w:val="20"/>
          <w:szCs w:val="20"/>
          <w:color w:val="auto"/>
        </w:rPr>
      </w:pPr>
    </w:p>
    <w:p>
      <w:pPr>
        <w:ind w:left="1460" w:hanging="547"/>
        <w:spacing w:after="0"/>
        <w:tabs>
          <w:tab w:leader="none" w:pos="1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minimum quarterly distribution;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25"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For example, if a two-for-one split of the common and subordinated units should occur, the minimum quarterly distribution, the target distribution levels would be reduced to 50% of its initial level. We will not make any adjustment by reason of the issuance of additional units for cash or property.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addition, if legislation is enacted or the official interpretation of any existing legislation is modified by a governmental taxing authority, and as a result any of our subsidiaries becomes subject to taxation as an entity for U.S. federal, state, local or foreign tax purposes, our partnership agreement specifies that the minimum quarterly distribution and the target distribution levels for each quarter will be reduced by multiplying each distribution level by a fraction, the numerator of which is available cash for that quarter and the denominator of which is the sum of available cash for that quarter plus our board of directors’ estimate of our direct or indirect aggregate liability for the quarter for such taxes payable by reason of such legislation or interpretation. To the extent that the actual tax liability differs from the estimated tax liability for any quarter, the difference will be accounted for in subsequent quarters.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Holders of outstanding Class B Units will be entitled to receive, prior and in preference to any distribution to the holders of common units (or any class or series of partnership interests ranking junior to the Class B Units) a sum of:</w:t>
      </w:r>
    </w:p>
    <w:p>
      <w:pPr>
        <w:spacing w:after="0" w:line="76" w:lineRule="exact"/>
        <w:rPr>
          <w:sz w:val="20"/>
          <w:szCs w:val="20"/>
          <w:color w:val="auto"/>
        </w:rPr>
      </w:pPr>
    </w:p>
    <w:p>
      <w:pPr>
        <w:ind w:left="1460" w:hanging="547"/>
        <w:spacing w:after="0"/>
        <w:tabs>
          <w:tab w:leader="none" w:pos="1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per unit purchase price of $9.00; plus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arrearages in payment of the minimum quarterly distribution on the Class B units; plus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accrued minimum quarterly distribution rate for the Class B units since the close of the last complete quarter.</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Once the Class B units have been paid the full liquidation value described above, the remaining proceeds will be distributed to common unitholders as follows.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76" w:lineRule="exact"/>
        <w:rPr>
          <w:sz w:val="20"/>
          <w:szCs w:val="20"/>
          <w:color w:val="auto"/>
        </w:rPr>
      </w:pPr>
    </w:p>
    <w:p>
      <w:pPr>
        <w:ind w:left="1460" w:right="180" w:hanging="547"/>
        <w:spacing w:after="0" w:line="277" w:lineRule="auto"/>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(as described below); plus</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(less any prior capital surplus distributions and any prior cash distributions made in connection with a partial liquidation);</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then the proceeds of the liquidation will be applied as follows:</w:t>
      </w:r>
    </w:p>
    <w:p>
      <w:pPr>
        <w:spacing w:after="0" w:line="252" w:lineRule="exact"/>
        <w:rPr>
          <w:sz w:val="20"/>
          <w:szCs w:val="20"/>
          <w:color w:val="auto"/>
        </w:rPr>
      </w:pPr>
    </w:p>
    <w:p>
      <w:pPr>
        <w:ind w:left="1460" w:right="120" w:hanging="547"/>
        <w:spacing w:after="0" w:line="277" w:lineRule="auto"/>
        <w:tabs>
          <w:tab w:leader="none" w:pos="1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the current market price of our common units; and</w:t>
      </w:r>
    </w:p>
    <w:p>
      <w:pPr>
        <w:spacing w:after="0" w:line="197" w:lineRule="exact"/>
        <w:rPr>
          <w:rFonts w:ascii="Arial" w:cs="Arial" w:eastAsia="Arial" w:hAnsi="Arial"/>
          <w:sz w:val="18"/>
          <w:szCs w:val="18"/>
          <w:color w:val="auto"/>
        </w:rPr>
      </w:pPr>
    </w:p>
    <w:p>
      <w:pPr>
        <w:ind w:left="1460" w:hanging="547"/>
        <w:spacing w:after="0"/>
        <w:tabs>
          <w:tab w:leader="none" w:pos="1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76" w:lineRule="exact"/>
        <w:rPr>
          <w:sz w:val="20"/>
          <w:szCs w:val="20"/>
          <w:color w:val="auto"/>
        </w:rPr>
      </w:pPr>
    </w:p>
    <w:p>
      <w:pPr>
        <w:ind w:left="1460" w:right="180" w:hanging="547"/>
        <w:spacing w:after="0" w:line="277" w:lineRule="auto"/>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plus</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(less any prior capital surplus distributions and any prior cash distributions made in connection with a partial liquidation);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then the proceeds of the liquidation will be applied as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140" w:hanging="547"/>
        <w:spacing w:after="0" w:line="264"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such initial unit price (less any prior capital surplus distributions and any prior cash distributions made in connection with a partial liquidation);</w:t>
      </w:r>
    </w:p>
    <w:p>
      <w:pPr>
        <w:spacing w:after="0" w:line="86" w:lineRule="exact"/>
        <w:rPr>
          <w:rFonts w:ascii="Arial" w:cs="Arial" w:eastAsia="Arial" w:hAnsi="Arial"/>
          <w:sz w:val="18"/>
          <w:szCs w:val="18"/>
          <w:color w:val="auto"/>
        </w:rPr>
      </w:pPr>
    </w:p>
    <w:p>
      <w:pPr>
        <w:ind w:left="1460" w:right="280" w:hanging="547"/>
        <w:spacing w:after="0" w:line="264"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has not transferred the incentive distribution rights and that we do not issue additional classes of equity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 Period</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subordination period, which terminated on February 14, 2009, was a period during which the common units had the right to receive available cash from operating surplus in an amount equal to the minimum quarterly distribution per quarter, plus any arrearages in the payment of the minimum quarterly distribution on the common units from prior quarters, before any distributions of available cash from operating surplus were made on the “subordinated units,” which were issued in addition to the common units in our initial public offering. Upon termination of the subordination period, the subordinated units were converted into common units on a one-for-one basis.</w:t>
      </w:r>
    </w:p>
    <w:p>
      <w:pPr>
        <w:spacing w:after="0" w:line="333" w:lineRule="exact"/>
        <w:rPr>
          <w:sz w:val="20"/>
          <w:szCs w:val="20"/>
          <w:color w:val="auto"/>
        </w:rPr>
      </w:pPr>
    </w:p>
    <w:p>
      <w:pPr>
        <w:ind w:left="1920" w:hanging="440"/>
        <w:spacing w:after="0"/>
        <w:tabs>
          <w:tab w:leader="none" w:pos="19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Other than as described in “Item 4. Information on the Partnership—History and Development of the Partnership—Recent Developments” and below, no significant changes have occurred since the date of our Financial Statements included herein:</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On January 17, 2018, we declared a cash distribution of $0.08 per common unit for the fourth quarter of 2017, which was paid on February 13, 2018 to unitholders of record on February 2, 2018.</w:t>
      </w:r>
    </w:p>
    <w:p>
      <w:pPr>
        <w:spacing w:after="0" w:line="170"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On January 17, 2018, we declared a cash distribution of $0.21375 per Class B Unit for the fourth quarter of 2017, in line with our partnership agreement. The fourth quarter Class B Unit cash distribution was paid on February 9, 2018, to Class B unitholders of record on February 2, 2018.</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Our common units started trading on the Nasdaq Global Select Market under the symbol “CPLP” on March 30, 2007. The following table sets forth the high and low closing sales prices in U.S. Dollars for our common units for each of the periods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4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2017</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3.12</w:t>
            </w:r>
          </w:p>
        </w:tc>
        <w:tc>
          <w:tcPr>
            <w:tcW w:w="60" w:type="dxa"/>
            <w:vAlign w:val="bottom"/>
          </w:tcPr>
          <w:p>
            <w:pPr>
              <w:spacing w:after="0"/>
              <w:rPr>
                <w:sz w:val="18"/>
                <w:szCs w:val="18"/>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2.51</w:t>
            </w:r>
          </w:p>
        </w:tc>
        <w:tc>
          <w:tcPr>
            <w:tcW w:w="60" w:type="dxa"/>
            <w:vAlign w:val="bottom"/>
            <w:shd w:val="clear" w:color="auto" w:fill="CCEEFF"/>
          </w:tcPr>
          <w:p>
            <w:pPr>
              <w:spacing w:after="0"/>
              <w:rPr>
                <w:sz w:val="18"/>
                <w:szCs w:val="18"/>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2015</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5.05</w:t>
            </w:r>
          </w:p>
        </w:tc>
        <w:tc>
          <w:tcPr>
            <w:tcW w:w="60" w:type="dxa"/>
            <w:vAlign w:val="bottom"/>
          </w:tcPr>
          <w:p>
            <w:pPr>
              <w:spacing w:after="0"/>
              <w:rPr>
                <w:sz w:val="18"/>
                <w:szCs w:val="18"/>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6.79</w:t>
            </w:r>
          </w:p>
        </w:tc>
        <w:tc>
          <w:tcPr>
            <w:tcW w:w="60" w:type="dxa"/>
            <w:vAlign w:val="bottom"/>
            <w:shd w:val="clear" w:color="auto" w:fill="CCEEFF"/>
          </w:tcPr>
          <w:p>
            <w:pPr>
              <w:spacing w:after="0"/>
              <w:rPr>
                <w:sz w:val="18"/>
                <w:szCs w:val="18"/>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2013</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3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6.81</w:t>
            </w:r>
          </w:p>
        </w:tc>
        <w:tc>
          <w:tcPr>
            <w:tcW w:w="6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 Ended:</w:t>
            </w:r>
          </w:p>
        </w:tc>
        <w:tc>
          <w:tcPr>
            <w:tcW w:w="4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December 31, 2017</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3.12</w:t>
            </w:r>
          </w:p>
        </w:tc>
        <w:tc>
          <w:tcPr>
            <w:tcW w:w="60" w:type="dxa"/>
            <w:vAlign w:val="bottom"/>
          </w:tcPr>
          <w:p>
            <w:pPr>
              <w:spacing w:after="0"/>
              <w:rPr>
                <w:sz w:val="18"/>
                <w:szCs w:val="18"/>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2017</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3.43</w:t>
            </w:r>
          </w:p>
        </w:tc>
        <w:tc>
          <w:tcPr>
            <w:tcW w:w="60" w:type="dxa"/>
            <w:vAlign w:val="bottom"/>
            <w:shd w:val="clear" w:color="auto" w:fill="CCEEFF"/>
          </w:tcPr>
          <w:p>
            <w:pPr>
              <w:spacing w:after="0"/>
              <w:rPr>
                <w:sz w:val="18"/>
                <w:szCs w:val="18"/>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June 30, 2017</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3.29</w:t>
            </w:r>
          </w:p>
        </w:tc>
        <w:tc>
          <w:tcPr>
            <w:tcW w:w="60" w:type="dxa"/>
            <w:vAlign w:val="bottom"/>
          </w:tcPr>
          <w:p>
            <w:pPr>
              <w:spacing w:after="0"/>
              <w:rPr>
                <w:sz w:val="18"/>
                <w:szCs w:val="18"/>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2017</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3.16</w:t>
            </w:r>
          </w:p>
        </w:tc>
        <w:tc>
          <w:tcPr>
            <w:tcW w:w="60" w:type="dxa"/>
            <w:vAlign w:val="bottom"/>
            <w:shd w:val="clear" w:color="auto" w:fill="CCEEFF"/>
          </w:tcPr>
          <w:p>
            <w:pPr>
              <w:spacing w:after="0"/>
              <w:rPr>
                <w:sz w:val="18"/>
                <w:szCs w:val="18"/>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December 31, 2016</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2.77</w:t>
            </w:r>
          </w:p>
        </w:tc>
        <w:tc>
          <w:tcPr>
            <w:tcW w:w="60" w:type="dxa"/>
            <w:vAlign w:val="bottom"/>
          </w:tcPr>
          <w:p>
            <w:pPr>
              <w:spacing w:after="0"/>
              <w:rPr>
                <w:sz w:val="20"/>
                <w:szCs w:val="20"/>
                <w:color w:val="auto"/>
              </w:rPr>
            </w:pPr>
          </w:p>
        </w:tc>
      </w:tr>
      <w:tr>
        <w:trPr>
          <w:trHeight w:val="350"/>
        </w:trPr>
        <w:tc>
          <w:tcPr>
            <w:tcW w:w="3120" w:type="dxa"/>
            <w:vAlign w:val="bottom"/>
          </w:tcPr>
          <w:p>
            <w:pPr>
              <w:spacing w:after="0"/>
              <w:rPr>
                <w:sz w:val="24"/>
                <w:szCs w:val="24"/>
                <w:color w:val="auto"/>
              </w:rPr>
            </w:pPr>
          </w:p>
        </w:tc>
        <w:tc>
          <w:tcPr>
            <w:tcW w:w="4360" w:type="dxa"/>
            <w:vAlign w:val="bottom"/>
          </w:tcPr>
          <w:p>
            <w:pPr>
              <w:jc w:val="right"/>
              <w:ind w:right="293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2016</w:t>
            </w:r>
          </w:p>
        </w:tc>
        <w:tc>
          <w:tcPr>
            <w:tcW w:w="3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June 30, 2016</w:t>
            </w:r>
          </w:p>
        </w:tc>
        <w:tc>
          <w:tcPr>
            <w:tcW w:w="3420" w:type="dxa"/>
            <w:vAlign w:val="bottom"/>
          </w:tcPr>
          <w:p>
            <w:pPr>
              <w:jc w:val="right"/>
              <w:ind w:right="110"/>
              <w:spacing w:after="0"/>
              <w:rPr>
                <w:sz w:val="20"/>
                <w:szCs w:val="20"/>
                <w:color w:val="auto"/>
              </w:rPr>
            </w:pPr>
            <w:r>
              <w:rPr>
                <w:rFonts w:ascii="Arial" w:cs="Arial" w:eastAsia="Arial" w:hAnsi="Arial"/>
                <w:sz w:val="18"/>
                <w:szCs w:val="18"/>
                <w:color w:val="auto"/>
              </w:rPr>
              <w:t>3.83</w:t>
            </w:r>
          </w:p>
        </w:tc>
        <w:tc>
          <w:tcPr>
            <w:tcW w:w="5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2016</w:t>
            </w:r>
          </w:p>
        </w:tc>
        <w:tc>
          <w:tcPr>
            <w:tcW w:w="3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Month Ended:</w:t>
            </w: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February 28, 2018</w:t>
            </w:r>
          </w:p>
        </w:tc>
        <w:tc>
          <w:tcPr>
            <w:tcW w:w="3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January 31, 2018</w:t>
            </w:r>
          </w:p>
        </w:tc>
        <w:tc>
          <w:tcPr>
            <w:tcW w:w="3420" w:type="dxa"/>
            <w:vAlign w:val="bottom"/>
          </w:tcPr>
          <w:p>
            <w:pPr>
              <w:jc w:val="right"/>
              <w:ind w:right="110"/>
              <w:spacing w:after="0"/>
              <w:rPr>
                <w:sz w:val="20"/>
                <w:szCs w:val="20"/>
                <w:color w:val="auto"/>
              </w:rPr>
            </w:pPr>
            <w:r>
              <w:rPr>
                <w:rFonts w:ascii="Arial" w:cs="Arial" w:eastAsia="Arial" w:hAnsi="Arial"/>
                <w:sz w:val="18"/>
                <w:szCs w:val="18"/>
                <w:color w:val="auto"/>
              </w:rPr>
              <w:t>3.57</w:t>
            </w: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2017</w:t>
            </w:r>
          </w:p>
        </w:tc>
        <w:tc>
          <w:tcPr>
            <w:tcW w:w="3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November 30, 2017</w:t>
            </w:r>
          </w:p>
        </w:tc>
        <w:tc>
          <w:tcPr>
            <w:tcW w:w="3420" w:type="dxa"/>
            <w:vAlign w:val="bottom"/>
          </w:tcPr>
          <w:p>
            <w:pPr>
              <w:jc w:val="right"/>
              <w:ind w:right="110"/>
              <w:spacing w:after="0"/>
              <w:rPr>
                <w:sz w:val="20"/>
                <w:szCs w:val="20"/>
                <w:color w:val="auto"/>
              </w:rPr>
            </w:pPr>
            <w:r>
              <w:rPr>
                <w:rFonts w:ascii="Arial" w:cs="Arial" w:eastAsia="Arial" w:hAnsi="Arial"/>
                <w:sz w:val="18"/>
                <w:szCs w:val="18"/>
                <w:color w:val="auto"/>
              </w:rPr>
              <w:t>3.38</w:t>
            </w: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October 31, 2017</w:t>
            </w:r>
          </w:p>
        </w:tc>
        <w:tc>
          <w:tcPr>
            <w:tcW w:w="3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September 30, 2017</w:t>
            </w:r>
          </w:p>
        </w:tc>
        <w:tc>
          <w:tcPr>
            <w:tcW w:w="3420" w:type="dxa"/>
            <w:vAlign w:val="bottom"/>
          </w:tcPr>
          <w:p>
            <w:pPr>
              <w:jc w:val="right"/>
              <w:ind w:right="110"/>
              <w:spacing w:after="0"/>
              <w:rPr>
                <w:sz w:val="20"/>
                <w:szCs w:val="20"/>
                <w:color w:val="auto"/>
              </w:rPr>
            </w:pPr>
            <w:r>
              <w:rPr>
                <w:rFonts w:ascii="Arial" w:cs="Arial" w:eastAsia="Arial" w:hAnsi="Arial"/>
                <w:sz w:val="18"/>
                <w:szCs w:val="18"/>
                <w:color w:val="auto"/>
              </w:rPr>
              <w:t>3.69</w:t>
            </w:r>
          </w:p>
        </w:tc>
        <w:tc>
          <w:tcPr>
            <w:tcW w:w="5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August 31, 2017</w:t>
            </w:r>
          </w:p>
        </w:tc>
        <w:tc>
          <w:tcPr>
            <w:tcW w:w="3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bl>
    <w:p>
      <w:pPr>
        <w:spacing w:after="0" w:line="3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31" w:lineRule="exact"/>
        <w:rPr>
          <w:sz w:val="20"/>
          <w:szCs w:val="20"/>
          <w:color w:val="auto"/>
        </w:rPr>
      </w:pPr>
    </w:p>
    <w:p>
      <w:pPr>
        <w:ind w:left="1920" w:hanging="440"/>
        <w:spacing w:after="0"/>
        <w:tabs>
          <w:tab w:leader="none" w:pos="19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PARTNERSHIP AGREEMENT</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following is a summary of the material provisions of our partnership agreement. The partnership agreement, as amended, is filed as Exhibit I to our Current Report on Form 6-K dated February 24, 2010, as Exhibit I to our Current Report on Form 6-K dated September 30, 2011, as Exhibit II to our Current Report on Form 6-K/A dated May 23, 2012, as Exhibit II to our Current Report on Form 6-K dated March 21, 2013 and as Exhibit A to Exhibit I to our Current Report on Form 6-K dated August 26, 2014. We will provide prospective investors with a copy of our limited partnership agreement and any amendments thereto upon request at no charge.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summarize the following provisions of our partnership agreement elsewhere in this annual report:</w:t>
      </w:r>
    </w:p>
    <w:p>
      <w:pPr>
        <w:spacing w:after="0" w:line="131" w:lineRule="exact"/>
        <w:rPr>
          <w:sz w:val="20"/>
          <w:szCs w:val="20"/>
          <w:color w:val="auto"/>
        </w:rPr>
      </w:pPr>
    </w:p>
    <w:p>
      <w:pPr>
        <w:ind w:left="1460" w:hanging="547"/>
        <w:spacing w:after="0"/>
        <w:tabs>
          <w:tab w:leader="none" w:pos="14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with regard to distributions of available cash, please read “Item 8: Financial Information—How We Make Cash Distributions,” and</w:t>
      </w:r>
    </w:p>
    <w:p>
      <w:pPr>
        <w:spacing w:after="0" w:line="142" w:lineRule="exact"/>
        <w:rPr>
          <w:rFonts w:ascii="Arial" w:cs="Arial" w:eastAsia="Arial" w:hAnsi="Arial"/>
          <w:sz w:val="17"/>
          <w:szCs w:val="17"/>
          <w:color w:val="auto"/>
        </w:rPr>
      </w:pPr>
    </w:p>
    <w:p>
      <w:pPr>
        <w:ind w:left="1460" w:right="20" w:hanging="547"/>
        <w:spacing w:after="0" w:line="277" w:lineRule="auto"/>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regard to the fiduciary duties of our General Partner and our directors, please read “Item 7.B: Related Party Transactions—Conflicts of Interest and Fiduciary Duties.”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were organized on January 16, 2007 and have perpetual existence.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MILPA.</w:t>
      </w:r>
    </w:p>
    <w:p>
      <w:pPr>
        <w:spacing w:after="0" w:line="170"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Each limited partner, and each person who acquires a unit from another unitholder grants to our General Partner and, if appointed, a liquidator, a power of attorney to, among other things, execute and file documents required for our qualification, continuance or dissolution. The power of attorney also grants our General Partner the authority to make consents and waivers under the partnership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Unitholders are not obligated to make additional capital contributions, except as described below under “—Limited Liability.”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outstanding common unit is entitled to one vote on matters subject to a vote of common unitholders.</w:t>
      </w:r>
    </w:p>
    <w:p>
      <w:pPr>
        <w:spacing w:after="0" w:line="225"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The holders of the Class B Units have voting rights that are identical to the voting rights of the common units on an as converted basis and will vote with the common units as a single class on all matters with respect to which each common unit is entitled to vote, provided, however, that except in the circumstances described below, holders of Class B Units have no right to vote for, elect or appoint any director, or to nominate any individual to stand for election or appointment as a director. </w:t>
      </w:r>
      <w:r>
        <w:rPr>
          <w:rFonts w:ascii="Arial" w:cs="Arial" w:eastAsia="Arial" w:hAnsi="Arial"/>
          <w:sz w:val="18"/>
          <w:szCs w:val="18"/>
          <w:i w:val="1"/>
          <w:iCs w:val="1"/>
          <w:color w:val="auto"/>
        </w:rPr>
        <w:t>Therefore, whenever we refer to a vote of the common unit holders in this summary, you should be aware that the</w:t>
      </w:r>
      <w:r>
        <w:rPr>
          <w:rFonts w:ascii="Arial" w:cs="Arial" w:eastAsia="Arial" w:hAnsi="Arial"/>
          <w:sz w:val="18"/>
          <w:szCs w:val="18"/>
          <w:color w:val="auto"/>
        </w:rPr>
        <w:t xml:space="preserve"> </w:t>
      </w:r>
      <w:r>
        <w:rPr>
          <w:rFonts w:ascii="Arial" w:cs="Arial" w:eastAsia="Arial" w:hAnsi="Arial"/>
          <w:sz w:val="18"/>
          <w:szCs w:val="18"/>
          <w:i w:val="1"/>
          <w:iCs w:val="1"/>
          <w:color w:val="auto"/>
        </w:rPr>
        <w:t>holders of the Class B Units will vote with the common unit holders on an as converted basis as a single class, except on any election of a director on our board of directors.</w:t>
      </w:r>
    </w:p>
    <w:p>
      <w:pPr>
        <w:spacing w:after="0" w:line="19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To preserve our ability to be exempt from U.S. federal income tax under Section 883 of the Code, if at any time, any person or group, other than our General Partner or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law),or calculating required votes, except for purposes of nominating a person for election to our board, or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66"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We will hold a meeting of the limited partners entitled to vote every year to elect one or more members of our board of directors and to vote on any other matters that are properly brought before the meeting. The sole member of our General Partner, CMTC, has the right to appoint three of the eight members of our board of directors with the remaining five directors being elected by our common unitholders. Holders of the Class B Units do not have the right to elect directors, except upon the occurrence of certain triggering events. Among other consequences, if we fail to pay the minimum Class B Unit distribution, as set out in our partnership agreement, for six or more quarters, the holders of the Class B Units will have the right to appoint a director to our board and, if such arrearages exist on or after March 1, 2018, to replace the directors appointed by our General Partner, in each case by the affirmative vote of the persons holding a majority of the Class B Units, subject to exceptions and conditions contained in our partnership agreement.</w:t>
      </w:r>
    </w:p>
    <w:p>
      <w:pPr>
        <w:spacing w:after="0" w:line="16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 voting their units, our General Partner and its affiliates will have no fiduciary duty or obligation whatsoever to us or limited partners, including any duty to act in good faith or in the best interests of us and the limited partners.</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matters described in the table below require the unitholder vote specified below. Matters requiring the approval of a “unit majority” require the approval of a majority of the common units and, as long as our Class B Units are outstanding, our Class B Units voting on such matters with the common units as a single class on a converted basis (except for the election of directors on our board of directors). You should note that our General Partner has approval rights in respect of certain of the matters described below.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Action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Issuance of additional units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hanging="179"/>
        <w:spacing w:after="0" w:line="264" w:lineRule="auto"/>
        <w:rPr>
          <w:sz w:val="20"/>
          <w:szCs w:val="20"/>
          <w:color w:val="auto"/>
        </w:rPr>
      </w:pPr>
      <w:r>
        <w:rPr>
          <w:rFonts w:ascii="Arial" w:cs="Arial" w:eastAsia="Arial" w:hAnsi="Arial"/>
          <w:sz w:val="18"/>
          <w:szCs w:val="18"/>
          <w:color w:val="auto"/>
        </w:rPr>
        <w:t>Amendment of the operating agreement of the operating company (as defined in our limited partnership agreement)</w:t>
      </w:r>
    </w:p>
    <w:p>
      <w:pPr>
        <w:spacing w:after="0" w:line="73" w:lineRule="exact"/>
        <w:rPr>
          <w:sz w:val="20"/>
          <w:szCs w:val="20"/>
          <w:color w:val="auto"/>
        </w:rPr>
      </w:pPr>
    </w:p>
    <w:p>
      <w:pPr>
        <w:ind w:left="180" w:right="180" w:hanging="179"/>
        <w:spacing w:after="0" w:line="277"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Dissolution of our partnership</w:t>
      </w:r>
    </w:p>
    <w:p>
      <w:pPr>
        <w:spacing w:after="0" w:line="333" w:lineRule="exact"/>
        <w:rPr>
          <w:sz w:val="20"/>
          <w:szCs w:val="20"/>
          <w:color w:val="auto"/>
        </w:rPr>
      </w:pPr>
    </w:p>
    <w:p>
      <w:pPr>
        <w:ind w:left="180" w:right="640" w:hanging="179"/>
        <w:spacing w:after="0" w:line="277" w:lineRule="auto"/>
        <w:rPr>
          <w:sz w:val="20"/>
          <w:szCs w:val="20"/>
          <w:color w:val="auto"/>
        </w:rPr>
      </w:pPr>
      <w:r>
        <w:rPr>
          <w:rFonts w:ascii="Arial" w:cs="Arial" w:eastAsia="Arial" w:hAnsi="Arial"/>
          <w:sz w:val="18"/>
          <w:szCs w:val="18"/>
          <w:color w:val="auto"/>
        </w:rPr>
        <w:t>Reconstitution of our partnership upon dissolution</w:t>
      </w:r>
    </w:p>
    <w:p>
      <w:pPr>
        <w:spacing w:after="0" w:line="62" w:lineRule="exact"/>
        <w:rPr>
          <w:sz w:val="20"/>
          <w:szCs w:val="20"/>
          <w:color w:val="auto"/>
        </w:rPr>
      </w:pPr>
    </w:p>
    <w:p>
      <w:pPr>
        <w:ind w:left="180" w:right="260" w:hanging="179"/>
        <w:spacing w:after="0" w:line="277" w:lineRule="auto"/>
        <w:rPr>
          <w:sz w:val="20"/>
          <w:szCs w:val="20"/>
          <w:color w:val="auto"/>
        </w:rPr>
      </w:pPr>
      <w:r>
        <w:rPr>
          <w:rFonts w:ascii="Arial" w:cs="Arial" w:eastAsia="Arial" w:hAnsi="Arial"/>
          <w:sz w:val="18"/>
          <w:szCs w:val="18"/>
          <w:color w:val="auto"/>
        </w:rPr>
        <w:t>Election of five of the eight members of our board of directors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48539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rights (although our General Partner has approval rights in certain instances).</w:t>
      </w:r>
    </w:p>
    <w:p>
      <w:pPr>
        <w:spacing w:after="0" w:line="11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Certain amendments may be made by our board of directors without the approval of the unitholders if those amendments are also approved by our General Partner. Other amendments generally require the approval of a unit majority and can only be proposed by or with the written consent of our General Partner and our board of directors. Please read “—Amendment of the Partnership Agreement.”</w:t>
      </w:r>
    </w:p>
    <w:p>
      <w:pPr>
        <w:spacing w:after="0" w:line="4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Unit majority if such amendment would adversely affect our limited partners in any material respect.</w:t>
      </w:r>
    </w:p>
    <w:p>
      <w:pPr>
        <w:spacing w:after="0" w:line="200" w:lineRule="exact"/>
        <w:rPr>
          <w:sz w:val="20"/>
          <w:szCs w:val="20"/>
          <w:color w:val="auto"/>
        </w:rPr>
      </w:pPr>
    </w:p>
    <w:p>
      <w:pPr>
        <w:spacing w:after="0" w:line="3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Unit majority if such amendment would adversely affect our limited partners in any material respect and approval of our General Partner and board of directors. Please read “—Merger, Sale, or Other Disposition of Assets.”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Unit majority and approval of our General Partner and our board of directors. Please read “—Termination and Dissolution.”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Unit majority. Please read “—Termination and Dissolution.”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 plurality of the votes of the holders of the common units.</w:t>
      </w:r>
    </w:p>
    <w:p>
      <w:pPr>
        <w:spacing w:after="0" w:line="332" w:lineRule="exact"/>
        <w:rPr>
          <w:sz w:val="20"/>
          <w:szCs w:val="20"/>
          <w:color w:val="auto"/>
        </w:rPr>
      </w:pPr>
    </w:p>
    <w:p>
      <w:pPr>
        <w:sectPr>
          <w:pgSz w:w="11900" w:h="16838" w:orient="portrait"/>
          <w:cols w:equalWidth="0" w:num="2">
            <w:col w:w="3440" w:space="340"/>
            <w:col w:w="7620"/>
          </w:cols>
          <w:pgMar w:left="240" w:top="459" w:right="259" w:bottom="1440" w:gutter="0" w:footer="0" w:header="0"/>
          <w:type w:val="continuous"/>
        </w:sectPr>
      </w:pPr>
    </w:p>
    <w:p>
      <w:pPr>
        <w:spacing w:after="0"/>
        <w:tabs>
          <w:tab w:leader="none" w:pos="3760" w:val="left"/>
        </w:tabs>
        <w:rPr>
          <w:sz w:val="20"/>
          <w:szCs w:val="20"/>
          <w:color w:val="auto"/>
        </w:rPr>
      </w:pPr>
      <w:r>
        <w:rPr>
          <w:rFonts w:ascii="Arial" w:cs="Arial" w:eastAsia="Arial" w:hAnsi="Arial"/>
          <w:sz w:val="18"/>
          <w:szCs w:val="18"/>
          <w:color w:val="auto"/>
        </w:rPr>
        <w:t>Withdrawal of the General Partner</w:t>
      </w:r>
      <w:r>
        <w:rPr>
          <w:sz w:val="20"/>
          <w:szCs w:val="20"/>
          <w:color w:val="auto"/>
        </w:rPr>
        <w:tab/>
      </w:r>
      <w:r>
        <w:rPr>
          <w:rFonts w:ascii="Arial" w:cs="Arial" w:eastAsia="Arial" w:hAnsi="Arial"/>
          <w:sz w:val="16"/>
          <w:szCs w:val="16"/>
          <w:color w:val="auto"/>
        </w:rPr>
        <w:t>Our General Partner may withdraw without obtaining unitholder approval upon 90 days’ written notice to</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our board of directors. Please read “—Withdrawal or Removal of the General Partner.”</w:t>
      </w:r>
    </w:p>
    <w:p>
      <w:pPr>
        <w:spacing w:after="0" w:line="103"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Removal of the General Partner</w:t>
      </w:r>
      <w:r>
        <w:rPr>
          <w:sz w:val="20"/>
          <w:szCs w:val="20"/>
          <w:color w:val="auto"/>
        </w:rPr>
        <w:tab/>
      </w:r>
      <w:r>
        <w:rPr>
          <w:rFonts w:ascii="Arial" w:cs="Arial" w:eastAsia="Arial" w:hAnsi="Arial"/>
          <w:sz w:val="16"/>
          <w:szCs w:val="16"/>
          <w:color w:val="auto"/>
        </w:rPr>
        <w:t>Not less than 66 2/3% of the outstanding units, including units held by our General Partner and its</w:t>
      </w:r>
    </w:p>
    <w:p>
      <w:pPr>
        <w:spacing w:after="0" w:line="23" w:lineRule="exact"/>
        <w:rPr>
          <w:sz w:val="20"/>
          <w:szCs w:val="20"/>
          <w:color w:val="auto"/>
        </w:rPr>
      </w:pPr>
    </w:p>
    <w:p>
      <w:pPr>
        <w:ind w:left="3780" w:right="160"/>
        <w:spacing w:after="0" w:line="261" w:lineRule="auto"/>
        <w:rPr>
          <w:sz w:val="20"/>
          <w:szCs w:val="20"/>
          <w:color w:val="auto"/>
        </w:rPr>
      </w:pPr>
      <w:r>
        <w:rPr>
          <w:rFonts w:ascii="Arial" w:cs="Arial" w:eastAsia="Arial" w:hAnsi="Arial"/>
          <w:sz w:val="18"/>
          <w:szCs w:val="18"/>
          <w:color w:val="auto"/>
        </w:rPr>
        <w:t>affiliates, voting together as a single class and a majority vote of our board of directors. Please read “— Withdrawal or Removal of the General Partner.”</w:t>
      </w:r>
    </w:p>
    <w:p>
      <w:pPr>
        <w:spacing w:after="0" w:line="76"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Transfer of the general partner interest in us</w:t>
      </w:r>
      <w:r>
        <w:rPr>
          <w:sz w:val="20"/>
          <w:szCs w:val="20"/>
          <w:color w:val="auto"/>
        </w:rPr>
        <w:tab/>
      </w:r>
      <w:r>
        <w:rPr>
          <w:rFonts w:ascii="Arial" w:cs="Arial" w:eastAsia="Arial" w:hAnsi="Arial"/>
          <w:sz w:val="16"/>
          <w:szCs w:val="16"/>
          <w:color w:val="auto"/>
        </w:rPr>
        <w:t>Our General Partner may transfer all or any part of its General Partner interest in us to another person</w:t>
      </w:r>
    </w:p>
    <w:p>
      <w:pPr>
        <w:spacing w:after="0" w:line="23" w:lineRule="exact"/>
        <w:rPr>
          <w:sz w:val="20"/>
          <w:szCs w:val="20"/>
          <w:color w:val="auto"/>
        </w:rPr>
      </w:pPr>
    </w:p>
    <w:p>
      <w:pPr>
        <w:ind w:left="3780" w:right="160"/>
        <w:spacing w:after="0" w:line="261" w:lineRule="auto"/>
        <w:rPr>
          <w:sz w:val="20"/>
          <w:szCs w:val="20"/>
          <w:color w:val="auto"/>
        </w:rPr>
      </w:pPr>
      <w:r>
        <w:rPr>
          <w:rFonts w:ascii="Arial" w:cs="Arial" w:eastAsia="Arial" w:hAnsi="Arial"/>
          <w:sz w:val="18"/>
          <w:szCs w:val="18"/>
          <w:color w:val="auto"/>
        </w:rPr>
        <w:t>without the approval of the holders of our outstanding units. Please read “—Transfer of General Partner Interest.”</w:t>
      </w:r>
    </w:p>
    <w:p>
      <w:pPr>
        <w:spacing w:after="0" w:line="76"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Transfer of incentive distribution rights</w:t>
      </w:r>
      <w:r>
        <w:rPr>
          <w:sz w:val="20"/>
          <w:szCs w:val="20"/>
          <w:color w:val="auto"/>
        </w:rPr>
        <w:tab/>
      </w:r>
      <w:r>
        <w:rPr>
          <w:rFonts w:ascii="Arial" w:cs="Arial" w:eastAsia="Arial" w:hAnsi="Arial"/>
          <w:sz w:val="16"/>
          <w:szCs w:val="16"/>
          <w:color w:val="auto"/>
        </w:rPr>
        <w:t>The incentive distribution rights are freely transferable. Please read “—Transfer of Incentive Distribution</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Rights.”</w:t>
      </w:r>
    </w:p>
    <w:p>
      <w:pPr>
        <w:spacing w:after="0" w:line="103"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Transfer of ownership interests in the General</w:t>
      </w:r>
      <w:r>
        <w:rPr>
          <w:sz w:val="20"/>
          <w:szCs w:val="20"/>
          <w:color w:val="auto"/>
        </w:rPr>
        <w:tab/>
      </w:r>
      <w:r>
        <w:rPr>
          <w:rFonts w:ascii="Arial" w:cs="Arial" w:eastAsia="Arial" w:hAnsi="Arial"/>
          <w:sz w:val="16"/>
          <w:szCs w:val="16"/>
          <w:color w:val="auto"/>
        </w:rPr>
        <w:t>No approval required at any time. Please read “—Transfer of Ownership Interests in General Partner.”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MILPA and that such limited partner otherwise acts in conformity with the provisions of our partnership agreement, that partner’s liability under the MILPA will be limited, subject to possible exceptions, to the amount of capital he or she is obligated to contribute to us for his or her units plus his or her share of any undistributed profits and assets. If a court determined, however, that limited partners “participated in the control” of our business for the purposes of the MILPA, then such limited partners could be held personally liable for our obligations under the laws of Marshall Islands, to the same extent as our General Partner, to persons who transact business with us who reasonably believe, based on the limited partner’s conduct, that the limited partner is a general partner. Neither our partnership agreement nor the MILPA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9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Under the MILPA,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exceeds the fair value of the assets of the limited partnership, except that the fair value of property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that is subject to a liability for which the recourse of creditors is limited shall be included in the assets of the limited partnership only to the extent that the fair value of that property exceeds that liability. The MILPA provides that a limited partner who receives a distribution and knew at the time of the distribution that the distribution was in violation of the MILPA shall be liable to the limited partnership for the amount of the distribution for three years after the date of such distribution. Under the MILPA,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93"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Maintenance of our limited liability may require compliance with legal requirements in the jurisdictions in which we conduct business, which may include qualifying to do business in those jurisdictions.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securities and rights to buy partnership securities for the consideration and on the terms and conditions determined by our board of directors without the approval of the unitholders. Our General Partner will have the right to approve issuances of additional securities that are not reasonably expected to be accretive to equity within 12 months of issuance or which would otherwise have a material adverse impact on our General Partner or its interest in us. However, as long as Class B Units are outstanding, we may not authorize, create or issue any equity interests senior to the Class B Units or amend the provisions of an existing class of securities to make such class senior in priority to the Class B Units without the affirmative vote or written consent of the holders of at least 75% of the outstanding Class B Units, voting separately as a class based on one vote per unit.</w:t>
      </w:r>
    </w:p>
    <w:p>
      <w:pPr>
        <w:spacing w:after="0" w:line="189"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assumption and/or the issuance of debt, subject to market conditions, as further described elsewhere herein . Holders of any additional common units we issue will be entitled to share equally with the then-existing holders of common units in our distributions of available cash. In addition, the issuance of additional common units or other equity securities interests may dilute the value of the interests of the then-existing holders of common units in our net assets.</w:t>
      </w:r>
    </w:p>
    <w:p>
      <w:pPr>
        <w:spacing w:after="0" w:line="154" w:lineRule="exact"/>
        <w:rPr>
          <w:sz w:val="20"/>
          <w:szCs w:val="20"/>
          <w:color w:val="auto"/>
        </w:rPr>
      </w:pPr>
    </w:p>
    <w:p>
      <w:pPr>
        <w:ind w:right="360" w:firstLine="913"/>
        <w:spacing w:after="0" w:line="308" w:lineRule="auto"/>
        <w:rPr>
          <w:sz w:val="20"/>
          <w:szCs w:val="20"/>
          <w:color w:val="auto"/>
        </w:rPr>
      </w:pPr>
      <w:r>
        <w:rPr>
          <w:rFonts w:ascii="Arial" w:cs="Arial" w:eastAsia="Arial" w:hAnsi="Arial"/>
          <w:sz w:val="17"/>
          <w:szCs w:val="17"/>
          <w:color w:val="auto"/>
        </w:rPr>
        <w:t>In accordance with Marshall Islands law and the provisions of our partnership agreement, we may also issue additional partnership securities interests that, as determined by our board of directors, have special voting rights to which the common units are not entitled.</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Upon issuance of additional partnership securities, our General Partner will have the right, but not the obligation, to make additional capital contributions to the extent necessary to maintain its General Partner interest in us, which is currently 1.71%. Our General Partner’s interest in us will thus be reduced if we issue additional partnership securities in the future and our General Partner does not elect to maintain its then-applicable General Partner interest in us. Our General Partner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securities. Upon issuance of additional partnership interests that, with respect to distributions, rank pari passu with our Class B Units, holders of Class B Units shall have the right to purchase their pro rata portion of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1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partnership agreement provides that the partnership will elect to be taxed as a corporation for U.S. federal income tax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Amendments to our partnership agreement may be proposed only by or with the consent of our General Partner and our board of directors. However, neither our General Partner nor our board of directors will have a duty or obligation to propose any amendment and may decline to do so free of any fiduciary duty or obligation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whatsoever to us or the limited partners, including any duty to act in good faith or in the best interests of us or the limited partners. In order to adopt a proposed amendment, other than the amendments discussed below, approval of both our board of directors and our General Partner is required, as well as approval of the holders of the number of units required to approve the amendment. Except as we describe below, an amendment must be approved by a unit majority.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set forth below, no amendment may:</w:t>
      </w:r>
    </w:p>
    <w:p>
      <w:pPr>
        <w:spacing w:after="0" w:line="131" w:lineRule="exact"/>
        <w:rPr>
          <w:sz w:val="20"/>
          <w:szCs w:val="20"/>
          <w:color w:val="auto"/>
        </w:rPr>
      </w:pPr>
    </w:p>
    <w:p>
      <w:pPr>
        <w:ind w:left="1920" w:right="620" w:hanging="440"/>
        <w:spacing w:after="0" w:line="277" w:lineRule="auto"/>
        <w:tabs>
          <w:tab w:leader="none" w:pos="1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such increase is deemed to occur as a result of an amendment approved in accordance with sub-paragraph (2) below:</w:t>
      </w:r>
    </w:p>
    <w:p>
      <w:pPr>
        <w:spacing w:after="0" w:line="75" w:lineRule="exact"/>
        <w:rPr>
          <w:rFonts w:ascii="Arial" w:cs="Arial" w:eastAsia="Arial" w:hAnsi="Arial"/>
          <w:sz w:val="18"/>
          <w:szCs w:val="18"/>
          <w:color w:val="auto"/>
        </w:rPr>
      </w:pPr>
    </w:p>
    <w:p>
      <w:pPr>
        <w:ind w:left="1920" w:right="40" w:hanging="440"/>
        <w:spacing w:after="0" w:line="264" w:lineRule="auto"/>
        <w:tabs>
          <w:tab w:leader="none" w:pos="1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have a material adverse effect on the rights or preferences of any class of partnership interests in relation to other classes of partnership interests unless approved by the holders of not less than a majority of the outstanding units of the class affected, voting together as a single class;</w:t>
      </w:r>
    </w:p>
    <w:p>
      <w:pPr>
        <w:spacing w:after="0" w:line="86" w:lineRule="exact"/>
        <w:rPr>
          <w:rFonts w:ascii="Arial" w:cs="Arial" w:eastAsia="Arial" w:hAnsi="Arial"/>
          <w:sz w:val="18"/>
          <w:szCs w:val="18"/>
          <w:color w:val="auto"/>
        </w:rPr>
      </w:pPr>
    </w:p>
    <w:p>
      <w:pPr>
        <w:ind w:left="1920" w:right="180" w:hanging="440"/>
        <w:spacing w:after="0" w:line="264" w:lineRule="auto"/>
        <w:tabs>
          <w:tab w:leader="none" w:pos="1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130" w:lineRule="exact"/>
        <w:rPr>
          <w:rFonts w:ascii="Arial" w:cs="Arial" w:eastAsia="Arial" w:hAnsi="Arial"/>
          <w:sz w:val="18"/>
          <w:szCs w:val="18"/>
          <w:color w:val="auto"/>
        </w:rPr>
      </w:pPr>
    </w:p>
    <w:p>
      <w:pPr>
        <w:ind w:left="1920" w:right="160" w:hanging="440"/>
        <w:spacing w:after="0" w:line="277" w:lineRule="auto"/>
        <w:tabs>
          <w:tab w:leader="none" w:pos="1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75" w:lineRule="exact"/>
        <w:rPr>
          <w:rFonts w:ascii="Arial" w:cs="Arial" w:eastAsia="Arial" w:hAnsi="Arial"/>
          <w:sz w:val="18"/>
          <w:szCs w:val="18"/>
          <w:color w:val="auto"/>
        </w:rPr>
      </w:pPr>
    </w:p>
    <w:p>
      <w:pPr>
        <w:ind w:left="1920" w:right="520" w:hanging="440"/>
        <w:spacing w:after="0" w:line="277" w:lineRule="auto"/>
        <w:tabs>
          <w:tab w:leader="none" w:pos="1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(6) above can only be amended upon the approval of the holders of at least 90% of the outstanding units voting together as a single class (including units owned by our General Partner and its affiliates).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board of directors may generally make amendments to our partnership agreement without the approval of any limited partner to reflect:</w:t>
      </w:r>
    </w:p>
    <w:p>
      <w:pPr>
        <w:spacing w:after="0" w:line="142" w:lineRule="exact"/>
        <w:rPr>
          <w:sz w:val="20"/>
          <w:szCs w:val="20"/>
          <w:color w:val="auto"/>
        </w:rPr>
      </w:pPr>
    </w:p>
    <w:p>
      <w:pPr>
        <w:ind w:left="1920" w:hanging="440"/>
        <w:spacing w:after="0"/>
        <w:tabs>
          <w:tab w:leader="none" w:pos="1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130" w:lineRule="exact"/>
        <w:rPr>
          <w:rFonts w:ascii="Arial" w:cs="Arial" w:eastAsia="Arial" w:hAnsi="Arial"/>
          <w:sz w:val="18"/>
          <w:szCs w:val="18"/>
          <w:color w:val="auto"/>
        </w:rPr>
      </w:pPr>
    </w:p>
    <w:p>
      <w:pPr>
        <w:ind w:left="1920" w:right="60" w:hanging="440"/>
        <w:spacing w:after="0" w:line="342" w:lineRule="auto"/>
        <w:tabs>
          <w:tab w:leader="none" w:pos="19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laws of any jurisdiction;</w:t>
      </w:r>
    </w:p>
    <w:p>
      <w:pPr>
        <w:spacing w:after="0" w:line="29" w:lineRule="exact"/>
        <w:rPr>
          <w:rFonts w:ascii="Arial" w:cs="Arial" w:eastAsia="Arial" w:hAnsi="Arial"/>
          <w:sz w:val="16"/>
          <w:szCs w:val="16"/>
          <w:color w:val="auto"/>
        </w:rPr>
      </w:pPr>
    </w:p>
    <w:p>
      <w:pPr>
        <w:ind w:left="1920" w:hanging="440"/>
        <w:spacing w:after="0" w:line="302" w:lineRule="auto"/>
        <w:tabs>
          <w:tab w:leader="none" w:pos="19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directors or our General Partner or its directors, officers, agents, or trustees from in any manner being subjected to the provisions of the U.S. Investment Company Act of 1940, the U.S. Investment Advisers Act of 1940, or “plan asset” regulations adopted under the U.S. Employee Retirement Income Security Act of 1974, or ERISA, whether or not substantially similar to plan asset regulations currently applied or proposed;</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140" w:hanging="440"/>
        <w:spacing w:after="0" w:line="264" w:lineRule="auto"/>
        <w:tabs>
          <w:tab w:leader="none" w:pos="1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amendment that our board of directors and, if required by the terms of the partnership agreement, our General Partner determines to be necessary or appropriate for the authorization of additional partnership securities or rights to acquire partnership securities;</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130" w:lineRule="exact"/>
        <w:rPr>
          <w:rFonts w:ascii="Arial" w:cs="Arial" w:eastAsia="Arial" w:hAnsi="Arial"/>
          <w:sz w:val="18"/>
          <w:szCs w:val="18"/>
          <w:color w:val="auto"/>
        </w:rPr>
      </w:pPr>
    </w:p>
    <w:p>
      <w:pPr>
        <w:ind w:left="1920" w:right="540" w:hanging="440"/>
        <w:spacing w:after="0" w:line="277" w:lineRule="auto"/>
        <w:tabs>
          <w:tab w:leader="none" w:pos="1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75" w:lineRule="exact"/>
        <w:rPr>
          <w:rFonts w:ascii="Arial" w:cs="Arial" w:eastAsia="Arial" w:hAnsi="Arial"/>
          <w:sz w:val="18"/>
          <w:szCs w:val="18"/>
          <w:color w:val="auto"/>
        </w:rPr>
      </w:pPr>
    </w:p>
    <w:p>
      <w:pPr>
        <w:ind w:left="1920" w:right="80" w:hanging="440"/>
        <w:spacing w:after="0" w:line="277" w:lineRule="auto"/>
        <w:tabs>
          <w:tab w:leader="none" w:pos="1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amendments reflecting matters described in (1) through (11) above require the approval of our General Partner.</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if our board of directors determines that those amendments:</w:t>
      </w:r>
    </w:p>
    <w:p>
      <w:pPr>
        <w:spacing w:after="0" w:line="76" w:lineRule="exact"/>
        <w:rPr>
          <w:sz w:val="20"/>
          <w:szCs w:val="20"/>
          <w:color w:val="auto"/>
        </w:rPr>
      </w:pPr>
    </w:p>
    <w:p>
      <w:pPr>
        <w:ind w:left="1920" w:hanging="440"/>
        <w:spacing w:after="0"/>
        <w:tabs>
          <w:tab w:leader="none" w:pos="1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do not adversely affect the limited partners (or any particular class of limited partners) in any material respect;</w:t>
      </w:r>
    </w:p>
    <w:p>
      <w:pPr>
        <w:spacing w:after="0" w:line="130" w:lineRule="exact"/>
        <w:rPr>
          <w:rFonts w:ascii="Arial" w:cs="Arial" w:eastAsia="Arial" w:hAnsi="Arial"/>
          <w:sz w:val="18"/>
          <w:szCs w:val="18"/>
          <w:color w:val="auto"/>
        </w:rPr>
      </w:pPr>
    </w:p>
    <w:p>
      <w:pPr>
        <w:ind w:left="1920" w:right="40" w:hanging="440"/>
        <w:spacing w:after="0" w:line="277" w:lineRule="auto"/>
        <w:tabs>
          <w:tab w:leader="none" w:pos="1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or other authority or contained in any statute;</w:t>
      </w:r>
    </w:p>
    <w:p>
      <w:pPr>
        <w:spacing w:after="0" w:line="75" w:lineRule="exact"/>
        <w:rPr>
          <w:rFonts w:ascii="Arial" w:cs="Arial" w:eastAsia="Arial" w:hAnsi="Arial"/>
          <w:sz w:val="18"/>
          <w:szCs w:val="18"/>
          <w:color w:val="auto"/>
        </w:rPr>
      </w:pPr>
    </w:p>
    <w:p>
      <w:pPr>
        <w:ind w:left="1920" w:right="60" w:hanging="440"/>
        <w:spacing w:after="0" w:line="308" w:lineRule="auto"/>
        <w:tabs>
          <w:tab w:leader="none" w:pos="19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51" w:lineRule="exact"/>
        <w:rPr>
          <w:rFonts w:ascii="Arial" w:cs="Arial" w:eastAsia="Arial" w:hAnsi="Arial"/>
          <w:sz w:val="17"/>
          <w:szCs w:val="17"/>
          <w:color w:val="auto"/>
        </w:rPr>
      </w:pPr>
    </w:p>
    <w:p>
      <w:pPr>
        <w:ind w:left="1920" w:right="400" w:hanging="440"/>
        <w:spacing w:after="0" w:line="277" w:lineRule="auto"/>
        <w:tabs>
          <w:tab w:leader="none" w:pos="1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75" w:lineRule="exact"/>
        <w:rPr>
          <w:rFonts w:ascii="Arial" w:cs="Arial" w:eastAsia="Arial" w:hAnsi="Arial"/>
          <w:sz w:val="18"/>
          <w:szCs w:val="18"/>
          <w:color w:val="auto"/>
        </w:rPr>
      </w:pPr>
    </w:p>
    <w:p>
      <w:pPr>
        <w:ind w:left="1920" w:right="140" w:hanging="440"/>
        <w:spacing w:after="0" w:line="277" w:lineRule="auto"/>
        <w:tabs>
          <w:tab w:leader="none" w:pos="1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required to effect the intent expressed in the IPO registration statement or any future prospectus or the intent of the provisions of the partnership agreement or are otherwise contemplated by the partnership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amendments reflecting matters described in (1) through (5) above require the approval of our General Partner.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Unitholder Approval</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Neither our General Partner nor our board of directors will be required to obtain an opinion of counsel that an amendment will not result in a loss of limited liability to the limited partners if one of the amendments described above under “—No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of any of our limited partners under applicable law.</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privileges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Relating to the Operating Subsidiaries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effectively control our operating subsidiaries by being their sole member or shareholder, as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12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A merger or consolidation of us requires the approval of our board of directors and the prior consent of our General Partner. However,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board of directors may, however, cause us to mortgage, pledge, hypothecate, or grant a security interest in all or substantially all of our assets without the prior approval of the holders of units representing a unit majority, although it is required to obtain the prior approval of our General Partner if any such mortgage, pledge or hypothecation is done for purposes other than securing indebtedness that does not result in our over-leverage, taking into account customary industry leverage levels, our structure and our other assets and liabilities. Our General Partner and our board of directors may also cause us to sell all or substantially all of our assets under a foreclosure or other realization upon those encumbrances without the approval of the holders of units representing a unit majority.</w:t>
      </w:r>
    </w:p>
    <w:p>
      <w:pPr>
        <w:spacing w:after="0" w:line="18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a sale of substantially all of our assets, or any other transaction or event.</w:t>
      </w:r>
    </w:p>
    <w:p>
      <w:pPr>
        <w:spacing w:after="0" w:line="1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Additionally, our board of directors is permitted, with the prior consent of our General Partner, to merge or consolidate the Partnership with or into another entity in certain circumstances, provided that each unit outstanding immediately prior to the effective date of the merger is to be an identical unit after the effective date of the merger and the number of units issued by the Partnership in such merger does not exceed 20% of units outstanding immediately prior to the effective date of such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131" w:lineRule="exact"/>
        <w:rPr>
          <w:sz w:val="20"/>
          <w:szCs w:val="20"/>
          <w:color w:val="auto"/>
        </w:rPr>
      </w:pPr>
    </w:p>
    <w:p>
      <w:pPr>
        <w:ind w:left="1920" w:right="80" w:hanging="440"/>
        <w:spacing w:after="0" w:line="277" w:lineRule="auto"/>
        <w:tabs>
          <w:tab w:leader="none" w:pos="1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election of our General Partner and our board of directors to dissolve us, if approved by the holders of units representing a unit majority;</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sale, exchange, or other disposition of all or substantially all of our assets and properties and our subsidiaries;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w:t>
      </w:r>
    </w:p>
    <w:p>
      <w:pPr>
        <w:spacing w:after="0" w:line="130" w:lineRule="exact"/>
        <w:rPr>
          <w:rFonts w:ascii="Arial" w:cs="Arial" w:eastAsia="Arial" w:hAnsi="Arial"/>
          <w:sz w:val="18"/>
          <w:szCs w:val="18"/>
          <w:color w:val="auto"/>
        </w:rPr>
      </w:pPr>
    </w:p>
    <w:p>
      <w:pPr>
        <w:ind w:left="1920" w:right="160" w:hanging="440"/>
        <w:spacing w:after="0" w:line="264" w:lineRule="auto"/>
        <w:tabs>
          <w:tab w:leader="none" w:pos="1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such time when there are no limited partners, unless we are continued without dissolution in accordance with the MILPA.</w:t>
      </w:r>
    </w:p>
    <w:p>
      <w:pPr>
        <w:spacing w:after="0" w:line="23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21" w:lineRule="exact"/>
        <w:rPr>
          <w:sz w:val="20"/>
          <w:szCs w:val="20"/>
          <w:color w:val="auto"/>
        </w:rPr>
      </w:pPr>
    </w:p>
    <w:p>
      <w:pPr>
        <w:jc w:val="both"/>
        <w:ind w:right="60" w:firstLine="913"/>
        <w:spacing w:after="0" w:line="279" w:lineRule="auto"/>
        <w:rPr>
          <w:sz w:val="20"/>
          <w:szCs w:val="20"/>
          <w:color w:val="auto"/>
        </w:rPr>
      </w:pPr>
      <w:r>
        <w:rPr>
          <w:rFonts w:ascii="Arial" w:cs="Arial" w:eastAsia="Arial" w:hAnsi="Arial"/>
          <w:sz w:val="17"/>
          <w:szCs w:val="17"/>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provided in “How We Make Cash Distributions—Distributions of Cash Upon Liquidation.” The liquidator may defer liquidation or distribution of our assets for a reasonable period or distribute assets to partners in kind if it determines that a sale would be impractical or would cause undue loss to our partners.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Our General Partner may withdraw as general partner without first obtaining approval of any unitholder or our board of directors by giving 90 days’ written notice. If that happens, such withdrawal will not constitute a violation of our partnership agreement. Please read “—Transfer of General Partner Interests” and “—Transfer of Incentive Distribution Rights.”</w:t>
      </w:r>
    </w:p>
    <w:p>
      <w:pPr>
        <w:spacing w:after="0" w:line="181" w:lineRule="exact"/>
        <w:rPr>
          <w:sz w:val="20"/>
          <w:szCs w:val="20"/>
          <w:color w:val="auto"/>
        </w:rPr>
      </w:pPr>
    </w:p>
    <w:p>
      <w:pPr>
        <w:jc w:val="both"/>
        <w:ind w:right="80" w:firstLine="913"/>
        <w:spacing w:after="0" w:line="297" w:lineRule="auto"/>
        <w:rPr>
          <w:sz w:val="20"/>
          <w:szCs w:val="20"/>
          <w:color w:val="auto"/>
        </w:rPr>
      </w:pPr>
      <w:r>
        <w:rPr>
          <w:rFonts w:ascii="Arial" w:cs="Arial" w:eastAsia="Arial" w:hAnsi="Arial"/>
          <w:sz w:val="16"/>
          <w:szCs w:val="16"/>
          <w:color w:val="auto"/>
        </w:rPr>
        <w:t>Upon withdrawal of our General Partner under any circumstances, other than as a result of a transfer by our General Partner of all or a part of its general partner interest in us, the holders of a majority of the outstanding common units (and, as long as they are outstanding, the Class B Units, voting on an as converted basis)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Please read “—Termination and Dissolution.”</w:t>
      </w:r>
    </w:p>
    <w:p>
      <w:pPr>
        <w:spacing w:after="0" w:line="15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Our General Partner may not be removed unless that removal is approved by the vote of the holders of not less than 66 2/3% of the outstanding units, including units held by our General Partner and its affiliates, voting together as a single class and a majority vote of our board of directors, and we receive an opinion of counsel regarding limited liability. The ownership of more than 33 1/3% of the outstanding units by our General Partner and its affiliates or controlling our board of directors would provide the practical ability to prevent our General Partner’s removal. Any removal of our General Partner is also subject to the successor general partner being approved by the vote of the holders of a majority of the outstanding common units, Class B Units, voting on an as converted basis (as long as they are outstanding), and general partner units, voting as a single class.</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(as defined in our partnership agreement)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 based on the fair market value of the interests at the time.</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and incentive distribution rights of the departing General Partner for a cash payment equal to the fair market value of those interests. Under all other circumstances where our General Partner withdraws or is removed by the limited partners, the departing general partner will have the option to require the successor general partner to purchase the general partner interest of the departing general partner and its incentive distribution rights for their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If the departing general partner and the successor general partner cannot agree upon an expert, then an expert chosen by agreement of the experts selected by each of them will determine the fair market value.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913"/>
        <w:spacing w:after="0" w:line="312" w:lineRule="auto"/>
        <w:rPr>
          <w:sz w:val="20"/>
          <w:szCs w:val="20"/>
          <w:color w:val="auto"/>
        </w:rPr>
      </w:pPr>
      <w:r>
        <w:rPr>
          <w:rFonts w:ascii="Arial" w:cs="Arial" w:eastAsia="Arial" w:hAnsi="Arial"/>
          <w:sz w:val="16"/>
          <w:szCs w:val="16"/>
          <w:color w:val="auto"/>
        </w:rPr>
        <w:t>If the option described above is not exercised by either the departing general partner or the successor general partner, the departing general partner’s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addition, we will be required to reimburse the departing general partner for all amounts due to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12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General Partner may transfer all or any part of its General Partner interest in us to another person without the approval of the holders of our outstanding units.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12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At any time, the members of our General Partner may sell or transfer all or part of their respective membership interests in our General Partner to an affiliate or a third party without the approval of our unitholders. However, this may trigger a “Change of Control” (as defined in our limited partnership agreement) which, among other things, causes the minimum distribution rate of the Class B Units to increase to 1.25 times the then applicable rate.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incentive distribution rights are freely transferable.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partnership agreement contains specific provisions that are intended to discourage a person or group from attempting to remove Capital GP L.L.C. as our General Partner or otherwise change management. If any person or group other than our General Partner and its affiliates acquires beneficial ownership of 5% or more of any class of units then outstanding, that person or group loses voting rights on all of its units in excess of 4.9% of all units (subject to certain exceptions).</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12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If at any time our General Partner and its affiliates hold more than 90% of the then-issued and outstanding limited partnership interests of any class, our General Partner will have the right, which it may assign in whole or in part to any of its affiliates or to us, to acquire all, but not less than all, of the remaining limited partnership interests of the class held by unaffiliated persons as of a record date to be selected by the General Partner, on at least ten but not more than 60 days’ notice at the greater of (x) the average of the daily closing prices of the limited partnership interests of such class over the 20 trading days preceding the date three days before the notice of exercise of the call right is first mailed and (y) the highest price paid by our General Partner or any of its affiliates for limited partnership interests of such class during the 90-day period preceding the date such notice is first mailed. Our General Partner is not obligated to obtain a fairness opinion regarding the value of the limited partnership interests to be repurchased by it upon the exercise of this limited call right.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As a result of the General Partner’s right to purchase outstanding limited partnership interests, a holder of limited partnership interests may have the holder’s limited partnership interests purchased at an undesirable time or price. The tax consequences to a unitholder of the exercise of this call right are the same as a sale by that unitholder of units in the market. Please read “Material U.S. Federal Income Tax Considerations—United States Federal Income Taxation of U.S. Holders—Sale, Exchange or Other Disposition of Common Units” and “Material U.S. Federal Income Tax Considerations— United States Federal Income Taxation of Non-U.S. Holders—Disposition of Common Units.”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Under our partnership agreement, our General Partner delegates to our board of directors the authority to oversee and direct our operations, policies and management on an exclusive basis, and such delegation will be binding on any successor General Partner of the partnership. Our board of directors is comprised of eight persons, three of whom are appointed by our General Partner in its sole discretion and five of whom are elected by the common unitholders. Three of the five elected directors (a) shall not be security holders, officers or employees of our General Partner, directors, officers or employees of any affiliate of our General Partner or holders of any interest in the partnership group (other than our common units) and (b) shall meet the required independence standards. Among other consequences, if we fail to pay the minimum Class B Unit distribution, as set out in our partnership agreement, for six or more quarters, the holders of the Class B Units will have the right to appoint a director to our board and, if such arrearages exist on or after March 31, 2018, to replace the directors appointed by our General Partner, in each case by the affirmative vote of the holders of a majority of the Class B Units and subject to exceptions and conditions contained in our partnership agreement.</w:t>
      </w:r>
    </w:p>
    <w:p>
      <w:pPr>
        <w:spacing w:after="0" w:line="18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beneficially owns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99" w:lineRule="exact"/>
        <w:rPr>
          <w:sz w:val="20"/>
          <w:szCs w:val="20"/>
          <w:color w:val="auto"/>
        </w:rPr>
      </w:pPr>
    </w:p>
    <w:p>
      <w:pPr>
        <w:ind w:left="1460" w:hanging="547"/>
        <w:spacing w:after="0"/>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130" w:lineRule="exact"/>
        <w:rPr>
          <w:rFonts w:ascii="Arial" w:cs="Arial" w:eastAsia="Arial" w:hAnsi="Arial"/>
          <w:sz w:val="18"/>
          <w:szCs w:val="18"/>
          <w:color w:val="auto"/>
        </w:rPr>
      </w:pPr>
    </w:p>
    <w:p>
      <w:pPr>
        <w:ind w:left="1460" w:right="620" w:hanging="547"/>
        <w:spacing w:after="0" w:line="308" w:lineRule="auto"/>
        <w:tabs>
          <w:tab w:leader="none" w:pos="14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information regarding the nominee(s) proposed by the limited partner or limited partners as required to be included in a proxy statement relating to the solicitation of proxies for the election of directors filed pursuant to the proxy rules of the SEC;</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directors” within the meaning of the partnership agreement.</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Our General Partner may remove an appointed board member, other than those appointed by the holders of Class B unitholders (if any), with or without cause at any time. “Cause” generally means a court’s final, non-appealable judgment finding a person liable for actual fraud or willful misconduct in his or her capacity as a director. Any board member appointed by the holders of Class B unitholders, if applicable, may be removed with or without cause, by the affirmative decision of a majority of Class B unitholders. Any elected board member may be removed at any time for cause by the affirmative vote of a majority of the other elected board members. Any elected board member may be removed for cause at a properly called meeting of the limited partners by a majority of the outstanding units that are entitled to vote in an election of elected directors. Any appointed board member, other than those appointed by the holders of Class B unitholders, may be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removed for cause at a properly called meeting of the limited partners by a majority of the outstanding units. If any appointed board member is removed, resigns or is otherwise unable to serve as a board member, our General Partner may fill the vacancy. If any board member elected by the common unitholders is removed, resigns or is otherwise unable to serve as a board member, the vacancy may be filled by a majority of the other elected board members then serving. If any board member elected by the Class B unitholders is removed, resigns or is otherwise unable to serve as a board member, the Class B unitholders will appoint an individual to fill the vacancy.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121"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Except as described below regarding a person or group owning 5% or more of any class of units then outstanding, unitholders who are record holders of units on the record date will be entitled to notice of, and to vote at, meetings of our limited partners and to act upon matters for which approvals may be solicited.</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We will hold a meeting of the limited partners every year to elect one or more members of our board of directors and to vote on any other matters that are properly brought before the meeting. Any action that is required or permitted to be taken by the unitholders may be taken either at a meeting of the unitholders or, if authorized by our board of directors, without a meeting if consents in writing describing the action so taken are signed by holders of the number of units necessary to authorize or take that action at a meeting at which all limited partners were present and voted. Special meetings of the unitholders may be called by our General Partner, our board of directors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provided, however, that if any meeting has been adjourned for a second time due to absence of a quorum, the act of the limited partners holding at least 25% of all outstanding units and which are represented in person or by proxy at such meeting shall be deemed to constitute the act of all limited partners, unless a greater or different percentage is required with respect to such action under the provisions of our partnership agreement.</w:t>
      </w:r>
    </w:p>
    <w:p>
      <w:pPr>
        <w:spacing w:after="0" w:line="183"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Each record holder of a common unit may vote according to the holder’s percentage interest in us, subject to special voting rights attaching to certain limited partner interests having special voting rights. Please read “—Issuance of Additional Securities.” Units held in nominee or street name account will be voted by the broker or other nominee in accordance with the instruction of the beneficial owner unless the arrangement between the beneficial owner and his nominee provides otherwise. The holders of the Class B Units have voting rights that are identical to the voting rights of the common units on an as converted basis and will vote with the common units as a single class on all matters with respect to which each common unit is entitled to vote, provided, however, that holders of Class B Units have no right to vote for, elect or appoint any director, or to nominate any individual to stand for election or appointment as a director, except. that if we fail to pay the minimum Class B Unit distribution, as set out in our partnership agreement, for six or more quarters, the holders of the Class B Units will have the right to appoint a director to our board and, if such arrearages exist on or after March 31, 2018, to replace the directors appointed by our General Partner, in each case by the affirmative vote of the holders of a majority of the Class B Units and subject to exceptions and conditions contained in our partnership agreement.</w:t>
      </w:r>
    </w:p>
    <w:p>
      <w:pPr>
        <w:spacing w:after="0" w:line="17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To preserve our ability to be exempt from U.S. federal income tax under Section 883 of the Code, if at any time, any person or group, other than our General Partner and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calculating required votes, except for purposes of nominating a person for election to our board,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units under the partnership agreement will be delivered to the record holder by us or by the transfer agent.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2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Except as described above under “—Limited Liability,” the common units and Class B Units will be fully paid, and unitholders will not be required to make additional contributions. By transfer of common units or Class B Units in accordance with our partnership agreement, each transferee of common units or Class B Units shall be admitted as a limited partner with respect to the common units or Class B Units transferred when such transfer and admission is reflected in our books and records.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 arising as a result of such person’s service to the Partnership:</w:t>
      </w:r>
    </w:p>
    <w:p>
      <w:pPr>
        <w:spacing w:after="0" w:line="76" w:lineRule="exact"/>
        <w:rPr>
          <w:sz w:val="20"/>
          <w:szCs w:val="20"/>
          <w:color w:val="auto"/>
        </w:rPr>
      </w:pPr>
    </w:p>
    <w:p>
      <w:pPr>
        <w:ind w:left="1460" w:hanging="547"/>
        <w:spacing w:after="0"/>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person who is or was an officer, director, member, partner fiduciary or trustee of any entity described in (1), (2) or (3) above;</w:t>
      </w:r>
    </w:p>
    <w:p>
      <w:pPr>
        <w:spacing w:after="0" w:line="142" w:lineRule="exact"/>
        <w:rPr>
          <w:rFonts w:ascii="Arial" w:cs="Arial" w:eastAsia="Arial" w:hAnsi="Arial"/>
          <w:sz w:val="17"/>
          <w:szCs w:val="17"/>
          <w:color w:val="auto"/>
        </w:rPr>
      </w:pPr>
    </w:p>
    <w:p>
      <w:pPr>
        <w:ind w:left="1460" w:right="540" w:hanging="547"/>
        <w:spacing w:after="0" w:line="277" w:lineRule="auto"/>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partner, fiduciary or trustee of another person at the request of our General Partner or any departing general partner;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any liabilities that may be asserted against, and any expenses that may be incurred by, persons for our activities or such person’s activities on our behalf, regardless of whether we would have the power to indemnify the person against liabilities under the partnership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121" w:lineRule="exact"/>
        <w:rPr>
          <w:sz w:val="20"/>
          <w:szCs w:val="20"/>
          <w:color w:val="auto"/>
        </w:rPr>
      </w:pPr>
    </w:p>
    <w:p>
      <w:pPr>
        <w:jc w:val="both"/>
        <w:ind w:right="60" w:firstLine="913"/>
        <w:spacing w:after="0" w:line="297" w:lineRule="auto"/>
        <w:rPr>
          <w:sz w:val="20"/>
          <w:szCs w:val="20"/>
          <w:color w:val="auto"/>
        </w:rPr>
      </w:pPr>
      <w:r>
        <w:rPr>
          <w:rFonts w:ascii="Arial" w:cs="Arial" w:eastAsia="Arial" w:hAnsi="Arial"/>
          <w:sz w:val="16"/>
          <w:szCs w:val="16"/>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and the members of our board of directors are entitled to determine in good faith the expenses that are allocable to us. Members of our board of directors are entitled to be reimbursed for out-of-pocket costs and expenses incurred in the course of their services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financial reporting purposes on an accrual basis in accordance with U.S. GAAP. For tax and fiscal reporting purposes, our fiscal year is the calendar year.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We will furnish or make available to record holders of units, within 120 days after the close of each fiscal year, an annual report containing audited financial statements, including a balance sheet and statement of operations, our equity and cash flows, and a report on those financial statements by our independent chartered accountants. Except for our fourth quarter, we will also furnish or make available summary financial information within 90 days after the close of each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12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partnership agreement provides that a limited partner can, for a purpose reasonably related to his or her interest as a limited partner, upon reasonable demand and at the limited partner’s own expense, have furnished to the limited partner:</w:t>
      </w:r>
    </w:p>
    <w:p>
      <w:pPr>
        <w:spacing w:after="0" w:line="76" w:lineRule="exact"/>
        <w:rPr>
          <w:sz w:val="20"/>
          <w:szCs w:val="20"/>
          <w:color w:val="auto"/>
        </w:rPr>
      </w:pPr>
    </w:p>
    <w:p>
      <w:pPr>
        <w:ind w:left="1460" w:hanging="547"/>
        <w:spacing w:after="0"/>
        <w:tabs>
          <w:tab w:leader="none" w:pos="1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current list of the name and last known addresses of each partner;</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capital contribution or services contributed or to be contributed by each partner and the date on which each became a partner;</w:t>
      </w:r>
    </w:p>
    <w:p>
      <w:pPr>
        <w:spacing w:after="0" w:line="75"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related amendments and powers of attorney under which they have been executed;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jc w:val="both"/>
        <w:ind w:right="40" w:firstLine="913"/>
        <w:spacing w:after="0" w:line="34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our partnership agreement, we have agreed to register for resale under the Securities Act of 1933, as amended and applicable state securities laws any common units, Class B Units or other partnership securities proposed to be sold by our General Partner or any of its affiliates or their assignees if an exemption from the registration requirements is not otherwise available or advisable. These registration rights generally continue for two years following any withdrawal or removal of Capital GP L.L.C. as our general partner and for so long thereafter as is required for our General Partner or its affiliates and assignees to sell all of the partnership securities with respect to which it has requested during such two-year period, inclusion in a registration statement otherwise filed or that a registration statement be filed. We are obligated to pay all expenses incidental to the registration, excluding underwriting discounts and commissions.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acceptance of the transfer of common units in accordance with our partnership agreement, each transferee of common units:</w:t>
      </w:r>
    </w:p>
    <w:p>
      <w:pPr>
        <w:spacing w:after="0" w:line="131" w:lineRule="exact"/>
        <w:rPr>
          <w:sz w:val="20"/>
          <w:szCs w:val="20"/>
          <w:color w:val="auto"/>
        </w:rPr>
      </w:pPr>
    </w:p>
    <w:p>
      <w:pPr>
        <w:ind w:left="1460" w:right="200" w:hanging="547"/>
        <w:spacing w:after="0" w:line="277" w:lineRule="auto"/>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shall be admitted as a limited partner with respect to the common units transferred when such transfer and admission is reflected in our books and records;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is bound by our partnership agreement;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grants the power of attorney and gives the consents and waivers contained in our partnership agreement.</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A transferee will become a substituted limited partner of our partnership for the transferred common units automatically upon the recording of the transfer on our books and records.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firstLine="913"/>
        <w:spacing w:after="0" w:line="286" w:lineRule="auto"/>
        <w:rPr>
          <w:sz w:val="20"/>
          <w:szCs w:val="20"/>
          <w:color w:val="auto"/>
        </w:rPr>
      </w:pPr>
      <w:r>
        <w:rPr>
          <w:rFonts w:ascii="Arial" w:cs="Arial" w:eastAsia="Arial" w:hAnsi="Arial"/>
          <w:sz w:val="17"/>
          <w:szCs w:val="17"/>
          <w:color w:val="auto"/>
        </w:rPr>
        <w:t>We may, at our discretion, treat the nominee holder of a common unit as the owner of such common units without further inquiry, except as otherwise provided by law or stock exchange regulations. In that case, we expect that the beneficial holder’s rights will limited solely to those that it has against the nominee holder as a result of any agreement between the beneficial owner and the nominee holder.</w:t>
      </w:r>
    </w:p>
    <w:p>
      <w:pPr>
        <w:spacing w:after="0" w:line="166"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14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owner for all purposes, except as otherwise required by law or stock exchange regulations.</w:t>
      </w:r>
    </w:p>
    <w:p>
      <w:pPr>
        <w:spacing w:after="0" w:line="315" w:lineRule="exact"/>
        <w:rPr>
          <w:sz w:val="20"/>
          <w:szCs w:val="20"/>
          <w:color w:val="auto"/>
        </w:rPr>
      </w:pPr>
    </w:p>
    <w:p>
      <w:pPr>
        <w:ind w:left="1920" w:hanging="440"/>
        <w:spacing w:after="0"/>
        <w:tabs>
          <w:tab w:leader="none" w:pos="19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are a party, for the two years immediately preceding the date of this Annual Report, each of which is included in the list of exhibits in Item 19.</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Please read “Item 7B: Related-Party Transactions” for transactions entered into with related parties, as well as further details on certain of the transactions described below.</w:t>
      </w:r>
    </w:p>
    <w:p>
      <w:pPr>
        <w:spacing w:after="0" w:line="76" w:lineRule="exact"/>
        <w:rPr>
          <w:sz w:val="20"/>
          <w:szCs w:val="20"/>
          <w:color w:val="auto"/>
        </w:rPr>
      </w:pPr>
    </w:p>
    <w:p>
      <w:pPr>
        <w:ind w:left="1460" w:hanging="547"/>
        <w:spacing w:after="0"/>
        <w:tabs>
          <w:tab w:leader="none" w:pos="1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Purchase Agreement, dated January 17, 2018, with Capital Maritime to acquire the shares of the company owning the M/T Aristaios.</w:t>
      </w:r>
    </w:p>
    <w:p>
      <w:pPr>
        <w:spacing w:after="0" w:line="153" w:lineRule="exact"/>
        <w:rPr>
          <w:rFonts w:ascii="Arial" w:cs="Arial" w:eastAsia="Arial" w:hAnsi="Arial"/>
          <w:sz w:val="16"/>
          <w:szCs w:val="16"/>
          <w:color w:val="auto"/>
        </w:rPr>
      </w:pPr>
    </w:p>
    <w:p>
      <w:pPr>
        <w:ind w:left="1460" w:hanging="547"/>
        <w:spacing w:after="0" w:line="286" w:lineRule="auto"/>
        <w:tabs>
          <w:tab w:leader="none" w:pos="14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Loan Agreement, dated September 6, 2017, between Capital Product Partners L.P. as Borrower, HSH Nordbank AG and ING Bank N.V., London Branch as Mandated Lead Arrangers and Bookrunners, BNP Paribas and National Bank of Greece S.A. as Arrangers and HSH Nordbank AG as Agent and Security Trustee relating to a senior secured term loan facility of up to US$460.0 million.</w:t>
      </w:r>
    </w:p>
    <w:p>
      <w:pPr>
        <w:spacing w:after="0" w:line="70" w:lineRule="exact"/>
        <w:rPr>
          <w:rFonts w:ascii="Arial" w:cs="Arial" w:eastAsia="Arial" w:hAnsi="Arial"/>
          <w:sz w:val="17"/>
          <w:szCs w:val="17"/>
          <w:color w:val="auto"/>
        </w:rPr>
      </w:pPr>
    </w:p>
    <w:p>
      <w:pPr>
        <w:ind w:left="1460" w:hanging="547"/>
        <w:spacing w:after="0" w:line="308" w:lineRule="auto"/>
        <w:tabs>
          <w:tab w:leader="none" w:pos="14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Loan Agreement between Asterias Crude Carriers S.A. and Scorpio Crude Carriers S.A. as borrowers and Crédit Agricole Corporate and Investment Bank as Facility Agent and Security Trustee and ING Bank N.V. as Swap Bank dated January 2, 2017.</w:t>
      </w:r>
    </w:p>
    <w:p>
      <w:pPr>
        <w:spacing w:after="0" w:line="51" w:lineRule="exact"/>
        <w:rPr>
          <w:rFonts w:ascii="Arial" w:cs="Arial" w:eastAsia="Arial" w:hAnsi="Arial"/>
          <w:sz w:val="17"/>
          <w:szCs w:val="17"/>
          <w:color w:val="auto"/>
        </w:rPr>
      </w:pPr>
    </w:p>
    <w:p>
      <w:pPr>
        <w:ind w:left="1460" w:right="340" w:hanging="547"/>
        <w:spacing w:after="0" w:line="277"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Purchase Agreement, dated October 24, 2016, with Capital Maritime to acquire the shares of the vessel owning company of the M/T Amor.</w:t>
      </w:r>
    </w:p>
    <w:p>
      <w:pPr>
        <w:spacing w:after="0" w:line="75"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Equity Distribution Agreement, dated September 12, 2016, with UBS Securities LLC in connection with our ATM offering, filed on September 12, 2016 as Exhibit 1.1 to Form 6-K.</w:t>
      </w:r>
    </w:p>
    <w:p>
      <w:pPr>
        <w:spacing w:after="0" w:line="75"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Purchase Agreement, dated February 26, 2016, with Capital Maritime to acquire the shares of the vessel owning company of the M/V CMA CGM Magdalena.</w:t>
      </w:r>
    </w:p>
    <w:p>
      <w:pPr>
        <w:spacing w:after="0" w:line="75" w:lineRule="exact"/>
        <w:rPr>
          <w:rFonts w:ascii="Arial" w:cs="Arial" w:eastAsia="Arial" w:hAnsi="Arial"/>
          <w:sz w:val="18"/>
          <w:szCs w:val="18"/>
          <w:color w:val="auto"/>
        </w:rPr>
      </w:pPr>
    </w:p>
    <w:p>
      <w:pPr>
        <w:ind w:left="1460" w:right="140" w:hanging="547"/>
        <w:spacing w:after="0" w:line="342" w:lineRule="auto"/>
        <w:tabs>
          <w:tab w:leader="none" w:pos="1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Master Vessel Acquisition Agreement dated July 24, 2014, with Capital Maritime to acquire the Dropdown Vessels and a right of first refusal over six additional newbuild Samsung eco medium range product tankers, including M/T Amor delivered during October 2016.</w:t>
      </w:r>
    </w:p>
    <w:p>
      <w:pPr>
        <w:spacing w:after="0" w:line="29" w:lineRule="exact"/>
        <w:rPr>
          <w:rFonts w:ascii="Arial" w:cs="Arial" w:eastAsia="Arial" w:hAnsi="Arial"/>
          <w:sz w:val="16"/>
          <w:szCs w:val="16"/>
          <w:color w:val="auto"/>
        </w:rPr>
      </w:pPr>
    </w:p>
    <w:p>
      <w:pPr>
        <w:jc w:val="both"/>
        <w:ind w:left="1460" w:right="200" w:hanging="547"/>
        <w:spacing w:after="0" w:line="264"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Loan Agreement between Filonikis Product Carrier S.A. the vessel-owning company of M/T Amor and Iason Product Carrier S.A. the vessel owning company of M/T Anikitos, among other borrowers, and ING Bank N.V., London Branch as Facility Agent and Security Trustee and ING Bank N.V. as Swap Bank, dated November 19, 2015.</w:t>
      </w:r>
    </w:p>
    <w:p>
      <w:pPr>
        <w:spacing w:after="0" w:line="326" w:lineRule="exact"/>
        <w:rPr>
          <w:sz w:val="20"/>
          <w:szCs w:val="20"/>
          <w:color w:val="auto"/>
        </w:rPr>
      </w:pPr>
    </w:p>
    <w:p>
      <w:pPr>
        <w:ind w:left="1920" w:hanging="440"/>
        <w:spacing w:after="0"/>
        <w:tabs>
          <w:tab w:leader="none" w:pos="19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459" w:right="3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following is a discussion of the material Marshall Islands tax consequences of our activities to unitholders who are not citizens of and do not reside in, maintain offices in or engage in business or transactions in the Marshall Islands (“non-resident holders”). Because we, our subsidiaries and our controlled affiliates do not, and we do not expect that we, our subsidiaries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11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Because we, our subsidiaries and our controlled affiliates do not, and we do not expect that we, our subsidiaries and our controlled affiliates will conduct business or operations in the Marshall Islands, under current Marshall Islands law neither we, our subsidiaries nor our controlled affiliates will be subject to Marshall Islands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 merger, or redomiciliation) with the Marshall Islands registrar, (iv) obtaining certificates of goodstanding from, or certified copies of documents filed with, the Marshall Islands registrar, or (v) compliance with Marshall Islands law concerning vessel ownership, such as tonnage tax. As a result, distributions by our subsidiaries and our controlled affiliates to us will not be subject to Marshall Islands taxation.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right="360" w:firstLine="913"/>
        <w:spacing w:after="0" w:line="279" w:lineRule="auto"/>
        <w:rPr>
          <w:sz w:val="20"/>
          <w:szCs w:val="20"/>
          <w:color w:val="auto"/>
        </w:rPr>
      </w:pPr>
      <w:r>
        <w:rPr>
          <w:rFonts w:ascii="Arial" w:cs="Arial" w:eastAsia="Arial" w:hAnsi="Arial"/>
          <w:sz w:val="17"/>
          <w:szCs w:val="17"/>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7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value of all classes of our units or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7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common unitholders. The statements made here may not be sustained by a court if contested by the IRS.</w:t>
      </w:r>
    </w:p>
    <w:p>
      <w:pPr>
        <w:spacing w:after="0" w:line="170"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have elected to be taxed as a corporation for U.S. federal income tax purposes. As such, among other consequences, U.S. Holders (as defined below) will, subject to the discussion of certain rules relating to PFICs below (please see “Item 10E: Taxation—Material U.S. Federal Income Tax Considerations—U.S. Federal Income Taxation of U.S. Holders—PFIC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IRS Form 1099-DIV.</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expect that substantially all of our gross income will continue to be attributable to the transportation of crude oil and related oil products, as well as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7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93"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117"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131" w:lineRule="exact"/>
        <w:rPr>
          <w:sz w:val="20"/>
          <w:szCs w:val="20"/>
          <w:color w:val="auto"/>
        </w:rPr>
      </w:pPr>
    </w:p>
    <w:p>
      <w:pPr>
        <w:ind w:left="1460" w:right="80" w:hanging="547"/>
        <w:spacing w:after="0" w:line="277" w:lineRule="auto"/>
        <w:tabs>
          <w:tab w:leader="none" w:pos="1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8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16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69"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54"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Thus, although the matter is not free from doubt, we believe that we will satisfy the Publicly Traded Test. Should any of the facts described above cease to be correct, our ability to satisfy the test will be compromised.</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Operating Income in the Absence of the Section 883 Exemption</w:t>
      </w:r>
    </w:p>
    <w:p>
      <w:pPr>
        <w:spacing w:after="0" w:line="11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6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35%). In addition, a 30% branch profits tax imposed under Section 884 of the Code also would apply to such income, and a branch interest tax could be imposed on certain interest paid or deemed paid by us.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Gain on the Sale of a Vessel</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The 4% Gross Basis Tax</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If the Section 883 Exemption does not apply and the net basis tax does not apply, we would be subject to a 4% U.S. federal income tax on the U.S. source portion of our U.S. Source International Transportation Income, without the benefit of deductions.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117" w:lineRule="exact"/>
        <w:rPr>
          <w:sz w:val="20"/>
          <w:szCs w:val="20"/>
          <w:color w:val="auto"/>
        </w:rPr>
      </w:pPr>
    </w:p>
    <w:p>
      <w:pPr>
        <w:jc w:val="both"/>
        <w:ind w:right="60" w:firstLine="913"/>
        <w:spacing w:after="0" w:line="257" w:lineRule="auto"/>
        <w:rPr>
          <w:sz w:val="20"/>
          <w:szCs w:val="20"/>
          <w:color w:val="auto"/>
        </w:rPr>
      </w:pPr>
      <w:r>
        <w:rPr>
          <w:rFonts w:ascii="Arial" w:cs="Arial" w:eastAsia="Arial" w:hAnsi="Arial"/>
          <w:sz w:val="18"/>
          <w:szCs w:val="18"/>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that are corporations generally will not be entitled to claim a dividends-received deduction with respect to any distributions they receive from us. Dividends paid with respect to our common units generally will be treated as “passive” income from sources outside the United States for purposes of computing allowable foreign tax credits for U.S. federal income tax purposes.</w:t>
      </w:r>
    </w:p>
    <w:p>
      <w:pPr>
        <w:spacing w:after="0" w:line="181"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Dividends paid on our common units to a U.S. Holder who is an individual, trust or estate (or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Select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87" w:lineRule="exact"/>
        <w:rPr>
          <w:sz w:val="20"/>
          <w:szCs w:val="20"/>
          <w:color w:val="auto"/>
        </w:rPr>
      </w:pPr>
    </w:p>
    <w:p>
      <w:pPr>
        <w:ind w:left="1460" w:right="80" w:hanging="547"/>
        <w:spacing w:after="0" w:line="308" w:lineRule="auto"/>
        <w:tabs>
          <w:tab w:leader="none" w:pos="1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at least 75% of our gross income (including the gross income of our vessel owning subsidiaries) for such taxable year consists of passive income (e.g., dividends, interest, capital gains and rents derived other than in the active conduct of a rental business); or</w:t>
      </w:r>
    </w:p>
    <w:p>
      <w:pPr>
        <w:spacing w:after="0" w:line="51" w:lineRule="exact"/>
        <w:rPr>
          <w:rFonts w:ascii="Arial" w:cs="Arial" w:eastAsia="Arial" w:hAnsi="Arial"/>
          <w:sz w:val="17"/>
          <w:szCs w:val="17"/>
          <w:color w:val="auto"/>
        </w:rPr>
      </w:pPr>
    </w:p>
    <w:p>
      <w:pPr>
        <w:ind w:left="1460" w:hanging="547"/>
        <w:spacing w:after="0" w:line="277" w:lineRule="auto"/>
        <w:tabs>
          <w:tab w:leader="none" w:pos="1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least 50% of the average value of the assets held by us (including the assets of our vessel-owning subsidiaries) during such taxable year produce, or are held for the production of, passive income.</w:t>
      </w:r>
    </w:p>
    <w:p>
      <w:pPr>
        <w:spacing w:after="0" w:line="170"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w:t>
      </w:r>
    </w:p>
    <w:p>
      <w:pPr>
        <w:spacing w:after="0" w:line="271" w:lineRule="auto"/>
        <w:rPr>
          <w:sz w:val="20"/>
          <w:szCs w:val="20"/>
          <w:color w:val="auto"/>
        </w:rPr>
      </w:pPr>
      <w:r>
        <w:rPr>
          <w:rFonts w:ascii="Arial" w:cs="Arial" w:eastAsia="Arial" w:hAnsi="Arial"/>
          <w:sz w:val="17"/>
          <w:szCs w:val="17"/>
          <w:color w:val="auto"/>
        </w:rPr>
        <w:t>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913"/>
        <w:spacing w:after="0" w:line="276" w:lineRule="auto"/>
        <w:rPr>
          <w:sz w:val="20"/>
          <w:szCs w:val="20"/>
          <w:color w:val="auto"/>
        </w:rPr>
      </w:pPr>
      <w:r>
        <w:rPr>
          <w:rFonts w:ascii="Arial" w:cs="Arial" w:eastAsia="Arial" w:hAnsi="Arial"/>
          <w:sz w:val="17"/>
          <w:szCs w:val="17"/>
          <w:color w:val="auto"/>
        </w:rPr>
        <w:t>As noted above, there is, however, no direct legal authority under the PFIC rules addressing our method of operation. Moreover, in a case not specifically interpreting the PFIC rules, Tidewater Inc. v. United States ,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Tidewater , adding further that the time charters at issue would be treated as giving rise to services income under the PFIC rules.</w:t>
      </w:r>
    </w:p>
    <w:p>
      <w:pPr>
        <w:spacing w:after="0" w:line="1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18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in excess of 125%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78" w:lineRule="exact"/>
        <w:rPr>
          <w:sz w:val="20"/>
          <w:szCs w:val="20"/>
          <w:color w:val="auto"/>
        </w:rPr>
      </w:pPr>
    </w:p>
    <w:p>
      <w:pPr>
        <w:ind w:left="1460" w:hanging="547"/>
        <w:spacing w:after="0"/>
        <w:tabs>
          <w:tab w:leader="none" w:pos="14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153" w:lineRule="exact"/>
        <w:rPr>
          <w:rFonts w:ascii="Arial" w:cs="Arial" w:eastAsia="Arial" w:hAnsi="Arial"/>
          <w:sz w:val="16"/>
          <w:szCs w:val="16"/>
          <w:color w:val="auto"/>
        </w:rPr>
      </w:pPr>
    </w:p>
    <w:p>
      <w:pPr>
        <w:ind w:left="1460" w:right="320" w:hanging="547"/>
        <w:spacing w:after="0" w:line="277" w:lineRule="auto"/>
        <w:tabs>
          <w:tab w:leader="none" w:pos="1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8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A beneficial owner of our common units (other than a partnership, including any entity or arrangement treated as a partnership for U.S. federal income tax purposes) that is not a U.S. Holder is a Non-U.S. Holder.</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In general, payments of distributions on our common units or the proceeds of a disposition of our common units to a U.S. Individual Holder will be subject to information reporting requirements. These payments also may be subject to backup withholding, if the U.S. Individual Holder:</w:t>
      </w:r>
    </w:p>
    <w:p>
      <w:pPr>
        <w:spacing w:after="0" w:line="52" w:lineRule="exact"/>
        <w:rPr>
          <w:sz w:val="20"/>
          <w:szCs w:val="20"/>
          <w:color w:val="auto"/>
        </w:rPr>
      </w:pPr>
    </w:p>
    <w:p>
      <w:pPr>
        <w:ind w:left="5580" w:right="5580" w:hanging="4667"/>
        <w:spacing w:after="0" w:line="413" w:lineRule="auto"/>
        <w:tabs>
          <w:tab w:leader="none" w:pos="146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fails to provide an accurate taxpayer identification number; 145</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77" w:lineRule="auto"/>
        <w:tabs>
          <w:tab w:leader="none" w:pos="1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is notified by the IRS that he has failed to report all interest or corporate distributions required to be shown on its U.S. federal income tax returns;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W-8BEN-E, W-8ECI or W-8IMY, as applicable. 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331" w:lineRule="exact"/>
        <w:rPr>
          <w:sz w:val="20"/>
          <w:szCs w:val="20"/>
          <w:color w:val="auto"/>
        </w:rPr>
      </w:pPr>
    </w:p>
    <w:p>
      <w:pPr>
        <w:ind w:left="1920" w:hanging="440"/>
        <w:spacing w:after="0"/>
        <w:tabs>
          <w:tab w:leader="none" w:pos="192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Statements </w:t>
      </w:r>
      <w:r>
        <w:rPr>
          <w:rFonts w:ascii="Arial" w:cs="Arial" w:eastAsia="Arial" w:hAnsi="Arial"/>
          <w:sz w:val="18"/>
          <w:szCs w:val="18"/>
          <w:color w:val="auto"/>
        </w:rPr>
        <w:t>by</w:t>
      </w:r>
      <w:r>
        <w:rPr>
          <w:rFonts w:ascii="Arial" w:cs="Arial" w:eastAsia="Arial" w:hAnsi="Arial"/>
          <w:sz w:val="18"/>
          <w:szCs w:val="18"/>
          <w:b w:val="1"/>
          <w:bCs w:val="1"/>
          <w:color w:val="auto"/>
        </w:rPr>
        <w:t xml:space="preserve"> Experts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We have filed with the SEC a registration statement on Form F-1, a registration statement on Form F-4 and one effective registration statements on Form F-3 regarding our common units, among other securities. This Annual Report does not contain all of the information found in these registration statements. For further information regarding us and our common units, you may wish to review the full registration statements, including their exhibits. The registration statements,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 1-800-SEC-0330 for further information on public reference room. Our registration statements can also be inspected and copied at the offices of the Nasdaq Global Select Market, One Liberty Plaza, New York, New York 10006.</w:t>
      </w:r>
    </w:p>
    <w:p>
      <w:pPr>
        <w:spacing w:after="0" w:line="324" w:lineRule="exact"/>
        <w:rPr>
          <w:sz w:val="20"/>
          <w:szCs w:val="20"/>
          <w:color w:val="auto"/>
        </w:rPr>
      </w:pPr>
    </w:p>
    <w:p>
      <w:pPr>
        <w:ind w:left="1920" w:hanging="440"/>
        <w:spacing w:after="0"/>
        <w:tabs>
          <w:tab w:leader="none" w:pos="19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2017.</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11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do not have a material currency exposure risk. We generate all of our revenues in U.S. Dollars and incur less than 20% of our expenses in currencies other than U.S. Dollars. For accounting purposes, expenses incurred in currencies other than the U.S. Dollar are translated into U.S. Dollars at the exchange rate prevailing on the date of each transaction. As of December 31, 2017, less than 5% of our liabilities were denominated in currencies other than U.S. Dollars (mainly in Euros). These liabilities were translated into U.S. Dollars at the exchange rate prevailing on December 31, 2017. We have not hedged currency exchange risks and our operating results could be adversely affected as a result.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international tanker, container and drybulk industry is capital intensive, requiring significant amounts of investment, a significant portion of which is provided in the form of long-term debt. Our current debt contains interest rates that fluctuate with LIBOR. Our 2017 credit facility bears an interest margin of 3.25% per annum over US$ LIBOR, the 2015 credit facility bears an interest margin of 2.50% per annum over US$ LIBOR and the Aristaios credit facility bears an interest margin of 2.85% per annum over US$ LIBOR. Therefore, we are exposed to the risk that our interest expense may increase if interest rates rise.</w:t>
      </w:r>
    </w:p>
    <w:p>
      <w:pPr>
        <w:spacing w:after="0" w:line="18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Currently we have, and during 2017 we had, no interest rate swap agreements outstanding. As a result of a possible market disruption in determining the cost of funds for our banks, any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an increase of 100 basis points in LIBOR would have resulted in an increase in our interest expense by approximately $5.8 million, $6.1 million and $5.7 million for the years ended December 31, 2017, 2016 and 2015 respectively, assuming all other variables had remained constant.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 Please refer to “Item 5B: Liquidity and Capital Resources—Borrowings—Our Credit Facilities” for more information on our interest rate swap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31" w:lineRule="exact"/>
        <w:rPr>
          <w:sz w:val="20"/>
          <w:szCs w:val="20"/>
          <w:color w:val="auto"/>
        </w:rPr>
      </w:pPr>
    </w:p>
    <w:p>
      <w:pPr>
        <w:ind w:left="1920" w:hanging="440"/>
        <w:spacing w:after="0"/>
        <w:tabs>
          <w:tab w:leader="none" w:pos="19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As of December 31, 2017, our management (with the participation of the chief executive officer and chief financial officer of our General Partner) conducted an evaluation pursuant to Rule 13a-15(b) and 15d-15 promulgated under the U.S. Securities Exchange Act of 1934, as amended (the “Exchange Act”), of the effectiveness of the design and operation of our disclosure controls and procedures as defined in Rules 13a-15(e) and 15d-15(e) under the Exchange Act.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Based on this evaluation, the chief executive officer and chief financial officer of our General Partner concluded that, as of December 31, 2017, our disclosure controls and procedures, which include, without limitation, controls and procedures designed to ensure that information required to be disclosed by us in the reports we file or submit under the Exchange Act is accumulated and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323" w:lineRule="exact"/>
        <w:rPr>
          <w:sz w:val="20"/>
          <w:szCs w:val="20"/>
          <w:color w:val="auto"/>
        </w:rPr>
      </w:pPr>
    </w:p>
    <w:p>
      <w:pPr>
        <w:ind w:left="1920" w:hanging="440"/>
        <w:spacing w:after="0"/>
        <w:tabs>
          <w:tab w:leader="none" w:pos="19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Partnership and 3)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based upon the 2013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2017.</w:t>
      </w:r>
    </w:p>
    <w:p>
      <w:pPr>
        <w:spacing w:after="0" w:line="154"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8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326" w:lineRule="exact"/>
        <w:rPr>
          <w:sz w:val="20"/>
          <w:szCs w:val="20"/>
          <w:color w:val="auto"/>
        </w:rPr>
      </w:pPr>
    </w:p>
    <w:p>
      <w:pPr>
        <w:ind w:left="1920" w:hanging="440"/>
        <w:spacing w:after="0"/>
        <w:tabs>
          <w:tab w:leader="none" w:pos="192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Majuro, Republic of the Marshall Islands.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We have audited the internal control over financial reporting of Capital Product Partners L.P. and subsidiaries (the “Partnership”) as of December 31, 2017, based on criteria established in Internal Control — Integrated Framework (2013) issued by the Committee of Sponsoring Organizations of the Treadway Commission (COSO). In our opinion, the Partnership maintained, in all material respects, effective internal control over financial reporting as of December 31, 2017, based on criteria established in Internal Control — Integrated Framework (2013) issued by COSO.</w:t>
      </w:r>
    </w:p>
    <w:p>
      <w:pPr>
        <w:spacing w:after="0" w:line="171"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Partnership and our report dated March 5, 2018 expressed an unqualified opinion on those financial statements.</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7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355" w:lineRule="exact"/>
        <w:rPr>
          <w:sz w:val="20"/>
          <w:szCs w:val="20"/>
          <w:color w:val="auto"/>
        </w:rPr>
      </w:pPr>
    </w:p>
    <w:p>
      <w:pPr>
        <w:ind w:left="1920" w:hanging="440"/>
        <w:spacing w:after="0"/>
        <w:tabs>
          <w:tab w:leader="none" w:pos="19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9"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Our board of directors has determined that director Abel Rasterhoff, the chairman of our audit committee, qualifies as an audit committee financial expert for purposes of the U.S. Sarbanes-Oxley Act of 2002 and is independent under applicable Nasdaq Global Select Market and SEC standards.</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9"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Our board of directors has adopted a Code of Business Conduct and Ethics that includes a Code of Ethics (the “Code of Ethics”)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Capital Ship Management, wherever located, as well as to all of the Partnership’s subsidiaries and other business entities controlled by it worldwide. The Code of Ethics incorporates terms and conditions consistent with the FCPA and U.K. Bribery Act, and includes a Gifts and Entertainment policy.</w:t>
      </w:r>
    </w:p>
    <w:p>
      <w:pPr>
        <w:spacing w:after="0" w:line="1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Our principal accountant for 2017 and 2016 was Deloitte. The following table shows the fees we paid or accrued for audit and tax services provided by Deloitte for these periods (in thousands of U.S. Dollars).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402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6"/>
                <w:szCs w:val="16"/>
                <w:color w:val="auto"/>
              </w:rPr>
            </w:pPr>
          </w:p>
        </w:tc>
      </w:tr>
      <w:tr>
        <w:trPr>
          <w:trHeight w:val="190"/>
        </w:trPr>
        <w:tc>
          <w:tcPr>
            <w:tcW w:w="4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Fees (1)</w:t>
            </w:r>
          </w:p>
        </w:tc>
        <w:tc>
          <w:tcPr>
            <w:tcW w:w="2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3"/>
              </w:rPr>
              <w:t>$458.4</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$405.2</w:t>
            </w:r>
          </w:p>
        </w:tc>
        <w:tc>
          <w:tcPr>
            <w:tcW w:w="60" w:type="dxa"/>
            <w:vAlign w:val="bottom"/>
            <w:shd w:val="clear" w:color="auto" w:fill="CCEEFF"/>
          </w:tcPr>
          <w:p>
            <w:pPr>
              <w:spacing w:after="0"/>
              <w:rPr>
                <w:sz w:val="16"/>
                <w:szCs w:val="16"/>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9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(2)</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r>
      <w:tr>
        <w:trPr>
          <w:trHeight w:val="224"/>
        </w:trPr>
        <w:tc>
          <w:tcPr>
            <w:tcW w:w="280" w:type="dxa"/>
            <w:vAlign w:val="bottom"/>
          </w:tcPr>
          <w:p>
            <w:pPr>
              <w:spacing w:after="0"/>
              <w:rPr>
                <w:sz w:val="19"/>
                <w:szCs w:val="19"/>
                <w:color w:val="auto"/>
              </w:rPr>
            </w:pPr>
          </w:p>
        </w:tc>
        <w:tc>
          <w:tcPr>
            <w:tcW w:w="40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9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$484.2</w:t>
            </w:r>
          </w:p>
        </w:tc>
        <w:tc>
          <w:tcPr>
            <w:tcW w:w="3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$431.8</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580" w:right="160" w:hanging="572"/>
        <w:spacing w:after="0" w:line="256" w:lineRule="auto"/>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included herein, review of our quarterly consolidated financial information, audit services provided in connection with other regulatory filings, issuance of consents and assistance with and review of documents filed with the SEC.</w:t>
      </w:r>
    </w:p>
    <w:p>
      <w:pPr>
        <w:ind w:left="580" w:hanging="572"/>
        <w:spacing w:after="0"/>
        <w:tabs>
          <w:tab w:leader="none" w:pos="5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Tax fees represent fees for professional services provided in connection with various U.S. income tax compliance and information reporting matters.</w:t>
      </w:r>
    </w:p>
    <w:p>
      <w:pPr>
        <w:spacing w:after="0" w:line="23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2017 and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In October 2016, we issued 283,696 new common units to Capital Maritime in connection with the acquisition of M/T Amor, at a price of $3.21 per common unit.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In May 2016, Capital Maritime announced that it has acquired 459,799 common units in open market transactions and that it entered into a Rule 10b5-1 trading plan (the “10b5-1 Plan”) with an independent broker-dealer for the further purchase of up to 5,000,000 common units, subject to pre-determined pricing parameters. The 10b5-1 Plan expired. No further purchase of common units was made thereunder.</w:t>
      </w:r>
    </w:p>
    <w:p>
      <w:pPr>
        <w:spacing w:after="0" w:line="166"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Following these transactions, Capital Maritime owned 17,291,768 common units, representing a 13.6% interest in us. As of December 31, 2017, the Marinakis family, including Evangelos M. Marinakis, may be deemed to beneficially own on a fully converted basis a 16.1% interest in us (17.7% on a non-fully converted basis), through, among others, Capital Maritime.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Nasdaq Global Select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6C: Board Practices” and “Item 10B: Memorandum and Articles of Association” for more detail regarding our corporate governance practices.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60" w:type="dxa"/>
            <w:vAlign w:val="bottom"/>
            <w:gridSpan w:val="7"/>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60" w:type="dxa"/>
            <w:vAlign w:val="bottom"/>
            <w:gridSpan w:val="7"/>
          </w:tcPr>
          <w:p>
            <w:pPr>
              <w:spacing w:after="0"/>
              <w:rPr>
                <w:sz w:val="20"/>
                <w:szCs w:val="20"/>
                <w:color w:val="auto"/>
              </w:rPr>
            </w:pPr>
            <w:r>
              <w:rPr>
                <w:rFonts w:ascii="Arial" w:cs="Arial" w:eastAsia="Arial" w:hAnsi="Arial"/>
                <w:sz w:val="18"/>
                <w:szCs w:val="18"/>
                <w:b w:val="1"/>
                <w:bCs w:val="1"/>
                <w:color w:val="auto"/>
              </w:rPr>
              <w:t>CAPITAL PRODUCT PARTNERS L.P.</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060" w:type="dxa"/>
            <w:vAlign w:val="bottom"/>
            <w:gridSpan w:val="7"/>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60">
              <w:r>
                <w:rPr>
                  <w:rFonts w:ascii="Arial" w:cs="Arial" w:eastAsia="Arial" w:hAnsi="Arial"/>
                  <w:sz w:val="18"/>
                  <w:szCs w:val="18"/>
                  <w:color w:val="0000EE"/>
                  <w:w w:val="88"/>
                </w:rPr>
                <w:t>Consolidated Balance Sheets as of December 31, 2017 and 2016</w:t>
              </w:r>
            </w:hyperlink>
          </w:p>
        </w:tc>
        <w:tc>
          <w:tcPr>
            <w:tcW w:w="64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77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61">
              <w:r>
                <w:rPr>
                  <w:rFonts w:ascii="Arial" w:cs="Arial" w:eastAsia="Arial" w:hAnsi="Arial"/>
                  <w:sz w:val="18"/>
                  <w:szCs w:val="18"/>
                  <w:color w:val="0000EE"/>
                  <w:w w:val="89"/>
                </w:rPr>
                <w:t>Consolidated Statement of Comprehensive Income for the years ended December 31, 2017, 2016 and 2015</w:t>
              </w:r>
            </w:hyperlink>
          </w:p>
        </w:tc>
        <w:tc>
          <w:tcPr>
            <w:tcW w:w="33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11060" w:type="dxa"/>
            <w:vAlign w:val="bottom"/>
            <w:gridSpan w:val="7"/>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Consolidated Statement of Changes in Partners’ Capital for the years ended December 31, 2017, 2016 and 2015</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63">
              <w:r>
                <w:rPr>
                  <w:rFonts w:ascii="Arial" w:cs="Arial" w:eastAsia="Arial" w:hAnsi="Arial"/>
                  <w:sz w:val="18"/>
                  <w:szCs w:val="18"/>
                  <w:color w:val="0000EE"/>
                  <w:w w:val="89"/>
                </w:rPr>
                <w:t>Consolidated Statement of Cash Flows for the years ended December 31, 2017, 2016 and 2015</w:t>
              </w:r>
            </w:hyperlink>
          </w:p>
        </w:tc>
        <w:tc>
          <w:tcPr>
            <w:tcW w:w="1160" w:type="dxa"/>
            <w:vAlign w:val="bottom"/>
            <w:tcBorders>
              <w:top w:val="single" w:sz="8" w:color="0000EE"/>
            </w:tcBorders>
            <w:gridSpan w:val="2"/>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1060" w:type="dxa"/>
            <w:vAlign w:val="bottom"/>
            <w:gridSpan w:val="7"/>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Notes to the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ectPr>
          <w:pgSz w:w="11900" w:h="16838" w:orient="portrait"/>
          <w:cols w:equalWidth="0" w:num="1">
            <w:col w:w="11380"/>
          </w:cols>
          <w:pgMar w:left="240" w:top="459" w:right="279" w:bottom="1440" w:gutter="0" w:footer="0" w:header="0"/>
        </w:sectPr>
      </w:pPr>
    </w:p>
    <w:p>
      <w:pPr>
        <w:spacing w:after="0" w:line="244" w:lineRule="exact"/>
        <w:rPr>
          <w:sz w:val="20"/>
          <w:szCs w:val="20"/>
          <w:color w:val="auto"/>
        </w:rPr>
      </w:pPr>
    </w:p>
    <w:p>
      <w:pPr>
        <w:jc w:val="center"/>
        <w:ind w:right="42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2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829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center"/>
        <w:ind w:right="4740"/>
        <w:spacing w:after="0"/>
        <w:rPr>
          <w:sz w:val="20"/>
          <w:szCs w:val="20"/>
          <w:color w:val="auto"/>
        </w:rPr>
      </w:pPr>
      <w:r>
        <w:rPr>
          <w:rFonts w:ascii="Arial" w:cs="Arial" w:eastAsia="Arial" w:hAnsi="Arial"/>
          <w:sz w:val="12"/>
          <w:szCs w:val="12"/>
          <w:b w:val="1"/>
          <w:bCs w:val="1"/>
          <w:u w:val="single" w:color="auto"/>
          <w:color w:val="auto"/>
        </w:rPr>
        <w:t>Description</w:t>
      </w:r>
    </w:p>
    <w:p>
      <w:pPr>
        <w:spacing w:after="0" w:line="126" w:lineRule="exact"/>
        <w:rPr>
          <w:sz w:val="20"/>
          <w:szCs w:val="20"/>
          <w:color w:val="auto"/>
        </w:rPr>
      </w:pPr>
    </w:p>
    <w:p>
      <w:pPr>
        <w:sectPr>
          <w:pgSz w:w="11900" w:h="16838" w:orient="portrait"/>
          <w:cols w:equalWidth="0" w:num="2">
            <w:col w:w="5220" w:space="720"/>
            <w:col w:w="5440"/>
          </w:cols>
          <w:pgMar w:left="240" w:top="459" w:right="279" w:bottom="1440" w:gutter="0" w:footer="0" w:header="0"/>
          <w:type w:val="continuous"/>
        </w:sectPr>
      </w:pPr>
    </w:p>
    <w:p>
      <w:pPr>
        <w:ind w:left="4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180">
        <w:r>
          <w:rPr>
            <w:rFonts w:ascii="Arial" w:cs="Arial" w:eastAsia="Arial" w:hAnsi="Arial"/>
            <w:sz w:val="16"/>
            <w:szCs w:val="16"/>
            <w:u w:val="single" w:color="auto"/>
            <w:color w:val="0000EE"/>
          </w:rPr>
          <w:t>Certificate of Limited Partnership of Capital Product Partners L.P. (1)</w:t>
        </w:r>
      </w:hyperlink>
    </w:p>
    <w:p>
      <w:pPr>
        <w:spacing w:after="0" w:line="117" w:lineRule="exact"/>
        <w:rPr>
          <w:sz w:val="20"/>
          <w:szCs w:val="20"/>
          <w:color w:val="auto"/>
        </w:rPr>
      </w:pPr>
    </w:p>
    <w:p>
      <w:pPr>
        <w:ind w:left="4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1.2</w:t>
      </w:r>
      <w:r>
        <w:rPr>
          <w:sz w:val="20"/>
          <w:szCs w:val="20"/>
          <w:color w:val="auto"/>
        </w:rPr>
        <w:tab/>
      </w:r>
      <w:hyperlink r:id="rId181">
        <w:r>
          <w:rPr>
            <w:rFonts w:ascii="Arial" w:cs="Arial" w:eastAsia="Arial" w:hAnsi="Arial"/>
            <w:sz w:val="16"/>
            <w:szCs w:val="16"/>
            <w:u w:val="single" w:color="auto"/>
            <w:color w:val="0000EE"/>
          </w:rPr>
          <w:t>Second Amended and Restated Agreement of Limited Partnership of Capital Product Partners L.P., dated February 22, 2010 (7)</w:t>
        </w:r>
      </w:hyperlink>
    </w:p>
    <w:p>
      <w:pPr>
        <w:spacing w:after="0" w:line="117" w:lineRule="exact"/>
        <w:rPr>
          <w:sz w:val="20"/>
          <w:szCs w:val="20"/>
          <w:color w:val="auto"/>
        </w:rPr>
      </w:pPr>
    </w:p>
    <w:p>
      <w:pPr>
        <w:ind w:left="4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1.3</w:t>
      </w:r>
      <w:r>
        <w:rPr>
          <w:sz w:val="20"/>
          <w:szCs w:val="20"/>
          <w:color w:val="auto"/>
        </w:rPr>
        <w:tab/>
      </w:r>
      <w:hyperlink r:id="rId182">
        <w:r>
          <w:rPr>
            <w:rFonts w:ascii="Arial" w:cs="Arial" w:eastAsia="Arial" w:hAnsi="Arial"/>
            <w:sz w:val="16"/>
            <w:szCs w:val="16"/>
            <w:u w:val="single" w:color="auto"/>
            <w:color w:val="0000EE"/>
          </w:rPr>
          <w:t>Amendment to Second Amended and Restated Agreement of Limited Partnership of Capital Product Partners L.P., dated September 30, 2011</w:t>
        </w:r>
      </w:hyperlink>
    </w:p>
    <w:p>
      <w:pPr>
        <w:spacing w:after="0" w:line="23" w:lineRule="exact"/>
        <w:rPr>
          <w:sz w:val="20"/>
          <w:szCs w:val="20"/>
          <w:color w:val="auto"/>
        </w:rPr>
      </w:pPr>
    </w:p>
    <w:p>
      <w:pPr>
        <w:ind w:left="1160"/>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(8)</w:t>
        </w:r>
      </w:hyperlink>
    </w:p>
    <w:p>
      <w:pPr>
        <w:spacing w:after="0" w:line="103" w:lineRule="exact"/>
        <w:rPr>
          <w:sz w:val="20"/>
          <w:szCs w:val="20"/>
          <w:color w:val="auto"/>
        </w:rPr>
      </w:pPr>
    </w:p>
    <w:p>
      <w:pPr>
        <w:ind w:left="4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1.4</w:t>
      </w:r>
      <w:r>
        <w:rPr>
          <w:sz w:val="20"/>
          <w:szCs w:val="20"/>
          <w:color w:val="auto"/>
        </w:rPr>
        <w:tab/>
      </w:r>
      <w:hyperlink r:id="rId183">
        <w:r>
          <w:rPr>
            <w:rFonts w:ascii="Arial" w:cs="Arial" w:eastAsia="Arial" w:hAnsi="Arial"/>
            <w:sz w:val="16"/>
            <w:szCs w:val="16"/>
            <w:u w:val="single" w:color="auto"/>
            <w:color w:val="0000EE"/>
          </w:rPr>
          <w:t>Second Amendment to Second Amended and Restated Agreement of Limited Partnership of Capital Product Partners L.P., dated May 22,</w:t>
        </w:r>
      </w:hyperlink>
    </w:p>
    <w:p>
      <w:pPr>
        <w:spacing w:after="0" w:line="23" w:lineRule="exact"/>
        <w:rPr>
          <w:sz w:val="20"/>
          <w:szCs w:val="20"/>
          <w:color w:val="auto"/>
        </w:rPr>
      </w:pPr>
    </w:p>
    <w:p>
      <w:pPr>
        <w:ind w:left="1160"/>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2012 (14)</w:t>
        </w:r>
      </w:hyperlink>
    </w:p>
    <w:p>
      <w:pPr>
        <w:spacing w:after="0" w:line="103" w:lineRule="exact"/>
        <w:rPr>
          <w:sz w:val="20"/>
          <w:szCs w:val="20"/>
          <w:color w:val="auto"/>
        </w:rPr>
      </w:pPr>
    </w:p>
    <w:p>
      <w:pPr>
        <w:ind w:left="4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1.5</w:t>
      </w:r>
      <w:r>
        <w:rPr>
          <w:sz w:val="20"/>
          <w:szCs w:val="20"/>
          <w:color w:val="auto"/>
        </w:rPr>
        <w:tab/>
      </w:r>
      <w:hyperlink r:id="rId184">
        <w:r>
          <w:rPr>
            <w:rFonts w:ascii="Arial" w:cs="Arial" w:eastAsia="Arial" w:hAnsi="Arial"/>
            <w:sz w:val="16"/>
            <w:szCs w:val="16"/>
            <w:u w:val="single" w:color="auto"/>
            <w:color w:val="0000EE"/>
          </w:rPr>
          <w:t>Third Amendment to Second Amended and Restated Agreement of Limited Partnership of Capital Product Partners L.P., dated March 19,</w:t>
        </w:r>
      </w:hyperlink>
    </w:p>
    <w:p>
      <w:pPr>
        <w:spacing w:after="0" w:line="23" w:lineRule="exact"/>
        <w:rPr>
          <w:sz w:val="20"/>
          <w:szCs w:val="20"/>
          <w:color w:val="auto"/>
        </w:rPr>
      </w:pPr>
    </w:p>
    <w:p>
      <w:pPr>
        <w:ind w:left="116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2013 (15)</w:t>
        </w:r>
      </w:hyperlink>
    </w:p>
    <w:p>
      <w:pPr>
        <w:spacing w:after="0" w:line="103" w:lineRule="exact"/>
        <w:rPr>
          <w:sz w:val="20"/>
          <w:szCs w:val="20"/>
          <w:color w:val="auto"/>
        </w:rPr>
      </w:pPr>
    </w:p>
    <w:p>
      <w:pPr>
        <w:ind w:left="4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1.6</w:t>
      </w:r>
      <w:r>
        <w:rPr>
          <w:sz w:val="20"/>
          <w:szCs w:val="20"/>
          <w:color w:val="auto"/>
        </w:rPr>
        <w:tab/>
      </w:r>
      <w:hyperlink r:id="rId185">
        <w:r>
          <w:rPr>
            <w:rFonts w:ascii="Arial" w:cs="Arial" w:eastAsia="Arial" w:hAnsi="Arial"/>
            <w:sz w:val="16"/>
            <w:szCs w:val="16"/>
            <w:u w:val="single" w:color="auto"/>
            <w:color w:val="0000EE"/>
          </w:rPr>
          <w:t>Fourth Amendment to Second Amended and Restated Agreement of Limited Partnership of Capital Product Partners L.P., dated August 25,</w:t>
        </w:r>
      </w:hyperlink>
    </w:p>
    <w:p>
      <w:pPr>
        <w:spacing w:after="0" w:line="23" w:lineRule="exact"/>
        <w:rPr>
          <w:sz w:val="20"/>
          <w:szCs w:val="20"/>
          <w:color w:val="auto"/>
        </w:rPr>
      </w:pPr>
    </w:p>
    <w:p>
      <w:pPr>
        <w:ind w:left="1160"/>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2014 (17)</w:t>
        </w:r>
      </w:hyperlink>
    </w:p>
    <w:p>
      <w:pPr>
        <w:spacing w:after="0" w:line="103" w:lineRule="exact"/>
        <w:rPr>
          <w:sz w:val="20"/>
          <w:szCs w:val="20"/>
          <w:color w:val="auto"/>
        </w:rPr>
      </w:pPr>
    </w:p>
    <w:p>
      <w:pPr>
        <w:ind w:left="4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1.7</w:t>
      </w:r>
      <w:r>
        <w:rPr>
          <w:sz w:val="20"/>
          <w:szCs w:val="20"/>
          <w:color w:val="auto"/>
        </w:rPr>
        <w:tab/>
      </w:r>
      <w:hyperlink r:id="rId186">
        <w:r>
          <w:rPr>
            <w:rFonts w:ascii="Arial" w:cs="Arial" w:eastAsia="Arial" w:hAnsi="Arial"/>
            <w:sz w:val="16"/>
            <w:szCs w:val="16"/>
            <w:u w:val="single" w:color="auto"/>
            <w:color w:val="0000EE"/>
          </w:rPr>
          <w:t>Certificate of Formation of Capital GP L.L.C. (1)</w:t>
        </w:r>
      </w:hyperlink>
    </w:p>
    <w:p>
      <w:pPr>
        <w:spacing w:after="0" w:line="117" w:lineRule="exact"/>
        <w:rPr>
          <w:sz w:val="20"/>
          <w:szCs w:val="20"/>
          <w:color w:val="auto"/>
        </w:rPr>
      </w:pPr>
    </w:p>
    <w:p>
      <w:pPr>
        <w:jc w:val="right"/>
        <w:ind w:right="5580"/>
        <w:spacing w:after="0"/>
        <w:tabs>
          <w:tab w:leader="none" w:pos="10200" w:val="left"/>
        </w:tabs>
        <w:rPr>
          <w:rFonts w:ascii="Arial" w:cs="Arial" w:eastAsia="Arial" w:hAnsi="Arial"/>
          <w:sz w:val="17"/>
          <w:szCs w:val="17"/>
          <w:u w:val="single" w:color="auto"/>
          <w:color w:val="0000EE"/>
        </w:rPr>
      </w:pPr>
      <w:r>
        <w:rPr>
          <w:rFonts w:ascii="Arial" w:cs="Arial" w:eastAsia="Arial" w:hAnsi="Arial"/>
          <w:sz w:val="18"/>
          <w:szCs w:val="18"/>
          <w:color w:val="auto"/>
        </w:rPr>
        <w:t>1.8</w:t>
      </w:r>
      <w:r>
        <w:rPr>
          <w:sz w:val="20"/>
          <w:szCs w:val="20"/>
          <w:color w:val="auto"/>
        </w:rPr>
        <w:tab/>
      </w:r>
      <w:hyperlink r:id="rId187">
        <w:r>
          <w:rPr>
            <w:rFonts w:ascii="Arial" w:cs="Arial" w:eastAsia="Arial" w:hAnsi="Arial"/>
            <w:sz w:val="17"/>
            <w:szCs w:val="17"/>
            <w:u w:val="single" w:color="auto"/>
            <w:color w:val="0000EE"/>
          </w:rPr>
          <w:t>Limited Liability Company Agreement of Capital GP L.L.C. (1)</w:t>
        </w:r>
      </w:hyperlink>
    </w:p>
    <w:p>
      <w:pPr>
        <w:spacing w:after="0" w:line="158"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1.9</w:t>
            </w:r>
          </w:p>
        </w:tc>
        <w:tc>
          <w:tcPr>
            <w:tcW w:w="10160" w:type="dxa"/>
            <w:vAlign w:val="bottom"/>
            <w:gridSpan w:val="27"/>
          </w:tcPr>
          <w:p>
            <w:pPr>
              <w:spacing w:after="0"/>
              <w:rPr>
                <w:rFonts w:ascii="Arial" w:cs="Arial" w:eastAsia="Arial" w:hAnsi="Arial"/>
                <w:sz w:val="18"/>
                <w:szCs w:val="18"/>
                <w:color w:val="0000EE"/>
              </w:rPr>
            </w:pPr>
            <w:hyperlink r:id="rId189">
              <w:r>
                <w:rPr>
                  <w:rFonts w:ascii="Arial" w:cs="Arial" w:eastAsia="Arial" w:hAnsi="Arial"/>
                  <w:sz w:val="18"/>
                  <w:szCs w:val="18"/>
                  <w:color w:val="0000EE"/>
                </w:rPr>
                <w:t>Certificate of Formation of Capital Product Operating GP L.L.C. (1)</w:t>
              </w:r>
            </w:hyperlink>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4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r:id="rId190">
              <w:r>
                <w:rPr>
                  <w:rFonts w:ascii="Arial" w:cs="Arial" w:eastAsia="Arial" w:hAnsi="Arial"/>
                  <w:sz w:val="18"/>
                  <w:szCs w:val="18"/>
                  <w:color w:val="0000EE"/>
                  <w:w w:val="93"/>
                </w:rPr>
                <w:t xml:space="preserve">Revolving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370.0 Million Credit Facility, dated March 22, 2007 (1)</w:t>
              </w:r>
            </w:hyperlink>
          </w:p>
        </w:tc>
        <w:tc>
          <w:tcPr>
            <w:tcW w:w="40" w:type="dxa"/>
            <w:vAlign w:val="bottom"/>
            <w:tcBorders>
              <w:top w:val="single" w:sz="8" w:color="0000EE"/>
            </w:tcBorders>
          </w:tcPr>
          <w:p>
            <w:pPr>
              <w:spacing w:after="0"/>
              <w:rPr>
                <w:sz w:val="24"/>
                <w:szCs w:val="24"/>
                <w:color w:val="auto"/>
              </w:rPr>
            </w:pPr>
          </w:p>
        </w:tc>
        <w:tc>
          <w:tcPr>
            <w:tcW w:w="5240" w:type="dxa"/>
            <w:vAlign w:val="bottom"/>
            <w:gridSpan w:val="23"/>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w:t>
            </w:r>
          </w:p>
        </w:tc>
        <w:tc>
          <w:tcPr>
            <w:tcW w:w="7620" w:type="dxa"/>
            <w:vAlign w:val="bottom"/>
            <w:tcBorders>
              <w:bottom w:val="single" w:sz="8" w:color="0000EE"/>
            </w:tcBorders>
            <w:gridSpan w:val="17"/>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 xml:space="preserve">First Supplemental Agreement to Revolving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370.0 Million Credit Facility, dated September 19, 2007 (2)</w:t>
              </w:r>
            </w:hyperlink>
          </w:p>
        </w:tc>
        <w:tc>
          <w:tcPr>
            <w:tcW w:w="2540" w:type="dxa"/>
            <w:vAlign w:val="bottom"/>
            <w:gridSpan w:val="10"/>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4.3</w:t>
            </w:r>
          </w:p>
        </w:tc>
        <w:tc>
          <w:tcPr>
            <w:tcW w:w="7380" w:type="dxa"/>
            <w:vAlign w:val="bottom"/>
            <w:tcBorders>
              <w:bottom w:val="single" w:sz="8" w:color="0000EE"/>
            </w:tcBorders>
            <w:gridSpan w:val="14"/>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 xml:space="preserve">Second Supplemental Agreement to Revolving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370.0 Million Credit Facility, dated June 11, 2008 (3)</w:t>
              </w:r>
            </w:hyperlink>
          </w:p>
        </w:tc>
        <w:tc>
          <w:tcPr>
            <w:tcW w:w="2780" w:type="dxa"/>
            <w:vAlign w:val="bottom"/>
            <w:gridSpan w:val="13"/>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4.4</w:t>
            </w:r>
          </w:p>
        </w:tc>
        <w:tc>
          <w:tcPr>
            <w:tcW w:w="10160" w:type="dxa"/>
            <w:vAlign w:val="bottom"/>
            <w:gridSpan w:val="27"/>
          </w:tcPr>
          <w:p>
            <w:pPr>
              <w:spacing w:after="0"/>
              <w:rPr>
                <w:rFonts w:ascii="Arial" w:cs="Arial" w:eastAsia="Arial" w:hAnsi="Arial"/>
                <w:sz w:val="18"/>
                <w:szCs w:val="18"/>
                <w:color w:val="0000EE"/>
              </w:rPr>
            </w:pPr>
            <w:hyperlink r:id="rId193">
              <w:r>
                <w:rPr>
                  <w:rFonts w:ascii="Arial" w:cs="Arial" w:eastAsia="Arial" w:hAnsi="Arial"/>
                  <w:sz w:val="18"/>
                  <w:szCs w:val="18"/>
                  <w:color w:val="0000EE"/>
                </w:rPr>
                <w:t xml:space="preserve">Third Supplemental Agreement to Revolving </w:t>
              </w:r>
              <w:r>
                <w:rPr>
                  <w:rFonts w:ascii="Arial" w:cs="Arial" w:eastAsia="Arial" w:hAnsi="Arial"/>
                  <w:sz w:val="18"/>
                  <w:szCs w:val="18"/>
                  <w:u w:val="single" w:color="auto"/>
                  <w:color w:val="0000EE"/>
                </w:rPr>
                <w:t>$</w:t>
              </w:r>
              <w:r>
                <w:rPr>
                  <w:rFonts w:ascii="Arial" w:cs="Arial" w:eastAsia="Arial" w:hAnsi="Arial"/>
                  <w:sz w:val="18"/>
                  <w:szCs w:val="18"/>
                  <w:color w:val="0000EE"/>
                </w:rPr>
                <w:t>370.0 Million Credit Facility, dated April 7, 2009 (6)</w:t>
              </w:r>
            </w:hyperlink>
          </w:p>
        </w:tc>
      </w:tr>
      <w:tr>
        <w:trPr>
          <w:trHeight w:val="20"/>
        </w:trPr>
        <w:tc>
          <w:tcPr>
            <w:tcW w:w="98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4.5</w:t>
            </w:r>
          </w:p>
        </w:tc>
        <w:tc>
          <w:tcPr>
            <w:tcW w:w="10160" w:type="dxa"/>
            <w:vAlign w:val="bottom"/>
            <w:gridSpan w:val="27"/>
          </w:tcPr>
          <w:p>
            <w:pPr>
              <w:spacing w:after="0"/>
              <w:rPr>
                <w:rFonts w:ascii="Arial" w:cs="Arial" w:eastAsia="Arial" w:hAnsi="Arial"/>
                <w:sz w:val="18"/>
                <w:szCs w:val="18"/>
                <w:color w:val="0000EE"/>
              </w:rPr>
            </w:pPr>
            <w:hyperlink r:id="rId194">
              <w:r>
                <w:rPr>
                  <w:rFonts w:ascii="Arial" w:cs="Arial" w:eastAsia="Arial" w:hAnsi="Arial"/>
                  <w:sz w:val="18"/>
                  <w:szCs w:val="18"/>
                  <w:color w:val="0000EE"/>
                </w:rPr>
                <w:t xml:space="preserve">Fourth Supplemental Agreement to Revolving </w:t>
              </w:r>
              <w:r>
                <w:rPr>
                  <w:rFonts w:ascii="Arial" w:cs="Arial" w:eastAsia="Arial" w:hAnsi="Arial"/>
                  <w:sz w:val="18"/>
                  <w:szCs w:val="18"/>
                  <w:u w:val="single" w:color="auto"/>
                  <w:color w:val="0000EE"/>
                </w:rPr>
                <w:t>$</w:t>
              </w:r>
              <w:r>
                <w:rPr>
                  <w:rFonts w:ascii="Arial" w:cs="Arial" w:eastAsia="Arial" w:hAnsi="Arial"/>
                  <w:sz w:val="18"/>
                  <w:szCs w:val="18"/>
                  <w:color w:val="0000EE"/>
                </w:rPr>
                <w:t>370.0 Million Credit Facility, dated April 8, 2009 (6)</w:t>
              </w:r>
            </w:hyperlink>
          </w:p>
        </w:tc>
      </w:tr>
      <w:tr>
        <w:trPr>
          <w:trHeight w:val="20"/>
        </w:trPr>
        <w:tc>
          <w:tcPr>
            <w:tcW w:w="98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4.6</w:t>
            </w:r>
          </w:p>
        </w:tc>
        <w:tc>
          <w:tcPr>
            <w:tcW w:w="7380" w:type="dxa"/>
            <w:vAlign w:val="bottom"/>
            <w:tcBorders>
              <w:bottom w:val="single" w:sz="8" w:color="0000EE"/>
            </w:tcBorders>
            <w:gridSpan w:val="14"/>
          </w:tcPr>
          <w:p>
            <w:pPr>
              <w:spacing w:after="0"/>
              <w:rPr>
                <w:rFonts w:ascii="Arial" w:cs="Arial" w:eastAsia="Arial" w:hAnsi="Arial"/>
                <w:sz w:val="18"/>
                <w:szCs w:val="18"/>
                <w:color w:val="0000EE"/>
                <w:w w:val="92"/>
              </w:rPr>
            </w:pPr>
            <w:hyperlink r:id="rId195">
              <w:r>
                <w:rPr>
                  <w:rFonts w:ascii="Arial" w:cs="Arial" w:eastAsia="Arial" w:hAnsi="Arial"/>
                  <w:sz w:val="18"/>
                  <w:szCs w:val="18"/>
                  <w:color w:val="0000EE"/>
                  <w:w w:val="92"/>
                </w:rPr>
                <w:t xml:space="preserve">Fifth Supplemental Agreement to Revolving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370.0 Million Credit Facility, dated October 2, 2009 (6)</w:t>
              </w:r>
            </w:hyperlink>
          </w:p>
        </w:tc>
        <w:tc>
          <w:tcPr>
            <w:tcW w:w="2780" w:type="dxa"/>
            <w:vAlign w:val="bottom"/>
            <w:gridSpan w:val="13"/>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4.7</w:t>
            </w:r>
          </w:p>
        </w:tc>
        <w:tc>
          <w:tcPr>
            <w:tcW w:w="10160" w:type="dxa"/>
            <w:vAlign w:val="bottom"/>
            <w:gridSpan w:val="27"/>
          </w:tcPr>
          <w:p>
            <w:pPr>
              <w:spacing w:after="0"/>
              <w:rPr>
                <w:rFonts w:ascii="Arial" w:cs="Arial" w:eastAsia="Arial" w:hAnsi="Arial"/>
                <w:sz w:val="18"/>
                <w:szCs w:val="18"/>
                <w:color w:val="0000EE"/>
              </w:rPr>
            </w:pPr>
            <w:hyperlink r:id="rId196">
              <w:r>
                <w:rPr>
                  <w:rFonts w:ascii="Arial" w:cs="Arial" w:eastAsia="Arial" w:hAnsi="Arial"/>
                  <w:sz w:val="18"/>
                  <w:szCs w:val="18"/>
                  <w:color w:val="0000EE"/>
                </w:rPr>
                <w:t xml:space="preserve">Sixth Supplemental Agreement to Revolving </w:t>
              </w:r>
              <w:r>
                <w:rPr>
                  <w:rFonts w:ascii="Arial" w:cs="Arial" w:eastAsia="Arial" w:hAnsi="Arial"/>
                  <w:sz w:val="18"/>
                  <w:szCs w:val="18"/>
                  <w:u w:val="single" w:color="auto"/>
                  <w:color w:val="0000EE"/>
                </w:rPr>
                <w:t>$</w:t>
              </w:r>
              <w:r>
                <w:rPr>
                  <w:rFonts w:ascii="Arial" w:cs="Arial" w:eastAsia="Arial" w:hAnsi="Arial"/>
                  <w:sz w:val="18"/>
                  <w:szCs w:val="18"/>
                  <w:color w:val="0000EE"/>
                </w:rPr>
                <w:t>370.0 Million Credit Facility, dated June 30, 2010 (9)</w:t>
              </w:r>
            </w:hyperlink>
          </w:p>
        </w:tc>
      </w:tr>
      <w:tr>
        <w:trPr>
          <w:trHeight w:val="20"/>
        </w:trPr>
        <w:tc>
          <w:tcPr>
            <w:tcW w:w="98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4.8</w:t>
            </w:r>
          </w:p>
        </w:tc>
        <w:tc>
          <w:tcPr>
            <w:tcW w:w="7860" w:type="dxa"/>
            <w:vAlign w:val="bottom"/>
            <w:tcBorders>
              <w:bottom w:val="single" w:sz="8" w:color="0000EE"/>
            </w:tcBorders>
            <w:gridSpan w:val="21"/>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 xml:space="preserve">Seventh Supplemental Agreement to Revolving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370.0 Million Credit Facility, dated November 30, 2010 (9)</w:t>
              </w:r>
            </w:hyperlink>
          </w:p>
        </w:tc>
        <w:tc>
          <w:tcPr>
            <w:tcW w:w="2300" w:type="dxa"/>
            <w:vAlign w:val="bottom"/>
            <w:gridSpan w:val="6"/>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4.9</w:t>
            </w:r>
          </w:p>
        </w:tc>
        <w:tc>
          <w:tcPr>
            <w:tcW w:w="7820" w:type="dxa"/>
            <w:vAlign w:val="bottom"/>
            <w:tcBorders>
              <w:bottom w:val="single" w:sz="8" w:color="0000EE"/>
            </w:tcBorders>
            <w:gridSpan w:val="20"/>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 xml:space="preserve">Eighth Supplemental Agreement to Revolving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370.0 Million Credit Facility, dated December 23, 2011 (13)</w:t>
              </w:r>
            </w:hyperlink>
          </w:p>
        </w:tc>
        <w:tc>
          <w:tcPr>
            <w:tcW w:w="2340" w:type="dxa"/>
            <w:vAlign w:val="bottom"/>
            <w:gridSpan w:val="7"/>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4.10</w:t>
            </w:r>
          </w:p>
        </w:tc>
        <w:tc>
          <w:tcPr>
            <w:tcW w:w="7360" w:type="dxa"/>
            <w:vAlign w:val="bottom"/>
            <w:tcBorders>
              <w:bottom w:val="single" w:sz="8" w:color="0000EE"/>
            </w:tcBorders>
            <w:gridSpan w:val="13"/>
          </w:tcPr>
          <w:p>
            <w:pPr>
              <w:spacing w:after="0"/>
              <w:rPr>
                <w:rFonts w:ascii="Arial" w:cs="Arial" w:eastAsia="Arial" w:hAnsi="Arial"/>
                <w:sz w:val="18"/>
                <w:szCs w:val="18"/>
                <w:color w:val="0000EE"/>
                <w:w w:val="92"/>
              </w:rPr>
            </w:pPr>
            <w:hyperlink r:id="rId199">
              <w:r>
                <w:rPr>
                  <w:rFonts w:ascii="Arial" w:cs="Arial" w:eastAsia="Arial" w:hAnsi="Arial"/>
                  <w:sz w:val="18"/>
                  <w:szCs w:val="18"/>
                  <w:color w:val="0000EE"/>
                  <w:w w:val="92"/>
                </w:rPr>
                <w:t xml:space="preserve">Ninth Supplemental Agreement to Revolving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370.0 Million Credit Facility, dated May 21, 2012 (14)</w:t>
              </w:r>
            </w:hyperlink>
          </w:p>
        </w:tc>
        <w:tc>
          <w:tcPr>
            <w:tcW w:w="2800" w:type="dxa"/>
            <w:vAlign w:val="bottom"/>
            <w:gridSpan w:val="14"/>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4.11</w:t>
            </w:r>
          </w:p>
        </w:tc>
        <w:tc>
          <w:tcPr>
            <w:tcW w:w="10160" w:type="dxa"/>
            <w:vAlign w:val="bottom"/>
            <w:gridSpan w:val="27"/>
          </w:tcPr>
          <w:p>
            <w:pPr>
              <w:spacing w:after="0"/>
              <w:rPr>
                <w:rFonts w:ascii="Arial" w:cs="Arial" w:eastAsia="Arial" w:hAnsi="Arial"/>
                <w:sz w:val="18"/>
                <w:szCs w:val="18"/>
                <w:color w:val="0000EE"/>
              </w:rPr>
            </w:pPr>
            <w:hyperlink r:id="rId200">
              <w:r>
                <w:rPr>
                  <w:rFonts w:ascii="Arial" w:cs="Arial" w:eastAsia="Arial" w:hAnsi="Arial"/>
                  <w:sz w:val="18"/>
                  <w:szCs w:val="18"/>
                  <w:color w:val="0000EE"/>
                </w:rPr>
                <w:t xml:space="preserve">Tenth Supplemental Agreement to Revolving </w:t>
              </w:r>
              <w:r>
                <w:rPr>
                  <w:rFonts w:ascii="Arial" w:cs="Arial" w:eastAsia="Arial" w:hAnsi="Arial"/>
                  <w:sz w:val="18"/>
                  <w:szCs w:val="18"/>
                  <w:u w:val="single" w:color="auto"/>
                  <w:color w:val="0000EE"/>
                </w:rPr>
                <w:t>$</w:t>
              </w:r>
              <w:r>
                <w:rPr>
                  <w:rFonts w:ascii="Arial" w:cs="Arial" w:eastAsia="Arial" w:hAnsi="Arial"/>
                  <w:sz w:val="18"/>
                  <w:szCs w:val="18"/>
                  <w:color w:val="0000EE"/>
                </w:rPr>
                <w:t>370.0 Million Credit Facility, dated November 4, 2013 (21)</w:t>
              </w:r>
            </w:hyperlink>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4.12</w:t>
            </w:r>
          </w:p>
        </w:tc>
        <w:tc>
          <w:tcPr>
            <w:tcW w:w="7680" w:type="dxa"/>
            <w:vAlign w:val="bottom"/>
            <w:tcBorders>
              <w:top w:val="single" w:sz="8" w:color="0000EE"/>
            </w:tcBorders>
            <w:gridSpan w:val="18"/>
          </w:tcPr>
          <w:p>
            <w:pPr>
              <w:spacing w:after="0"/>
              <w:rPr>
                <w:rFonts w:ascii="Arial" w:cs="Arial" w:eastAsia="Arial" w:hAnsi="Arial"/>
                <w:sz w:val="18"/>
                <w:szCs w:val="18"/>
                <w:color w:val="0000EE"/>
                <w:w w:val="93"/>
              </w:rPr>
            </w:pPr>
            <w:hyperlink r:id="rId201">
              <w:r>
                <w:rPr>
                  <w:rFonts w:ascii="Arial" w:cs="Arial" w:eastAsia="Arial" w:hAnsi="Arial"/>
                  <w:sz w:val="18"/>
                  <w:szCs w:val="18"/>
                  <w:color w:val="0000EE"/>
                  <w:w w:val="93"/>
                </w:rPr>
                <w:t xml:space="preserve">Eleventh Supplemental Agreement to Revolving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370.0 Million Credit Facility, dated April 30, 2015 (21)</w:t>
              </w:r>
            </w:hyperlink>
          </w:p>
        </w:tc>
        <w:tc>
          <w:tcPr>
            <w:tcW w:w="2480" w:type="dxa"/>
            <w:vAlign w:val="bottom"/>
            <w:gridSpan w:val="9"/>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4.13</w:t>
            </w:r>
          </w:p>
        </w:tc>
        <w:tc>
          <w:tcPr>
            <w:tcW w:w="4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r:id="rId202">
              <w:r>
                <w:rPr>
                  <w:rFonts w:ascii="Arial" w:cs="Arial" w:eastAsia="Arial" w:hAnsi="Arial"/>
                  <w:sz w:val="18"/>
                  <w:szCs w:val="18"/>
                  <w:color w:val="0000EE"/>
                  <w:w w:val="93"/>
                </w:rPr>
                <w:t xml:space="preserve">Revolving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350.0 Million Credit Facility, dated March 19, 2008 (2)</w:t>
              </w:r>
            </w:hyperlink>
          </w:p>
        </w:tc>
        <w:tc>
          <w:tcPr>
            <w:tcW w:w="2740" w:type="dxa"/>
            <w:vAlign w:val="bottom"/>
            <w:tcBorders>
              <w:top w:val="single" w:sz="8" w:color="0000EE"/>
            </w:tcBorders>
            <w:gridSpan w:val="14"/>
          </w:tcPr>
          <w:p>
            <w:pPr>
              <w:spacing w:after="0"/>
              <w:rPr>
                <w:sz w:val="24"/>
                <w:szCs w:val="24"/>
                <w:color w:val="auto"/>
              </w:rPr>
            </w:pPr>
          </w:p>
        </w:tc>
        <w:tc>
          <w:tcPr>
            <w:tcW w:w="2540" w:type="dxa"/>
            <w:vAlign w:val="bottom"/>
            <w:gridSpan w:val="10"/>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4.14</w:t>
            </w:r>
          </w:p>
        </w:tc>
        <w:tc>
          <w:tcPr>
            <w:tcW w:w="7340" w:type="dxa"/>
            <w:vAlign w:val="bottom"/>
            <w:tcBorders>
              <w:bottom w:val="single" w:sz="8" w:color="0000EE"/>
            </w:tcBorders>
            <w:gridSpan w:val="12"/>
          </w:tcPr>
          <w:p>
            <w:pPr>
              <w:spacing w:after="0"/>
              <w:rPr>
                <w:rFonts w:ascii="Arial" w:cs="Arial" w:eastAsia="Arial" w:hAnsi="Arial"/>
                <w:sz w:val="18"/>
                <w:szCs w:val="18"/>
                <w:color w:val="0000EE"/>
                <w:w w:val="92"/>
              </w:rPr>
            </w:pPr>
            <w:hyperlink r:id="rId203">
              <w:r>
                <w:rPr>
                  <w:rFonts w:ascii="Arial" w:cs="Arial" w:eastAsia="Arial" w:hAnsi="Arial"/>
                  <w:sz w:val="18"/>
                  <w:szCs w:val="18"/>
                  <w:color w:val="0000EE"/>
                  <w:w w:val="92"/>
                </w:rPr>
                <w:t xml:space="preserve">First Supplemental Agreement to Revolving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350.0 Million Credit Facility, dated October 2, 2009 (6)</w:t>
              </w:r>
            </w:hyperlink>
          </w:p>
        </w:tc>
        <w:tc>
          <w:tcPr>
            <w:tcW w:w="2820" w:type="dxa"/>
            <w:vAlign w:val="bottom"/>
            <w:gridSpan w:val="15"/>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4.15</w:t>
            </w:r>
          </w:p>
        </w:tc>
        <w:tc>
          <w:tcPr>
            <w:tcW w:w="7380" w:type="dxa"/>
            <w:vAlign w:val="bottom"/>
            <w:tcBorders>
              <w:bottom w:val="single" w:sz="8" w:color="0000EE"/>
            </w:tcBorders>
            <w:gridSpan w:val="14"/>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 xml:space="preserve">Second Supplemental Agreement to Revolving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350.0 Million Credit Facility, dated June 30, 2010 (9)</w:t>
              </w:r>
            </w:hyperlink>
          </w:p>
        </w:tc>
        <w:tc>
          <w:tcPr>
            <w:tcW w:w="2780" w:type="dxa"/>
            <w:vAlign w:val="bottom"/>
            <w:gridSpan w:val="13"/>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4.16</w:t>
            </w:r>
          </w:p>
        </w:tc>
        <w:tc>
          <w:tcPr>
            <w:tcW w:w="7340" w:type="dxa"/>
            <w:vAlign w:val="bottom"/>
            <w:tcBorders>
              <w:bottom w:val="single" w:sz="8" w:color="0000EE"/>
            </w:tcBorders>
            <w:gridSpan w:val="12"/>
          </w:tcPr>
          <w:p>
            <w:pPr>
              <w:spacing w:after="0"/>
              <w:rPr>
                <w:rFonts w:ascii="Arial" w:cs="Arial" w:eastAsia="Arial" w:hAnsi="Arial"/>
                <w:sz w:val="18"/>
                <w:szCs w:val="18"/>
                <w:color w:val="0000EE"/>
                <w:w w:val="92"/>
              </w:rPr>
            </w:pPr>
            <w:hyperlink r:id="rId205">
              <w:r>
                <w:rPr>
                  <w:rFonts w:ascii="Arial" w:cs="Arial" w:eastAsia="Arial" w:hAnsi="Arial"/>
                  <w:sz w:val="18"/>
                  <w:szCs w:val="18"/>
                  <w:color w:val="0000EE"/>
                  <w:w w:val="92"/>
                </w:rPr>
                <w:t xml:space="preserve">Third Supplemental Agreement to Revolving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350.0 Million Credit Facility, dated May 21, 2012 (14)</w:t>
              </w:r>
            </w:hyperlink>
          </w:p>
        </w:tc>
        <w:tc>
          <w:tcPr>
            <w:tcW w:w="2820" w:type="dxa"/>
            <w:vAlign w:val="bottom"/>
            <w:gridSpan w:val="15"/>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4.17</w:t>
            </w:r>
          </w:p>
        </w:tc>
        <w:tc>
          <w:tcPr>
            <w:tcW w:w="10160" w:type="dxa"/>
            <w:vAlign w:val="bottom"/>
            <w:gridSpan w:val="27"/>
          </w:tcPr>
          <w:p>
            <w:pPr>
              <w:spacing w:after="0"/>
              <w:rPr>
                <w:rFonts w:ascii="Arial" w:cs="Arial" w:eastAsia="Arial" w:hAnsi="Arial"/>
                <w:sz w:val="18"/>
                <w:szCs w:val="18"/>
                <w:color w:val="0000EE"/>
              </w:rPr>
            </w:pPr>
            <w:hyperlink r:id="rId206">
              <w:r>
                <w:rPr>
                  <w:rFonts w:ascii="Arial" w:cs="Arial" w:eastAsia="Arial" w:hAnsi="Arial"/>
                  <w:sz w:val="18"/>
                  <w:szCs w:val="18"/>
                  <w:color w:val="0000EE"/>
                </w:rPr>
                <w:t xml:space="preserve">Fourth Supplemental Agreement to Revolving </w:t>
              </w:r>
              <w:r>
                <w:rPr>
                  <w:rFonts w:ascii="Arial" w:cs="Arial" w:eastAsia="Arial" w:hAnsi="Arial"/>
                  <w:sz w:val="18"/>
                  <w:szCs w:val="18"/>
                  <w:u w:val="single" w:color="auto"/>
                  <w:color w:val="0000EE"/>
                </w:rPr>
                <w:t>$</w:t>
              </w:r>
              <w:r>
                <w:rPr>
                  <w:rFonts w:ascii="Arial" w:cs="Arial" w:eastAsia="Arial" w:hAnsi="Arial"/>
                  <w:sz w:val="18"/>
                  <w:szCs w:val="18"/>
                  <w:color w:val="0000EE"/>
                </w:rPr>
                <w:t>350.0 Million Credit Facility, dated December 21, 2012 (16)</w:t>
              </w:r>
            </w:hyperlink>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4.18</w:t>
            </w:r>
          </w:p>
        </w:tc>
        <w:tc>
          <w:tcPr>
            <w:tcW w:w="7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r:id="rId207">
              <w:r>
                <w:rPr>
                  <w:rFonts w:ascii="Arial" w:cs="Arial" w:eastAsia="Arial" w:hAnsi="Arial"/>
                  <w:sz w:val="18"/>
                  <w:szCs w:val="18"/>
                  <w:color w:val="0000EE"/>
                  <w:w w:val="93"/>
                </w:rPr>
                <w:t xml:space="preserve">Fifth Supplemental Agreement to Revolving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350.0 Million Credit Facility, dated April 28, 2015 (21)</w:t>
              </w:r>
            </w:hyperlink>
          </w:p>
        </w:tc>
        <w:tc>
          <w:tcPr>
            <w:tcW w:w="480" w:type="dxa"/>
            <w:vAlign w:val="bottom"/>
            <w:tcBorders>
              <w:top w:val="single" w:sz="8" w:color="0000EE"/>
            </w:tcBorders>
            <w:gridSpan w:val="8"/>
          </w:tcPr>
          <w:p>
            <w:pPr>
              <w:spacing w:after="0"/>
              <w:rPr>
                <w:sz w:val="24"/>
                <w:szCs w:val="24"/>
                <w:color w:val="auto"/>
              </w:rPr>
            </w:pPr>
          </w:p>
        </w:tc>
        <w:tc>
          <w:tcPr>
            <w:tcW w:w="2340" w:type="dxa"/>
            <w:vAlign w:val="bottom"/>
            <w:gridSpan w:val="7"/>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4.19</w:t>
            </w:r>
          </w:p>
        </w:tc>
        <w:tc>
          <w:tcPr>
            <w:tcW w:w="5620" w:type="dxa"/>
            <w:vAlign w:val="bottom"/>
            <w:tcBorders>
              <w:bottom w:val="single" w:sz="8" w:color="0000EE"/>
            </w:tcBorders>
            <w:gridSpan w:val="8"/>
          </w:tcPr>
          <w:p>
            <w:pPr>
              <w:spacing w:after="0"/>
              <w:rPr>
                <w:rFonts w:ascii="Arial" w:cs="Arial" w:eastAsia="Arial" w:hAnsi="Arial"/>
                <w:sz w:val="18"/>
                <w:szCs w:val="18"/>
                <w:color w:val="0000EE"/>
                <w:w w:val="91"/>
              </w:rPr>
            </w:pPr>
            <w:hyperlink r:id="rId208">
              <w:r>
                <w:rPr>
                  <w:rFonts w:ascii="Arial" w:cs="Arial" w:eastAsia="Arial" w:hAnsi="Arial"/>
                  <w:sz w:val="18"/>
                  <w:szCs w:val="18"/>
                  <w:color w:val="0000EE"/>
                  <w:w w:val="91"/>
                </w:rPr>
                <w:t>Loan Agreement with Emporiki Bank of Greece S.A., dated June 9, 2011 (13)</w:t>
              </w:r>
            </w:hyperlink>
          </w:p>
        </w:tc>
        <w:tc>
          <w:tcPr>
            <w:tcW w:w="4540" w:type="dxa"/>
            <w:vAlign w:val="bottom"/>
            <w:gridSpan w:val="19"/>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4.20</w:t>
            </w:r>
          </w:p>
        </w:tc>
        <w:tc>
          <w:tcPr>
            <w:tcW w:w="10160" w:type="dxa"/>
            <w:vAlign w:val="bottom"/>
            <w:gridSpan w:val="27"/>
          </w:tcPr>
          <w:p>
            <w:pPr>
              <w:spacing w:after="0"/>
              <w:rPr>
                <w:rFonts w:ascii="Arial" w:cs="Arial" w:eastAsia="Arial" w:hAnsi="Arial"/>
                <w:sz w:val="18"/>
                <w:szCs w:val="18"/>
                <w:color w:val="0000EE"/>
              </w:rPr>
            </w:pPr>
            <w:hyperlink r:id="rId209">
              <w:r>
                <w:rPr>
                  <w:rFonts w:ascii="Arial" w:cs="Arial" w:eastAsia="Arial" w:hAnsi="Arial"/>
                  <w:sz w:val="18"/>
                  <w:szCs w:val="18"/>
                  <w:color w:val="0000EE"/>
                </w:rPr>
                <w:t>Supplemental Deed to Loan Agreement with Emporiki Bank of Greece S.A., dated April 28, 2015 (21)</w:t>
              </w:r>
            </w:hyperlink>
          </w:p>
        </w:tc>
      </w:tr>
      <w:tr>
        <w:trPr>
          <w:trHeight w:val="20"/>
        </w:trPr>
        <w:tc>
          <w:tcPr>
            <w:tcW w:w="98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4.21</w:t>
            </w:r>
          </w:p>
        </w:tc>
        <w:tc>
          <w:tcPr>
            <w:tcW w:w="10160" w:type="dxa"/>
            <w:vAlign w:val="bottom"/>
            <w:gridSpan w:val="27"/>
          </w:tcPr>
          <w:p>
            <w:pPr>
              <w:spacing w:after="0"/>
              <w:rPr>
                <w:rFonts w:ascii="Arial" w:cs="Arial" w:eastAsia="Arial" w:hAnsi="Arial"/>
                <w:sz w:val="18"/>
                <w:szCs w:val="18"/>
                <w:color w:val="0000EE"/>
                <w:w w:val="96"/>
              </w:rPr>
            </w:pPr>
            <w:hyperlink r:id="rId210">
              <w:r>
                <w:rPr>
                  <w:rFonts w:ascii="Arial" w:cs="Arial" w:eastAsia="Arial" w:hAnsi="Arial"/>
                  <w:sz w:val="18"/>
                  <w:szCs w:val="18"/>
                  <w:color w:val="0000EE"/>
                  <w:w w:val="96"/>
                </w:rPr>
                <w:t>Amended and Restated Loan Agreement with ING Bank N.V., HSH Nordbank AG, National Bank of Greece S.A. and Skandinaviska</w:t>
              </w:r>
            </w:hyperlink>
          </w:p>
        </w:tc>
      </w:tr>
      <w:tr>
        <w:trPr>
          <w:trHeight w:val="196"/>
        </w:trPr>
        <w:tc>
          <w:tcPr>
            <w:tcW w:w="980" w:type="dxa"/>
            <w:vAlign w:val="bottom"/>
          </w:tcPr>
          <w:p>
            <w:pPr>
              <w:spacing w:after="0"/>
              <w:rPr>
                <w:sz w:val="17"/>
                <w:szCs w:val="17"/>
                <w:color w:val="auto"/>
              </w:rPr>
            </w:pPr>
          </w:p>
        </w:tc>
        <w:tc>
          <w:tcPr>
            <w:tcW w:w="96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Enskilda Banken AB (publ), dated December 27, 2013 (18)</w:t>
              </w:r>
            </w:hyperlink>
          </w:p>
        </w:tc>
        <w:tc>
          <w:tcPr>
            <w:tcW w:w="540" w:type="dxa"/>
            <w:vAlign w:val="bottom"/>
            <w:gridSpan w:val="5"/>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4.22</w:t>
            </w:r>
          </w:p>
        </w:tc>
        <w:tc>
          <w:tcPr>
            <w:tcW w:w="10160" w:type="dxa"/>
            <w:vAlign w:val="bottom"/>
            <w:gridSpan w:val="27"/>
          </w:tcPr>
          <w:p>
            <w:pPr>
              <w:spacing w:after="0"/>
              <w:rPr>
                <w:rFonts w:ascii="Arial" w:cs="Arial" w:eastAsia="Arial" w:hAnsi="Arial"/>
                <w:sz w:val="18"/>
                <w:szCs w:val="18"/>
                <w:color w:val="0000EE"/>
                <w:w w:val="95"/>
              </w:rPr>
            </w:pPr>
            <w:hyperlink r:id="rId211">
              <w:r>
                <w:rPr>
                  <w:rFonts w:ascii="Arial" w:cs="Arial" w:eastAsia="Arial" w:hAnsi="Arial"/>
                  <w:sz w:val="18"/>
                  <w:szCs w:val="18"/>
                  <w:color w:val="0000EE"/>
                  <w:w w:val="95"/>
                </w:rPr>
                <w:t>Loan Agreement between Filonikis Product Carrier S.A. and others and ING Bank N.V., London Branch as Facility Agent and Security</w:t>
              </w:r>
            </w:hyperlink>
          </w:p>
        </w:tc>
      </w:tr>
      <w:tr>
        <w:trPr>
          <w:trHeight w:val="196"/>
        </w:trPr>
        <w:tc>
          <w:tcPr>
            <w:tcW w:w="98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Trustee, and ING Bank N.V., as Swap Bank, dated November 19, 2015 (23)</w:t>
              </w:r>
            </w:hyperlink>
          </w:p>
        </w:tc>
        <w:tc>
          <w:tcPr>
            <w:tcW w:w="4300" w:type="dxa"/>
            <w:vAlign w:val="bottom"/>
            <w:tcBorders>
              <w:top w:val="single" w:sz="8" w:color="0000EE"/>
            </w:tcBorders>
            <w:gridSpan w:val="17"/>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4.23</w:t>
            </w:r>
          </w:p>
        </w:tc>
        <w:tc>
          <w:tcPr>
            <w:tcW w:w="10160" w:type="dxa"/>
            <w:vAlign w:val="bottom"/>
            <w:gridSpan w:val="27"/>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Guarantee Relating to Loan Agreement, dated 19 November 2015, between Capital Product Partners L.P as Guarantor and ING Bank N.V.,</w:t>
              </w:r>
            </w:hyperlink>
          </w:p>
        </w:tc>
      </w:tr>
      <w:tr>
        <w:trPr>
          <w:trHeight w:val="196"/>
        </w:trPr>
        <w:tc>
          <w:tcPr>
            <w:tcW w:w="980" w:type="dxa"/>
            <w:vAlign w:val="bottom"/>
          </w:tcPr>
          <w:p>
            <w:pPr>
              <w:spacing w:after="0"/>
              <w:rPr>
                <w:sz w:val="17"/>
                <w:szCs w:val="17"/>
                <w:color w:val="auto"/>
              </w:rPr>
            </w:pPr>
          </w:p>
        </w:tc>
        <w:tc>
          <w:tcPr>
            <w:tcW w:w="100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London Branch as Security Trustee, dated November 19, 2015 (23)</w:t>
              </w:r>
            </w:hyperlink>
          </w:p>
        </w:tc>
        <w:tc>
          <w:tcPr>
            <w:tcW w:w="1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4.24</w:t>
            </w:r>
          </w:p>
        </w:tc>
        <w:tc>
          <w:tcPr>
            <w:tcW w:w="10160" w:type="dxa"/>
            <w:vAlign w:val="bottom"/>
            <w:gridSpan w:val="27"/>
          </w:tcPr>
          <w:p>
            <w:pPr>
              <w:spacing w:after="0"/>
              <w:rPr>
                <w:rFonts w:ascii="Arial" w:cs="Arial" w:eastAsia="Arial" w:hAnsi="Arial"/>
                <w:sz w:val="18"/>
                <w:szCs w:val="18"/>
                <w:color w:val="0000EE"/>
                <w:w w:val="92"/>
              </w:rPr>
            </w:pPr>
            <w:hyperlink r:id="rId213">
              <w:r>
                <w:rPr>
                  <w:rFonts w:ascii="Arial" w:cs="Arial" w:eastAsia="Arial" w:hAnsi="Arial"/>
                  <w:sz w:val="18"/>
                  <w:szCs w:val="18"/>
                  <w:color w:val="0000EE"/>
                  <w:w w:val="92"/>
                </w:rPr>
                <w:t>Loan Agreement with HSH Nordbank AG and ING Bank N.V., London Branch, as mandated lead arrangers and bookrunners relating to a</w:t>
              </w:r>
            </w:hyperlink>
          </w:p>
        </w:tc>
      </w:tr>
      <w:tr>
        <w:trPr>
          <w:trHeight w:val="196"/>
        </w:trPr>
        <w:tc>
          <w:tcPr>
            <w:tcW w:w="98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 xml:space="preserve">term loan facility of up to </w:t>
              </w:r>
              <w:r>
                <w:rPr>
                  <w:rFonts w:ascii="Arial" w:cs="Arial" w:eastAsia="Arial" w:hAnsi="Arial"/>
                  <w:sz w:val="18"/>
                  <w:szCs w:val="18"/>
                  <w:u w:val="single" w:color="auto"/>
                  <w:color w:val="0000EE"/>
                  <w:w w:val="90"/>
                </w:rPr>
                <w:t>US$</w:t>
              </w:r>
              <w:r>
                <w:rPr>
                  <w:rFonts w:ascii="Arial" w:cs="Arial" w:eastAsia="Arial" w:hAnsi="Arial"/>
                  <w:sz w:val="18"/>
                  <w:szCs w:val="18"/>
                  <w:color w:val="0000EE"/>
                  <w:w w:val="90"/>
                </w:rPr>
                <w:t>460,000,000, dated September 6, 2017 (24)</w:t>
              </w:r>
            </w:hyperlink>
          </w:p>
        </w:tc>
        <w:tc>
          <w:tcPr>
            <w:tcW w:w="4580" w:type="dxa"/>
            <w:vAlign w:val="bottom"/>
            <w:tcBorders>
              <w:top w:val="single" w:sz="8" w:color="0000EE"/>
            </w:tcBorders>
            <w:gridSpan w:val="20"/>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4.25</w:t>
            </w:r>
          </w:p>
        </w:tc>
        <w:tc>
          <w:tcPr>
            <w:tcW w:w="10160" w:type="dxa"/>
            <w:vAlign w:val="bottom"/>
            <w:gridSpan w:val="27"/>
          </w:tcPr>
          <w:p>
            <w:pPr>
              <w:spacing w:after="0"/>
              <w:rPr>
                <w:sz w:val="20"/>
                <w:szCs w:val="20"/>
                <w:color w:val="auto"/>
              </w:rPr>
            </w:pPr>
            <w:r>
              <w:rPr>
                <w:rFonts w:ascii="Arial" w:cs="Arial" w:eastAsia="Arial" w:hAnsi="Arial"/>
                <w:sz w:val="18"/>
                <w:szCs w:val="18"/>
                <w:color w:val="0000EE"/>
                <w:w w:val="95"/>
              </w:rPr>
              <w:t>Loan Agreement, dated January 2, 2017 with ING Bank N.V. and Crédit Agricole Corporate and Investment Bank as bookrunners and</w:t>
            </w:r>
          </w:p>
        </w:tc>
      </w:tr>
      <w:tr>
        <w:trPr>
          <w:trHeight w:val="196"/>
        </w:trPr>
        <w:tc>
          <w:tcPr>
            <w:tcW w:w="98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 xml:space="preserve">mandated lead arrangers related to a secured term loan facility of up to </w:t>
            </w:r>
            <w:r>
              <w:rPr>
                <w:rFonts w:ascii="Arial" w:cs="Arial" w:eastAsia="Arial" w:hAnsi="Arial"/>
                <w:sz w:val="18"/>
                <w:szCs w:val="18"/>
                <w:u w:val="single" w:color="auto"/>
                <w:color w:val="0000EE"/>
                <w:w w:val="89"/>
              </w:rPr>
              <w:t>US$</w:t>
            </w:r>
            <w:r>
              <w:rPr>
                <w:rFonts w:ascii="Arial" w:cs="Arial" w:eastAsia="Arial" w:hAnsi="Arial"/>
                <w:sz w:val="18"/>
                <w:szCs w:val="18"/>
                <w:color w:val="0000EE"/>
                <w:w w:val="89"/>
              </w:rPr>
              <w:t>70,200,000</w:t>
            </w:r>
          </w:p>
        </w:tc>
        <w:tc>
          <w:tcPr>
            <w:tcW w:w="3400" w:type="dxa"/>
            <w:vAlign w:val="bottom"/>
            <w:tcBorders>
              <w:top w:val="single" w:sz="8" w:color="0000EE"/>
            </w:tcBorders>
            <w:gridSpan w:val="14"/>
          </w:tcPr>
          <w:p>
            <w:pPr>
              <w:spacing w:after="0"/>
              <w:rPr>
                <w:sz w:val="17"/>
                <w:szCs w:val="17"/>
                <w:color w:val="auto"/>
              </w:rPr>
            </w:pPr>
          </w:p>
        </w:tc>
        <w:tc>
          <w:tcPr>
            <w:tcW w:w="500" w:type="dxa"/>
            <w:vAlign w:val="bottom"/>
            <w:gridSpan w:val="4"/>
          </w:tcPr>
          <w:p>
            <w:pPr>
              <w:spacing w:after="0"/>
              <w:rPr>
                <w:sz w:val="17"/>
                <w:szCs w:val="17"/>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4.26</w:t>
            </w:r>
          </w:p>
        </w:tc>
        <w:tc>
          <w:tcPr>
            <w:tcW w:w="1016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0"/>
              </w:rPr>
              <w:t>Guarantee, dated January 2, 2017, Relating to the Loan Agreement with ING Bank N.V. and Crédit Agricole Corporate and Investment Bank</w:t>
            </w:r>
          </w:p>
        </w:tc>
      </w:tr>
      <w:tr>
        <w:trPr>
          <w:trHeight w:val="196"/>
        </w:trPr>
        <w:tc>
          <w:tcPr>
            <w:tcW w:w="980" w:type="dxa"/>
            <w:vAlign w:val="bottom"/>
          </w:tcPr>
          <w:p>
            <w:pPr>
              <w:spacing w:after="0"/>
              <w:rPr>
                <w:sz w:val="17"/>
                <w:szCs w:val="17"/>
                <w:color w:val="auto"/>
              </w:rPr>
            </w:pPr>
          </w:p>
        </w:tc>
        <w:tc>
          <w:tcPr>
            <w:tcW w:w="10160" w:type="dxa"/>
            <w:vAlign w:val="bottom"/>
            <w:gridSpan w:val="27"/>
          </w:tcPr>
          <w:p>
            <w:pPr>
              <w:spacing w:after="0" w:line="196" w:lineRule="exact"/>
              <w:rPr>
                <w:sz w:val="20"/>
                <w:szCs w:val="20"/>
                <w:color w:val="auto"/>
              </w:rPr>
            </w:pPr>
            <w:r>
              <w:rPr>
                <w:rFonts w:ascii="Arial" w:cs="Arial" w:eastAsia="Arial" w:hAnsi="Arial"/>
                <w:sz w:val="18"/>
                <w:szCs w:val="18"/>
                <w:color w:val="0000EE"/>
              </w:rPr>
              <w:t xml:space="preserve">as bookrunners and mandated lead arrangers related to a secured term loan facility of up to </w:t>
            </w:r>
            <w:r>
              <w:rPr>
                <w:rFonts w:ascii="Arial" w:cs="Arial" w:eastAsia="Arial" w:hAnsi="Arial"/>
                <w:sz w:val="18"/>
                <w:szCs w:val="18"/>
                <w:u w:val="single" w:color="auto"/>
                <w:color w:val="0000EE"/>
              </w:rPr>
              <w:t>US$</w:t>
            </w:r>
            <w:r>
              <w:rPr>
                <w:rFonts w:ascii="Arial" w:cs="Arial" w:eastAsia="Arial" w:hAnsi="Arial"/>
                <w:sz w:val="18"/>
                <w:szCs w:val="18"/>
                <w:color w:val="0000EE"/>
              </w:rPr>
              <w:t>70,200,000</w:t>
            </w: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4.27</w:t>
            </w:r>
          </w:p>
        </w:tc>
        <w:tc>
          <w:tcPr>
            <w:tcW w:w="5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r:id="rId214">
              <w:r>
                <w:rPr>
                  <w:rFonts w:ascii="Arial" w:cs="Arial" w:eastAsia="Arial" w:hAnsi="Arial"/>
                  <w:sz w:val="18"/>
                  <w:szCs w:val="18"/>
                  <w:color w:val="0000EE"/>
                  <w:w w:val="88"/>
                </w:rPr>
                <w:t>Amended and Restated Omnibus Agreement, dated September 30, 2011 (8)</w:t>
              </w:r>
            </w:hyperlink>
          </w:p>
        </w:tc>
        <w:tc>
          <w:tcPr>
            <w:tcW w:w="2260" w:type="dxa"/>
            <w:vAlign w:val="bottom"/>
            <w:tcBorders>
              <w:top w:val="single" w:sz="8" w:color="0000EE"/>
            </w:tcBorders>
            <w:gridSpan w:val="13"/>
          </w:tcPr>
          <w:p>
            <w:pPr>
              <w:spacing w:after="0"/>
              <w:rPr>
                <w:sz w:val="24"/>
                <w:szCs w:val="24"/>
                <w:color w:val="auto"/>
              </w:rPr>
            </w:pPr>
          </w:p>
        </w:tc>
        <w:tc>
          <w:tcPr>
            <w:tcW w:w="2460" w:type="dxa"/>
            <w:vAlign w:val="bottom"/>
            <w:gridSpan w:val="8"/>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4.28</w:t>
            </w:r>
          </w:p>
        </w:tc>
        <w:tc>
          <w:tcPr>
            <w:tcW w:w="10160" w:type="dxa"/>
            <w:vAlign w:val="bottom"/>
            <w:gridSpan w:val="27"/>
          </w:tcPr>
          <w:p>
            <w:pPr>
              <w:spacing w:after="0"/>
              <w:rPr>
                <w:sz w:val="20"/>
                <w:szCs w:val="20"/>
                <w:color w:val="auto"/>
              </w:rPr>
            </w:pPr>
            <w:r>
              <w:rPr>
                <w:rFonts w:ascii="Arial" w:cs="Arial" w:eastAsia="Arial" w:hAnsi="Arial"/>
                <w:sz w:val="18"/>
                <w:szCs w:val="18"/>
                <w:color w:val="0000EE"/>
              </w:rPr>
              <w:t>Amended and Restated Management Agreement with Capital Ship Management, dated March 25, 2017.</w:t>
            </w:r>
          </w:p>
        </w:tc>
      </w:tr>
      <w:tr>
        <w:trPr>
          <w:trHeight w:val="385"/>
        </w:trPr>
        <w:tc>
          <w:tcPr>
            <w:tcW w:w="980" w:type="dxa"/>
            <w:vAlign w:val="bottom"/>
          </w:tcPr>
          <w:p>
            <w:pPr>
              <w:spacing w:after="0"/>
              <w:rPr>
                <w:sz w:val="24"/>
                <w:szCs w:val="24"/>
                <w:color w:val="auto"/>
              </w:rPr>
            </w:pPr>
          </w:p>
        </w:tc>
        <w:tc>
          <w:tcPr>
            <w:tcW w:w="4840" w:type="dxa"/>
            <w:vAlign w:val="bottom"/>
            <w:tcBorders>
              <w:top w:val="single" w:sz="8" w:color="0000EE"/>
            </w:tcBorders>
            <w:gridSpan w:val="2"/>
          </w:tcPr>
          <w:p>
            <w:pPr>
              <w:ind w:left="4420"/>
              <w:spacing w:after="0"/>
              <w:rPr>
                <w:sz w:val="20"/>
                <w:szCs w:val="20"/>
                <w:color w:val="auto"/>
              </w:rPr>
            </w:pPr>
            <w:r>
              <w:rPr>
                <w:rFonts w:ascii="Arial" w:cs="Arial" w:eastAsia="Arial" w:hAnsi="Arial"/>
                <w:sz w:val="18"/>
                <w:szCs w:val="18"/>
                <w:color w:val="auto"/>
              </w:rPr>
              <w:t>153</w:t>
            </w: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60" w:type="dxa"/>
            <w:vAlign w:val="bottom"/>
          </w:tcPr>
          <w:p>
            <w:pPr>
              <w:ind w:left="80"/>
              <w:spacing w:after="0"/>
              <w:rPr>
                <w:sz w:val="20"/>
                <w:szCs w:val="20"/>
                <w:color w:val="auto"/>
              </w:rPr>
            </w:pPr>
            <w:r>
              <w:rPr>
                <w:rFonts w:ascii="Arial" w:cs="Arial" w:eastAsia="Arial" w:hAnsi="Arial"/>
                <w:sz w:val="18"/>
                <w:szCs w:val="18"/>
                <w:color w:val="auto"/>
              </w:rPr>
              <w:t>4.29</w:t>
            </w:r>
          </w:p>
        </w:tc>
        <w:tc>
          <w:tcPr>
            <w:tcW w:w="10140" w:type="dxa"/>
            <w:vAlign w:val="bottom"/>
            <w:gridSpan w:val="31"/>
          </w:tcPr>
          <w:p>
            <w:pPr>
              <w:spacing w:after="0"/>
              <w:rPr>
                <w:rFonts w:ascii="Arial" w:cs="Arial" w:eastAsia="Arial" w:hAnsi="Arial"/>
                <w:sz w:val="18"/>
                <w:szCs w:val="18"/>
                <w:color w:val="0000EE"/>
              </w:rPr>
            </w:pPr>
            <w:hyperlink r:id="rId216">
              <w:r>
                <w:rPr>
                  <w:rFonts w:ascii="Arial" w:cs="Arial" w:eastAsia="Arial" w:hAnsi="Arial"/>
                  <w:sz w:val="18"/>
                  <w:szCs w:val="18"/>
                  <w:color w:val="0000EE"/>
                </w:rPr>
                <w:t>Floating Rate Management Agreement with Capital Ship Management Corp., dated June 10, 2011 (13)</w:t>
              </w:r>
            </w:hyperlink>
          </w:p>
        </w:tc>
      </w:tr>
      <w:tr>
        <w:trPr>
          <w:trHeight w:val="20"/>
        </w:trPr>
        <w:tc>
          <w:tcPr>
            <w:tcW w:w="106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4.30</w:t>
            </w:r>
          </w:p>
        </w:tc>
        <w:tc>
          <w:tcPr>
            <w:tcW w:w="9480" w:type="dxa"/>
            <w:vAlign w:val="bottom"/>
            <w:tcBorders>
              <w:bottom w:val="single" w:sz="8" w:color="0000EE"/>
            </w:tcBorders>
            <w:gridSpan w:val="27"/>
          </w:tcPr>
          <w:p>
            <w:pPr>
              <w:spacing w:after="0"/>
              <w:rPr>
                <w:rFonts w:ascii="Arial" w:cs="Arial" w:eastAsia="Arial" w:hAnsi="Arial"/>
                <w:sz w:val="18"/>
                <w:szCs w:val="18"/>
                <w:color w:val="0000EE"/>
                <w:w w:val="90"/>
              </w:rPr>
            </w:pPr>
            <w:hyperlink r:id="rId217">
              <w:r>
                <w:rPr>
                  <w:rFonts w:ascii="Arial" w:cs="Arial" w:eastAsia="Arial" w:hAnsi="Arial"/>
                  <w:sz w:val="18"/>
                  <w:szCs w:val="18"/>
                  <w:color w:val="0000EE"/>
                  <w:w w:val="90"/>
                </w:rPr>
                <w:t>Amendment No. 9 to the Floating Rate Management Agreement with Capital Ship Management Corp., dated January 22, 2013 (18)</w:t>
              </w:r>
            </w:hyperlink>
          </w:p>
        </w:tc>
        <w:tc>
          <w:tcPr>
            <w:tcW w:w="660" w:type="dxa"/>
            <w:vAlign w:val="bottom"/>
            <w:gridSpan w:val="4"/>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4.31</w:t>
            </w:r>
          </w:p>
        </w:tc>
        <w:tc>
          <w:tcPr>
            <w:tcW w:w="1002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0"/>
              </w:rPr>
              <w:t>Amendment No. 30 to the Floating Rate Management Agreement with Capital Ship Management Corp., dated January 17, 2018, amending</w:t>
            </w:r>
          </w:p>
        </w:tc>
        <w:tc>
          <w:tcPr>
            <w:tcW w:w="1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0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and restating Schedule B in its entirety.**</w:t>
            </w:r>
          </w:p>
        </w:tc>
        <w:tc>
          <w:tcPr>
            <w:tcW w:w="7140" w:type="dxa"/>
            <w:vAlign w:val="bottom"/>
            <w:gridSpan w:val="30"/>
          </w:tcPr>
          <w:p>
            <w:pPr>
              <w:spacing w:after="0"/>
              <w:rPr>
                <w:sz w:val="17"/>
                <w:szCs w:val="17"/>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4.32</w:t>
            </w:r>
          </w:p>
        </w:tc>
        <w:tc>
          <w:tcPr>
            <w:tcW w:w="7640" w:type="dxa"/>
            <w:vAlign w:val="bottom"/>
            <w:tcBorders>
              <w:bottom w:val="single" w:sz="8" w:color="0000EE"/>
            </w:tcBorders>
            <w:gridSpan w:val="22"/>
          </w:tcPr>
          <w:p>
            <w:pPr>
              <w:spacing w:after="0"/>
              <w:rPr>
                <w:rFonts w:ascii="Arial" w:cs="Arial" w:eastAsia="Arial" w:hAnsi="Arial"/>
                <w:sz w:val="18"/>
                <w:szCs w:val="18"/>
                <w:color w:val="0000EE"/>
                <w:w w:val="90"/>
              </w:rPr>
            </w:pPr>
            <w:hyperlink r:id="rId218">
              <w:r>
                <w:rPr>
                  <w:rFonts w:ascii="Arial" w:cs="Arial" w:eastAsia="Arial" w:hAnsi="Arial"/>
                  <w:sz w:val="18"/>
                  <w:szCs w:val="18"/>
                  <w:color w:val="0000EE"/>
                  <w:w w:val="90"/>
                </w:rPr>
                <w:t>Form of Management Agreement between Crude Carriers Corp. and Capital Ship Management Corp. (10)</w:t>
              </w:r>
            </w:hyperlink>
          </w:p>
        </w:tc>
        <w:tc>
          <w:tcPr>
            <w:tcW w:w="2500" w:type="dxa"/>
            <w:vAlign w:val="bottom"/>
            <w:gridSpan w:val="9"/>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4.33</w:t>
            </w:r>
          </w:p>
        </w:tc>
        <w:tc>
          <w:tcPr>
            <w:tcW w:w="10140" w:type="dxa"/>
            <w:vAlign w:val="bottom"/>
            <w:gridSpan w:val="31"/>
          </w:tcPr>
          <w:p>
            <w:pPr>
              <w:spacing w:after="0"/>
              <w:rPr>
                <w:rFonts w:ascii="Arial" w:cs="Arial" w:eastAsia="Arial" w:hAnsi="Arial"/>
                <w:sz w:val="18"/>
                <w:szCs w:val="18"/>
                <w:color w:val="0000EE"/>
              </w:rPr>
            </w:pPr>
            <w:hyperlink r:id="rId219">
              <w:r>
                <w:rPr>
                  <w:rFonts w:ascii="Arial" w:cs="Arial" w:eastAsia="Arial" w:hAnsi="Arial"/>
                  <w:sz w:val="18"/>
                  <w:szCs w:val="18"/>
                  <w:color w:val="0000EE"/>
                </w:rPr>
                <w:t>Amendment No. 1 to Crude Carriers Management Agreement, dated August 5, 2010 (11)</w:t>
              </w:r>
            </w:hyperlink>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4.34</w:t>
            </w:r>
          </w:p>
        </w:tc>
        <w:tc>
          <w:tcPr>
            <w:tcW w:w="10140" w:type="dxa"/>
            <w:vAlign w:val="bottom"/>
            <w:gridSpan w:val="31"/>
          </w:tcPr>
          <w:p>
            <w:pPr>
              <w:spacing w:after="0"/>
              <w:rPr>
                <w:rFonts w:ascii="Arial" w:cs="Arial" w:eastAsia="Arial" w:hAnsi="Arial"/>
                <w:sz w:val="18"/>
                <w:szCs w:val="18"/>
                <w:color w:val="0000EE"/>
              </w:rPr>
            </w:pPr>
            <w:hyperlink r:id="rId220">
              <w:r>
                <w:rPr>
                  <w:rFonts w:ascii="Arial" w:cs="Arial" w:eastAsia="Arial" w:hAnsi="Arial"/>
                  <w:sz w:val="18"/>
                  <w:szCs w:val="18"/>
                  <w:color w:val="0000EE"/>
                </w:rPr>
                <w:t>Amendment No. 2 to Crude Carriers Management Agreement, dated August 6, 2010 (11)</w:t>
              </w:r>
            </w:hyperlink>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4.35</w:t>
            </w:r>
          </w:p>
        </w:tc>
        <w:tc>
          <w:tcPr>
            <w:tcW w:w="10140" w:type="dxa"/>
            <w:vAlign w:val="bottom"/>
            <w:gridSpan w:val="31"/>
          </w:tcPr>
          <w:p>
            <w:pPr>
              <w:spacing w:after="0"/>
              <w:rPr>
                <w:sz w:val="20"/>
                <w:szCs w:val="20"/>
                <w:color w:val="auto"/>
              </w:rPr>
            </w:pPr>
            <w:r>
              <w:rPr>
                <w:rFonts w:ascii="Arial" w:cs="Arial" w:eastAsia="Arial" w:hAnsi="Arial"/>
                <w:sz w:val="18"/>
                <w:szCs w:val="18"/>
                <w:color w:val="0000EE"/>
              </w:rPr>
              <w:t>Waiver Letter, dated January 1, 2017, with respect to certain fees under Crude Carriers Management Agreement</w:t>
            </w: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4.36</w:t>
            </w:r>
          </w:p>
        </w:tc>
        <w:tc>
          <w:tcPr>
            <w:tcW w:w="51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r:id="rId221">
              <w:r>
                <w:rPr>
                  <w:rFonts w:ascii="Arial" w:cs="Arial" w:eastAsia="Arial" w:hAnsi="Arial"/>
                  <w:sz w:val="18"/>
                  <w:szCs w:val="18"/>
                  <w:color w:val="0000EE"/>
                  <w:w w:val="91"/>
                </w:rPr>
                <w:t>Administrative Services Agreement with Capital Ship Management (1)</w:t>
              </w:r>
            </w:hyperlink>
          </w:p>
        </w:tc>
        <w:tc>
          <w:tcPr>
            <w:tcW w:w="2940" w:type="dxa"/>
            <w:vAlign w:val="bottom"/>
            <w:tcBorders>
              <w:top w:val="single" w:sz="8" w:color="0000EE"/>
            </w:tcBorders>
            <w:gridSpan w:val="17"/>
          </w:tcPr>
          <w:p>
            <w:pPr>
              <w:spacing w:after="0"/>
              <w:rPr>
                <w:sz w:val="24"/>
                <w:szCs w:val="24"/>
                <w:color w:val="auto"/>
              </w:rPr>
            </w:pPr>
          </w:p>
        </w:tc>
        <w:tc>
          <w:tcPr>
            <w:tcW w:w="2080" w:type="dxa"/>
            <w:vAlign w:val="bottom"/>
            <w:gridSpan w:val="7"/>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4.37</w:t>
            </w:r>
          </w:p>
        </w:tc>
        <w:tc>
          <w:tcPr>
            <w:tcW w:w="10140" w:type="dxa"/>
            <w:vAlign w:val="bottom"/>
            <w:gridSpan w:val="31"/>
          </w:tcPr>
          <w:p>
            <w:pPr>
              <w:spacing w:after="0"/>
              <w:rPr>
                <w:rFonts w:ascii="Arial" w:cs="Arial" w:eastAsia="Arial" w:hAnsi="Arial"/>
                <w:sz w:val="18"/>
                <w:szCs w:val="18"/>
                <w:color w:val="0000EE"/>
              </w:rPr>
            </w:pPr>
            <w:hyperlink r:id="rId222">
              <w:r>
                <w:rPr>
                  <w:rFonts w:ascii="Arial" w:cs="Arial" w:eastAsia="Arial" w:hAnsi="Arial"/>
                  <w:sz w:val="18"/>
                  <w:szCs w:val="18"/>
                  <w:color w:val="0000EE"/>
                </w:rPr>
                <w:t>Amendment 1 to Administrative Services Agreement with Capital Ship Management Corp., dated April 2, 2012 (16)</w:t>
              </w:r>
            </w:hyperlink>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4.38</w:t>
            </w:r>
          </w:p>
        </w:tc>
        <w:tc>
          <w:tcPr>
            <w:tcW w:w="10140" w:type="dxa"/>
            <w:vAlign w:val="bottom"/>
            <w:gridSpan w:val="31"/>
          </w:tcPr>
          <w:p>
            <w:pPr>
              <w:spacing w:after="0"/>
              <w:rPr>
                <w:sz w:val="20"/>
                <w:szCs w:val="20"/>
                <w:color w:val="auto"/>
              </w:rPr>
            </w:pPr>
            <w:r>
              <w:rPr>
                <w:rFonts w:ascii="Arial" w:cs="Arial" w:eastAsia="Arial" w:hAnsi="Arial"/>
                <w:sz w:val="18"/>
                <w:szCs w:val="18"/>
                <w:color w:val="0000EE"/>
              </w:rPr>
              <w:t>IT Agreement, dated April 3, 2007, by and between Capital Ship Management Corp. and Capital Product Partners L.P.</w:t>
            </w: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4.39</w:t>
            </w:r>
          </w:p>
        </w:tc>
        <w:tc>
          <w:tcPr>
            <w:tcW w:w="852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0000EE"/>
              </w:rPr>
              <w:t>Addendum No. 1 to IT Agreement, dated April 2, 2012.</w:t>
            </w:r>
          </w:p>
        </w:tc>
        <w:tc>
          <w:tcPr>
            <w:tcW w:w="1620" w:type="dxa"/>
            <w:vAlign w:val="bottom"/>
            <w:gridSpan w:val="5"/>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4.40</w:t>
            </w:r>
          </w:p>
        </w:tc>
        <w:tc>
          <w:tcPr>
            <w:tcW w:w="10140" w:type="dxa"/>
            <w:vAlign w:val="bottom"/>
            <w:gridSpan w:val="31"/>
          </w:tcPr>
          <w:p>
            <w:pPr>
              <w:spacing w:after="0"/>
              <w:rPr>
                <w:sz w:val="20"/>
                <w:szCs w:val="20"/>
                <w:color w:val="auto"/>
              </w:rPr>
            </w:pPr>
            <w:r>
              <w:rPr>
                <w:rFonts w:ascii="Arial" w:cs="Arial" w:eastAsia="Arial" w:hAnsi="Arial"/>
                <w:sz w:val="18"/>
                <w:szCs w:val="18"/>
                <w:color w:val="0000EE"/>
              </w:rPr>
              <w:t>Addendum No. 2 to IT Agreement, dated April 2, 2017.</w:t>
            </w:r>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4.41</w:t>
            </w:r>
          </w:p>
        </w:tc>
        <w:tc>
          <w:tcPr>
            <w:tcW w:w="10140" w:type="dxa"/>
            <w:vAlign w:val="bottom"/>
            <w:gridSpan w:val="31"/>
          </w:tcPr>
          <w:p>
            <w:pPr>
              <w:spacing w:after="0"/>
              <w:rPr>
                <w:rFonts w:ascii="Arial" w:cs="Arial" w:eastAsia="Arial" w:hAnsi="Arial"/>
                <w:sz w:val="18"/>
                <w:szCs w:val="18"/>
                <w:color w:val="0000EE"/>
              </w:rPr>
            </w:pPr>
            <w:hyperlink r:id="rId223">
              <w:r>
                <w:rPr>
                  <w:rFonts w:ascii="Arial" w:cs="Arial" w:eastAsia="Arial" w:hAnsi="Arial"/>
                  <w:sz w:val="18"/>
                  <w:szCs w:val="18"/>
                  <w:color w:val="0000EE"/>
                </w:rPr>
                <w:t>Share Purchase Agreement for the M/T Active, dated March 31, 2015 (21)</w:t>
              </w:r>
            </w:hyperlink>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4.42</w:t>
            </w:r>
          </w:p>
        </w:tc>
        <w:tc>
          <w:tcPr>
            <w:tcW w:w="10140" w:type="dxa"/>
            <w:vAlign w:val="bottom"/>
            <w:gridSpan w:val="31"/>
          </w:tcPr>
          <w:p>
            <w:pPr>
              <w:spacing w:after="0"/>
              <w:rPr>
                <w:rFonts w:ascii="Arial" w:cs="Arial" w:eastAsia="Arial" w:hAnsi="Arial"/>
                <w:sz w:val="18"/>
                <w:szCs w:val="18"/>
                <w:color w:val="0000EE"/>
              </w:rPr>
            </w:pPr>
            <w:hyperlink r:id="rId224">
              <w:r>
                <w:rPr>
                  <w:rFonts w:ascii="Arial" w:cs="Arial" w:eastAsia="Arial" w:hAnsi="Arial"/>
                  <w:sz w:val="18"/>
                  <w:szCs w:val="18"/>
                  <w:color w:val="0000EE"/>
                </w:rPr>
                <w:t>Share Purchase Agreement for the M/V CMA CGM Amazon, dated June 10, 2015 (21)</w:t>
              </w:r>
            </w:hyperlink>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4.43</w:t>
            </w:r>
          </w:p>
        </w:tc>
        <w:tc>
          <w:tcPr>
            <w:tcW w:w="54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r:id="rId225">
              <w:r>
                <w:rPr>
                  <w:rFonts w:ascii="Arial" w:cs="Arial" w:eastAsia="Arial" w:hAnsi="Arial"/>
                  <w:sz w:val="18"/>
                  <w:szCs w:val="18"/>
                  <w:color w:val="0000EE"/>
                  <w:w w:val="89"/>
                </w:rPr>
                <w:t>Share Purchase Agreement for the M/T Amadeus, dated June 30, 2015 (21)</w:t>
              </w:r>
            </w:hyperlink>
          </w:p>
        </w:tc>
        <w:tc>
          <w:tcPr>
            <w:tcW w:w="840" w:type="dxa"/>
            <w:vAlign w:val="bottom"/>
            <w:tcBorders>
              <w:top w:val="single" w:sz="8" w:color="0000EE"/>
            </w:tcBorders>
            <w:gridSpan w:val="2"/>
          </w:tcPr>
          <w:p>
            <w:pPr>
              <w:spacing w:after="0"/>
              <w:rPr>
                <w:sz w:val="24"/>
                <w:szCs w:val="24"/>
                <w:color w:val="auto"/>
              </w:rPr>
            </w:pPr>
          </w:p>
        </w:tc>
        <w:tc>
          <w:tcPr>
            <w:tcW w:w="3860" w:type="dxa"/>
            <w:vAlign w:val="bottom"/>
            <w:gridSpan w:val="17"/>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4.44</w:t>
            </w:r>
          </w:p>
        </w:tc>
        <w:tc>
          <w:tcPr>
            <w:tcW w:w="6740" w:type="dxa"/>
            <w:vAlign w:val="bottom"/>
            <w:tcBorders>
              <w:bottom w:val="single" w:sz="8" w:color="0000EE"/>
            </w:tcBorders>
            <w:gridSpan w:val="16"/>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Share Purchase Agreement for the M/V CMA CGM Uruguay, dated September 18, 2015 (21)</w:t>
              </w:r>
            </w:hyperlink>
          </w:p>
        </w:tc>
        <w:tc>
          <w:tcPr>
            <w:tcW w:w="3400" w:type="dxa"/>
            <w:vAlign w:val="bottom"/>
            <w:gridSpan w:val="15"/>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4.45</w:t>
            </w:r>
          </w:p>
        </w:tc>
        <w:tc>
          <w:tcPr>
            <w:tcW w:w="6800" w:type="dxa"/>
            <w:vAlign w:val="bottom"/>
            <w:tcBorders>
              <w:bottom w:val="single" w:sz="8" w:color="0000EE"/>
            </w:tcBorders>
            <w:gridSpan w:val="17"/>
          </w:tcPr>
          <w:p>
            <w:pPr>
              <w:spacing w:after="0"/>
              <w:rPr>
                <w:rFonts w:ascii="Arial" w:cs="Arial" w:eastAsia="Arial" w:hAnsi="Arial"/>
                <w:sz w:val="18"/>
                <w:szCs w:val="18"/>
                <w:color w:val="0000EE"/>
                <w:w w:val="90"/>
              </w:rPr>
            </w:pPr>
            <w:hyperlink r:id="rId227">
              <w:r>
                <w:rPr>
                  <w:rFonts w:ascii="Arial" w:cs="Arial" w:eastAsia="Arial" w:hAnsi="Arial"/>
                  <w:sz w:val="18"/>
                  <w:szCs w:val="18"/>
                  <w:color w:val="0000EE"/>
                  <w:w w:val="90"/>
                </w:rPr>
                <w:t>Share Purchase Agreement for the M/V CMA CGM Magdalena, dated February 26, 2016 (23)</w:t>
              </w:r>
            </w:hyperlink>
          </w:p>
        </w:tc>
        <w:tc>
          <w:tcPr>
            <w:tcW w:w="3340" w:type="dxa"/>
            <w:vAlign w:val="bottom"/>
            <w:gridSpan w:val="14"/>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4.46</w:t>
            </w:r>
          </w:p>
        </w:tc>
        <w:tc>
          <w:tcPr>
            <w:tcW w:w="5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28">
              <w:r>
                <w:rPr>
                  <w:rFonts w:ascii="Arial" w:cs="Arial" w:eastAsia="Arial" w:hAnsi="Arial"/>
                  <w:sz w:val="18"/>
                  <w:szCs w:val="18"/>
                  <w:color w:val="0000EE"/>
                  <w:w w:val="90"/>
                </w:rPr>
                <w:t>Share Purchase Agreement for the M/T Amor, dated October 24, 2016 (23)</w:t>
              </w:r>
            </w:hyperlink>
          </w:p>
        </w:tc>
        <w:tc>
          <w:tcPr>
            <w:tcW w:w="4720" w:type="dxa"/>
            <w:vAlign w:val="bottom"/>
            <w:gridSpan w:val="20"/>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4.47</w:t>
            </w:r>
          </w:p>
        </w:tc>
        <w:tc>
          <w:tcPr>
            <w:tcW w:w="10140" w:type="dxa"/>
            <w:vAlign w:val="bottom"/>
            <w:gridSpan w:val="31"/>
          </w:tcPr>
          <w:p>
            <w:pPr>
              <w:spacing w:after="0"/>
              <w:rPr>
                <w:sz w:val="20"/>
                <w:szCs w:val="20"/>
                <w:color w:val="auto"/>
              </w:rPr>
            </w:pPr>
            <w:r>
              <w:rPr>
                <w:rFonts w:ascii="Arial" w:cs="Arial" w:eastAsia="Arial" w:hAnsi="Arial"/>
                <w:sz w:val="18"/>
                <w:szCs w:val="18"/>
                <w:color w:val="0000EE"/>
              </w:rPr>
              <w:t>Share Purchase Agreement for the M/T Aristaios, dated January 17, 2018</w:t>
            </w:r>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4.48</w:t>
            </w:r>
          </w:p>
        </w:tc>
        <w:tc>
          <w:tcPr>
            <w:tcW w:w="59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1"/>
              </w:rPr>
              <w:t>Memorandum of Agreement for sale of M/T Aristotelis, dated December 22, 2017.</w:t>
            </w:r>
          </w:p>
        </w:tc>
        <w:tc>
          <w:tcPr>
            <w:tcW w:w="4160" w:type="dxa"/>
            <w:vAlign w:val="bottom"/>
            <w:gridSpan w:val="18"/>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4.49</w:t>
            </w:r>
          </w:p>
        </w:tc>
        <w:tc>
          <w:tcPr>
            <w:tcW w:w="4580" w:type="dxa"/>
            <w:vAlign w:val="bottom"/>
            <w:tcBorders>
              <w:bottom w:val="single" w:sz="8" w:color="0000EE"/>
            </w:tcBorders>
            <w:gridSpan w:val="4"/>
          </w:tcPr>
          <w:p>
            <w:pPr>
              <w:spacing w:after="0"/>
              <w:rPr>
                <w:rFonts w:ascii="Arial" w:cs="Arial" w:eastAsia="Arial" w:hAnsi="Arial"/>
                <w:sz w:val="18"/>
                <w:szCs w:val="18"/>
                <w:color w:val="0000EE"/>
                <w:w w:val="90"/>
              </w:rPr>
            </w:pPr>
            <w:hyperlink r:id="rId229">
              <w:r>
                <w:rPr>
                  <w:rFonts w:ascii="Arial" w:cs="Arial" w:eastAsia="Arial" w:hAnsi="Arial"/>
                  <w:sz w:val="18"/>
                  <w:szCs w:val="18"/>
                  <w:color w:val="0000EE"/>
                  <w:w w:val="90"/>
                </w:rPr>
                <w:t>Master Vessel Acquisition Agreement, dated July 24, 2014 (19)</w:t>
              </w:r>
            </w:hyperlink>
          </w:p>
        </w:tc>
        <w:tc>
          <w:tcPr>
            <w:tcW w:w="5560" w:type="dxa"/>
            <w:vAlign w:val="bottom"/>
            <w:gridSpan w:val="27"/>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4.50</w:t>
            </w:r>
          </w:p>
        </w:tc>
        <w:tc>
          <w:tcPr>
            <w:tcW w:w="7200" w:type="dxa"/>
            <w:vAlign w:val="bottom"/>
            <w:tcBorders>
              <w:bottom w:val="single" w:sz="8" w:color="0000EE"/>
            </w:tcBorders>
            <w:gridSpan w:val="20"/>
          </w:tcPr>
          <w:p>
            <w:pPr>
              <w:spacing w:after="0"/>
              <w:rPr>
                <w:rFonts w:ascii="Arial" w:cs="Arial" w:eastAsia="Arial" w:hAnsi="Arial"/>
                <w:sz w:val="18"/>
                <w:szCs w:val="18"/>
                <w:color w:val="0000EE"/>
                <w:w w:val="90"/>
              </w:rPr>
            </w:pPr>
            <w:hyperlink r:id="rId230">
              <w:r>
                <w:rPr>
                  <w:rFonts w:ascii="Arial" w:cs="Arial" w:eastAsia="Arial" w:hAnsi="Arial"/>
                  <w:sz w:val="18"/>
                  <w:szCs w:val="18"/>
                  <w:color w:val="0000EE"/>
                  <w:w w:val="90"/>
                </w:rPr>
                <w:t>Capital Product Partners L.P. 2008 Omnibus Incentive Compensation Plan, dated April 29, 2008 (4)</w:t>
              </w:r>
            </w:hyperlink>
          </w:p>
        </w:tc>
        <w:tc>
          <w:tcPr>
            <w:tcW w:w="2940" w:type="dxa"/>
            <w:vAlign w:val="bottom"/>
            <w:gridSpan w:val="11"/>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4.51</w:t>
            </w:r>
          </w:p>
        </w:tc>
        <w:tc>
          <w:tcPr>
            <w:tcW w:w="10140" w:type="dxa"/>
            <w:vAlign w:val="bottom"/>
            <w:gridSpan w:val="31"/>
          </w:tcPr>
          <w:p>
            <w:pPr>
              <w:spacing w:after="0"/>
              <w:rPr>
                <w:rFonts w:ascii="Arial" w:cs="Arial" w:eastAsia="Arial" w:hAnsi="Arial"/>
                <w:sz w:val="18"/>
                <w:szCs w:val="18"/>
                <w:color w:val="0000EE"/>
              </w:rPr>
            </w:pPr>
            <w:hyperlink r:id="rId231">
              <w:r>
                <w:rPr>
                  <w:rFonts w:ascii="Arial" w:cs="Arial" w:eastAsia="Arial" w:hAnsi="Arial"/>
                  <w:sz w:val="18"/>
                  <w:szCs w:val="18"/>
                  <w:color w:val="0000EE"/>
                </w:rPr>
                <w:t>Capital Product Partners L.P. 2008 Omnibus Incentive Compensation Plan, amended July 22, 2010 (9)</w:t>
              </w:r>
            </w:hyperlink>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4.52</w:t>
            </w:r>
          </w:p>
        </w:tc>
        <w:tc>
          <w:tcPr>
            <w:tcW w:w="7680" w:type="dxa"/>
            <w:vAlign w:val="bottom"/>
            <w:tcBorders>
              <w:bottom w:val="single" w:sz="8" w:color="0000EE"/>
            </w:tcBorders>
            <w:gridSpan w:val="23"/>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Capital Product Partners L.P. 2008 Omnibus Incentive Compensation Plan, amended August 21, 2014 (17)</w:t>
              </w:r>
            </w:hyperlink>
          </w:p>
        </w:tc>
        <w:tc>
          <w:tcPr>
            <w:tcW w:w="2460" w:type="dxa"/>
            <w:vAlign w:val="bottom"/>
            <w:gridSpan w:val="8"/>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4.53</w:t>
            </w:r>
          </w:p>
        </w:tc>
        <w:tc>
          <w:tcPr>
            <w:tcW w:w="5040" w:type="dxa"/>
            <w:vAlign w:val="bottom"/>
            <w:tcBorders>
              <w:bottom w:val="single" w:sz="8" w:color="0000EE"/>
            </w:tcBorders>
            <w:gridSpan w:val="6"/>
          </w:tcPr>
          <w:p>
            <w:pPr>
              <w:spacing w:after="0"/>
              <w:rPr>
                <w:rFonts w:ascii="Arial" w:cs="Arial" w:eastAsia="Arial" w:hAnsi="Arial"/>
                <w:sz w:val="18"/>
                <w:szCs w:val="18"/>
                <w:color w:val="0000EE"/>
                <w:w w:val="90"/>
              </w:rPr>
            </w:pPr>
            <w:hyperlink r:id="rId232">
              <w:r>
                <w:rPr>
                  <w:rFonts w:ascii="Arial" w:cs="Arial" w:eastAsia="Arial" w:hAnsi="Arial"/>
                  <w:sz w:val="18"/>
                  <w:szCs w:val="18"/>
                  <w:color w:val="0000EE"/>
                  <w:w w:val="90"/>
                </w:rPr>
                <w:t>Crude Carriers Corp. Equity Incentive Plan, dated March 1, 2010 (10)</w:t>
              </w:r>
            </w:hyperlink>
          </w:p>
        </w:tc>
        <w:tc>
          <w:tcPr>
            <w:tcW w:w="5100" w:type="dxa"/>
            <w:vAlign w:val="bottom"/>
            <w:gridSpan w:val="25"/>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4.54</w:t>
            </w:r>
          </w:p>
        </w:tc>
        <w:tc>
          <w:tcPr>
            <w:tcW w:w="4820" w:type="dxa"/>
            <w:vAlign w:val="bottom"/>
            <w:tcBorders>
              <w:bottom w:val="single" w:sz="8" w:color="0000EE"/>
            </w:tcBorders>
            <w:gridSpan w:val="5"/>
          </w:tcPr>
          <w:p>
            <w:pPr>
              <w:spacing w:after="0"/>
              <w:rPr>
                <w:rFonts w:ascii="Arial" w:cs="Arial" w:eastAsia="Arial" w:hAnsi="Arial"/>
                <w:sz w:val="18"/>
                <w:szCs w:val="18"/>
                <w:color w:val="0000EE"/>
                <w:w w:val="91"/>
              </w:rPr>
            </w:pPr>
            <w:hyperlink r:id="rId233">
              <w:r>
                <w:rPr>
                  <w:rFonts w:ascii="Arial" w:cs="Arial" w:eastAsia="Arial" w:hAnsi="Arial"/>
                  <w:sz w:val="18"/>
                  <w:szCs w:val="18"/>
                  <w:color w:val="0000EE"/>
                  <w:w w:val="91"/>
                </w:rPr>
                <w:t>Form of Restricted Unit Award of Capital Product Partners L.P. (9)</w:t>
              </w:r>
            </w:hyperlink>
          </w:p>
        </w:tc>
        <w:tc>
          <w:tcPr>
            <w:tcW w:w="5320" w:type="dxa"/>
            <w:vAlign w:val="bottom"/>
            <w:gridSpan w:val="26"/>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4.55</w:t>
            </w:r>
          </w:p>
        </w:tc>
        <w:tc>
          <w:tcPr>
            <w:tcW w:w="9520" w:type="dxa"/>
            <w:vAlign w:val="bottom"/>
            <w:tcBorders>
              <w:bottom w:val="single" w:sz="8" w:color="0000EE"/>
            </w:tcBorders>
            <w:gridSpan w:val="28"/>
          </w:tcPr>
          <w:p>
            <w:pPr>
              <w:spacing w:after="0"/>
              <w:rPr>
                <w:rFonts w:ascii="Arial" w:cs="Arial" w:eastAsia="Arial" w:hAnsi="Arial"/>
                <w:sz w:val="18"/>
                <w:szCs w:val="18"/>
                <w:color w:val="0000EE"/>
                <w:w w:val="92"/>
              </w:rPr>
            </w:pPr>
            <w:hyperlink r:id="rId234">
              <w:r>
                <w:rPr>
                  <w:rFonts w:ascii="Arial" w:cs="Arial" w:eastAsia="Arial" w:hAnsi="Arial"/>
                  <w:sz w:val="18"/>
                  <w:szCs w:val="18"/>
                  <w:color w:val="0000EE"/>
                  <w:w w:val="92"/>
                </w:rPr>
                <w:t>Equity Distribution Agreement, dated September 12, 2016, with UBS Securities LLC in connection with at-the-market offering (22)</w:t>
              </w:r>
            </w:hyperlink>
          </w:p>
        </w:tc>
        <w:tc>
          <w:tcPr>
            <w:tcW w:w="620" w:type="dxa"/>
            <w:vAlign w:val="bottom"/>
            <w:gridSpan w:val="3"/>
          </w:tcPr>
          <w:p>
            <w:pPr>
              <w:spacing w:after="0"/>
              <w:rPr>
                <w:sz w:val="24"/>
                <w:szCs w:val="24"/>
                <w:color w:val="auto"/>
              </w:rPr>
            </w:pPr>
          </w:p>
        </w:tc>
      </w:tr>
      <w:tr>
        <w:trPr>
          <w:trHeight w:val="304"/>
        </w:trPr>
        <w:tc>
          <w:tcPr>
            <w:tcW w:w="1060" w:type="dxa"/>
            <w:vAlign w:val="bottom"/>
          </w:tcPr>
          <w:p>
            <w:pPr>
              <w:ind w:left="80"/>
              <w:spacing w:after="0"/>
              <w:rPr>
                <w:sz w:val="20"/>
                <w:szCs w:val="20"/>
                <w:color w:val="auto"/>
              </w:rPr>
            </w:pPr>
            <w:r>
              <w:rPr>
                <w:rFonts w:ascii="Arial" w:cs="Arial" w:eastAsia="Arial" w:hAnsi="Arial"/>
                <w:sz w:val="18"/>
                <w:szCs w:val="18"/>
                <w:color w:val="auto"/>
              </w:rPr>
              <w:t>8.1</w:t>
            </w:r>
          </w:p>
        </w:tc>
        <w:tc>
          <w:tcPr>
            <w:tcW w:w="10140" w:type="dxa"/>
            <w:vAlign w:val="bottom"/>
            <w:gridSpan w:val="31"/>
          </w:tcPr>
          <w:p>
            <w:pPr>
              <w:spacing w:after="0"/>
              <w:rPr>
                <w:sz w:val="20"/>
                <w:szCs w:val="20"/>
                <w:color w:val="auto"/>
              </w:rPr>
            </w:pPr>
            <w:r>
              <w:rPr>
                <w:rFonts w:ascii="Arial" w:cs="Arial" w:eastAsia="Arial" w:hAnsi="Arial"/>
                <w:sz w:val="18"/>
                <w:szCs w:val="18"/>
                <w:color w:val="0000EE"/>
              </w:rPr>
              <w:t>List of Subsidiaries of Capital Product Partners L.P.</w:t>
            </w:r>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12.1</w:t>
            </w:r>
          </w:p>
        </w:tc>
        <w:tc>
          <w:tcPr>
            <w:tcW w:w="70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1"/>
              </w:rPr>
              <w:t>Rule 13a-14(a)/15d-14(a) Certification of Capital Product Partners L.P.’s Chief Executive Officer</w:t>
            </w:r>
          </w:p>
        </w:tc>
        <w:tc>
          <w:tcPr>
            <w:tcW w:w="3120" w:type="dxa"/>
            <w:vAlign w:val="bottom"/>
            <w:gridSpan w:val="12"/>
          </w:tcPr>
          <w:p>
            <w:pPr>
              <w:spacing w:after="0"/>
              <w:rPr>
                <w:sz w:val="24"/>
                <w:szCs w:val="24"/>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12.2</w:t>
            </w:r>
          </w:p>
        </w:tc>
        <w:tc>
          <w:tcPr>
            <w:tcW w:w="10140" w:type="dxa"/>
            <w:vAlign w:val="bottom"/>
            <w:gridSpan w:val="31"/>
          </w:tcPr>
          <w:p>
            <w:pPr>
              <w:spacing w:after="0"/>
              <w:rPr>
                <w:sz w:val="20"/>
                <w:szCs w:val="20"/>
                <w:color w:val="auto"/>
              </w:rPr>
            </w:pPr>
            <w:r>
              <w:rPr>
                <w:rFonts w:ascii="Arial" w:cs="Arial" w:eastAsia="Arial" w:hAnsi="Arial"/>
                <w:sz w:val="18"/>
                <w:szCs w:val="18"/>
                <w:color w:val="0000EE"/>
              </w:rPr>
              <w:t>Rule 13a-14(a)/15d-14(a) Certification of Capital Product Partners L.P.’s Chief Financial Officer</w:t>
            </w:r>
          </w:p>
        </w:tc>
      </w:tr>
      <w:tr>
        <w:trPr>
          <w:trHeight w:val="20"/>
        </w:trPr>
        <w:tc>
          <w:tcPr>
            <w:tcW w:w="1060" w:type="dxa"/>
            <w:vAlign w:val="bottom"/>
          </w:tcPr>
          <w:p>
            <w:pPr>
              <w:spacing w:after="0" w:line="20" w:lineRule="exact"/>
              <w:rPr>
                <w:sz w:val="1"/>
                <w:szCs w:val="1"/>
                <w:color w:val="auto"/>
              </w:rPr>
            </w:pPr>
          </w:p>
        </w:tc>
        <w:tc>
          <w:tcPr>
            <w:tcW w:w="5380" w:type="dxa"/>
            <w:vAlign w:val="bottom"/>
            <w:gridSpan w:val="10"/>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278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13.1</w:t>
            </w:r>
          </w:p>
        </w:tc>
        <w:tc>
          <w:tcPr>
            <w:tcW w:w="1014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0"/>
              </w:rPr>
              <w:t>Capital Product Partners L.P. Certification of Gerasimos (Jerry) Kalogiratos, Chief Executive Officer, pursuant to 18 U.S.C. Section 1350, as</w:t>
            </w:r>
          </w:p>
        </w:tc>
      </w:tr>
      <w:tr>
        <w:trPr>
          <w:trHeight w:val="196"/>
        </w:trPr>
        <w:tc>
          <w:tcPr>
            <w:tcW w:w="1060" w:type="dxa"/>
            <w:vAlign w:val="bottom"/>
          </w:tcPr>
          <w:p>
            <w:pPr>
              <w:spacing w:after="0"/>
              <w:rPr>
                <w:sz w:val="17"/>
                <w:szCs w:val="17"/>
                <w:color w:val="auto"/>
              </w:rPr>
            </w:pPr>
          </w:p>
        </w:tc>
        <w:tc>
          <w:tcPr>
            <w:tcW w:w="53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adopted pursuant to Section 906 of the U.S. Sarbanes-Oxley Act of 2002*</w:t>
            </w:r>
          </w:p>
        </w:tc>
        <w:tc>
          <w:tcPr>
            <w:tcW w:w="4760" w:type="dxa"/>
            <w:vAlign w:val="bottom"/>
            <w:gridSpan w:val="21"/>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13.2</w:t>
            </w:r>
          </w:p>
        </w:tc>
        <w:tc>
          <w:tcPr>
            <w:tcW w:w="974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1"/>
              </w:rPr>
              <w:t>Capital Product Partners L.P. Certification of Nikolaos Kalapotharakos, Chief Financial Officer, pursuant to 18 U.S.C. Section 1350, as</w:t>
            </w:r>
          </w:p>
        </w:tc>
        <w:tc>
          <w:tcPr>
            <w:tcW w:w="40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31"/>
          </w:tcPr>
          <w:p>
            <w:pPr>
              <w:spacing w:after="0" w:line="196" w:lineRule="exact"/>
              <w:rPr>
                <w:sz w:val="20"/>
                <w:szCs w:val="20"/>
                <w:color w:val="auto"/>
              </w:rPr>
            </w:pPr>
            <w:r>
              <w:rPr>
                <w:rFonts w:ascii="Arial" w:cs="Arial" w:eastAsia="Arial" w:hAnsi="Arial"/>
                <w:sz w:val="18"/>
                <w:szCs w:val="18"/>
                <w:color w:val="0000EE"/>
              </w:rPr>
              <w:t>adopted pursuant to Section 906 of the U.S. Sarbanes-Oxley Act of 2002*</w:t>
            </w:r>
          </w:p>
        </w:tc>
      </w:tr>
      <w:tr>
        <w:trPr>
          <w:trHeight w:val="385"/>
        </w:trPr>
        <w:tc>
          <w:tcPr>
            <w:tcW w:w="1060" w:type="dxa"/>
            <w:vAlign w:val="bottom"/>
          </w:tcPr>
          <w:p>
            <w:pPr>
              <w:spacing w:after="0"/>
              <w:rPr>
                <w:sz w:val="24"/>
                <w:szCs w:val="24"/>
                <w:color w:val="auto"/>
              </w:rPr>
            </w:pPr>
          </w:p>
        </w:tc>
        <w:tc>
          <w:tcPr>
            <w:tcW w:w="4820" w:type="dxa"/>
            <w:vAlign w:val="bottom"/>
            <w:tcBorders>
              <w:top w:val="single" w:sz="8" w:color="0000EE"/>
            </w:tcBorders>
            <w:gridSpan w:val="5"/>
          </w:tcPr>
          <w:p>
            <w:pPr>
              <w:ind w:left="4420"/>
              <w:spacing w:after="0"/>
              <w:rPr>
                <w:sz w:val="20"/>
                <w:szCs w:val="20"/>
                <w:color w:val="auto"/>
              </w:rPr>
            </w:pPr>
            <w:r>
              <w:rPr>
                <w:rFonts w:ascii="Arial" w:cs="Arial" w:eastAsia="Arial" w:hAnsi="Arial"/>
                <w:sz w:val="18"/>
                <w:szCs w:val="18"/>
                <w:color w:val="auto"/>
              </w:rPr>
              <w:t>154</w:t>
            </w: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Arial" w:cs="Arial" w:eastAsia="Arial" w:hAnsi="Arial"/>
                <w:sz w:val="18"/>
                <w:szCs w:val="18"/>
                <w:color w:val="auto"/>
              </w:rPr>
              <w:t>15.1</w:t>
            </w:r>
          </w:p>
        </w:tc>
        <w:tc>
          <w:tcPr>
            <w:tcW w:w="4480" w:type="dxa"/>
            <w:vAlign w:val="bottom"/>
            <w:gridSpan w:val="2"/>
          </w:tcPr>
          <w:p>
            <w:pPr>
              <w:spacing w:after="0"/>
              <w:rPr>
                <w:sz w:val="20"/>
                <w:szCs w:val="20"/>
                <w:color w:val="auto"/>
              </w:rPr>
            </w:pPr>
            <w:r>
              <w:rPr>
                <w:rFonts w:ascii="Arial" w:cs="Arial" w:eastAsia="Arial" w:hAnsi="Arial"/>
                <w:sz w:val="18"/>
                <w:szCs w:val="18"/>
                <w:color w:val="0000EE"/>
              </w:rPr>
              <w:t>Consent of Deloitte Certified Public Accountants S.A.</w:t>
            </w: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39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580" w:type="dxa"/>
            <w:vAlign w:val="bottom"/>
          </w:tcPr>
          <w:p>
            <w:pPr>
              <w:spacing w:after="0"/>
              <w:rPr>
                <w:sz w:val="24"/>
                <w:szCs w:val="24"/>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44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4480" w:type="dxa"/>
            <w:vAlign w:val="bottom"/>
            <w:gridSpan w:val="2"/>
          </w:tcPr>
          <w:p>
            <w:pPr>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4480" w:type="dxa"/>
            <w:vAlign w:val="bottom"/>
            <w:gridSpan w:val="2"/>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44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4480" w:type="dxa"/>
            <w:vAlign w:val="bottom"/>
            <w:gridSpan w:val="2"/>
          </w:tcPr>
          <w:p>
            <w:pPr>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60" w:hanging="452"/>
        <w:spacing w:after="0" w:line="258"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2007 and filed with the SEC on April 4, 2008.</w:t>
      </w: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F-3 filed with the SEC on August 29,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April 30, 2008.</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2008 and filed with the SEC on March 27, 2009.</w:t>
      </w:r>
    </w:p>
    <w:p>
      <w:pPr>
        <w:ind w:left="460" w:right="6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2009 and filed with the SEC on February 4, 2010.</w:t>
      </w: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February 24,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30, 2011.</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2010 and filed with the SEC on February 4, 2011.</w:t>
      </w:r>
    </w:p>
    <w:p>
      <w:pPr>
        <w:ind w:left="460" w:right="24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Registration Statement on Form F-1 (File No. 333-165138), filed with the SEC on March 1, 2010, and incorporated by reference to such Registration Statement.</w:t>
      </w:r>
    </w:p>
    <w:p>
      <w:pPr>
        <w:ind w:left="460" w:right="2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Annual Report on Form 20-F for the year ended December 31, 2010 and filed with the SEC on April 18, 2011.</w:t>
      </w: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May 9, 2011.</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2011 and filed with the SEC on February 13, 2012.</w:t>
      </w: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May 23,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March 21, 2013.</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2012 and filed with the SEC on February 5, 2013.</w:t>
      </w: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August 26, 2014.</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2013 and filed with the SEC on February 18, 2014.</w:t>
      </w: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July 29, 2014.</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2014 and filed with the SEC on February 26, 2015.</w:t>
      </w:r>
    </w:p>
    <w:p>
      <w:pPr>
        <w:ind w:left="460" w:right="6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2015 and filed with the SEC on February 17, 2016.</w:t>
      </w: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12,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a an exhibit to the registrant’s Annual Report on Form 20-F for the year ended December 31,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Previously filed as Exhibit II to a Current Report on Form 6-K with the SEC on September 12, 2017.</w:t>
      </w:r>
    </w:p>
    <w:p>
      <w:pPr>
        <w:spacing w:after="0" w:line="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Furnished only and not filed</w:t>
      </w:r>
    </w:p>
    <w:p>
      <w:pPr>
        <w:spacing w:after="0" w:line="9"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Amendments No. 1-8 and 10-29 to the Floating Rate Management Agreement are substantially identical to, or superseded by, Amendment No. 30.</w:t>
      </w:r>
    </w:p>
    <w:p>
      <w:pPr>
        <w:spacing w:after="0" w:line="16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155</w:t>
      </w:r>
    </w:p>
    <w:p>
      <w:pPr>
        <w:sectPr>
          <w:pgSz w:w="11900" w:h="16838" w:orient="portrait"/>
          <w:cols w:equalWidth="0" w:num="1">
            <w:col w:w="11320"/>
          </w:cols>
          <w:pgMar w:left="24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Capital GP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(Jerry) Kalogiratos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Gerasimos (Jerry) Kalogiratos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of Capital GP L.L.C.</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4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40" w:type="dxa"/>
            <w:vAlign w:val="bottom"/>
            <w:gridSpan w:val="7"/>
          </w:tcPr>
          <w:p>
            <w:pPr>
              <w:spacing w:after="0"/>
              <w:rPr>
                <w:sz w:val="20"/>
                <w:szCs w:val="20"/>
                <w:color w:val="auto"/>
              </w:rPr>
            </w:pPr>
            <w:r>
              <w:rPr>
                <w:rFonts w:ascii="Arial" w:cs="Arial" w:eastAsia="Arial" w:hAnsi="Arial"/>
                <w:sz w:val="18"/>
                <w:szCs w:val="18"/>
                <w:b w:val="1"/>
                <w:bCs w:val="1"/>
                <w:color w:val="auto"/>
              </w:rPr>
              <w:t>CAPITAL PRODUCT PARTNERS L.P.</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040" w:type="dxa"/>
            <w:vAlign w:val="bottom"/>
            <w:gridSpan w:val="7"/>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w:t>
              </w:r>
            </w:hyperlink>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88"/>
              </w:rPr>
              <w:t>F-1</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8"/>
              </w:rPr>
              <w:t>F-2</w:t>
            </w: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Consolidated Balance Sheets as of December 31, 2017 and 2016</w:t>
              </w:r>
            </w:hyperlink>
          </w:p>
        </w:tc>
        <w:tc>
          <w:tcPr>
            <w:tcW w:w="6380" w:type="dxa"/>
            <w:vAlign w:val="bottom"/>
            <w:gridSpan w:val="4"/>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Comprehensive Income for the years ended December 31, 2017, 2016 and 2015</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8"/>
              </w:rPr>
              <w:t>F-4</w:t>
            </w: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Consolidated Statements of Changes in Partners’ Capital for the years ended December 31, 2017, 2016 and 2015</w:t>
              </w:r>
            </w:hyperlink>
          </w:p>
        </w:tc>
        <w:tc>
          <w:tcPr>
            <w:tcW w:w="29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Cash Flows for the years ended December 31, 2017, 2016 and 2015</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F-5</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Notes to the Consolidated Financial Statements</w:t>
              </w:r>
            </w:hyperlink>
          </w:p>
        </w:tc>
        <w:tc>
          <w:tcPr>
            <w:tcW w:w="408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F-6</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Majuro, Republic of the Marshall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Capital Product Partners L.P. and subsidiaries (the “Partnership”) as of December 31, 2017 and 2016, the related consolidated statements of comprehensive income, changes in partners’ capital, and cash flows, for each of the three years in the period ended December 31, 2017, and the related notes (collectively referred to as the “financial statements”). In our opinion, the financial statements present fairly, in all material respects, the financial position of the Partnership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Partnership’s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5, 2018 expressed an unqualified opinion on the Partnership’s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63,297</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(Note 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105,457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Vessels, net (Note 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1,265,196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1,367,731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fixed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1,265,196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1,367,731</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Other non-current assets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Above market acquired charters (Note 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75,035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Deferred charges,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 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1,360,759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1,480,726</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1,466,216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1,598,605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 (Note 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50,514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9,631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 (Note 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14,234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Accrued liabilities (Note 9)</w:t>
            </w:r>
          </w:p>
        </w:tc>
        <w:tc>
          <w:tcPr>
            <w:tcW w:w="2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15,111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(Note 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tcPr>
          <w:p>
            <w:pPr>
              <w:spacing w:after="0" w:line="201" w:lineRule="exact"/>
              <w:rPr>
                <w:sz w:val="20"/>
                <w:szCs w:val="20"/>
                <w:color w:val="auto"/>
              </w:rPr>
            </w:pPr>
            <w:r>
              <w:rPr>
                <w:rFonts w:ascii="Arial" w:cs="Arial" w:eastAsia="Arial" w:hAnsi="Arial"/>
                <w:sz w:val="18"/>
                <w:szCs w:val="18"/>
                <w:color w:val="auto"/>
              </w:rPr>
              <w:t>Liability associated with vessel</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320" w:type="dxa"/>
            <w:vAlign w:val="bottom"/>
            <w:gridSpan w:val="2"/>
          </w:tcPr>
          <w:p>
            <w:pPr>
              <w:spacing w:after="0"/>
              <w:rPr>
                <w:sz w:val="20"/>
                <w:szCs w:val="20"/>
                <w:color w:val="auto"/>
              </w:rPr>
            </w:pPr>
            <w:r>
              <w:rPr>
                <w:rFonts w:ascii="Arial" w:cs="Arial" w:eastAsia="Arial" w:hAnsi="Arial"/>
                <w:sz w:val="18"/>
                <w:szCs w:val="18"/>
                <w:color w:val="auto"/>
              </w:rPr>
              <w:t>held for sale (Notes 5, 7)</w:t>
            </w:r>
          </w:p>
        </w:tc>
        <w:tc>
          <w:tcPr>
            <w:tcW w:w="26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14,781</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123,071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92,196</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(Note 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403,820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409,740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578,652</w:t>
            </w: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532,811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670,848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tcPr>
          <w:p>
            <w:pPr>
              <w:spacing w:after="0" w:line="201" w:lineRule="exact"/>
              <w:rPr>
                <w:sz w:val="20"/>
                <w:szCs w:val="20"/>
                <w:color w:val="auto"/>
              </w:rPr>
            </w:pPr>
            <w:r>
              <w:rPr>
                <w:rFonts w:ascii="Arial" w:cs="Arial" w:eastAsia="Arial" w:hAnsi="Arial"/>
                <w:sz w:val="18"/>
                <w:szCs w:val="18"/>
                <w:color w:val="auto"/>
                <w:w w:val="98"/>
              </w:rPr>
              <w:t>Limited Partners - Common (127,246,692 and 122,094,633 units issued and outstanding at December 31,</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2017 and 2016, respectively)</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806,472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800,566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Limited Partners - Preferred (12,983,333 Class B units issued and outstanding at December 31, 2017 and</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110,506</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110,506</w:t>
            </w: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partners’ capital</w:t>
            </w: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933,405</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927,757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1,466,216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1,598,605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 and net income per unit)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For the years ended December 31,</w:t>
            </w:r>
          </w:p>
        </w:tc>
        <w:tc>
          <w:tcPr>
            <w:tcW w:w="100" w:type="dxa"/>
            <w:vAlign w:val="bottom"/>
          </w:tcPr>
          <w:p>
            <w:pPr>
              <w:spacing w:after="0"/>
              <w:rPr>
                <w:sz w:val="14"/>
                <w:szCs w:val="14"/>
                <w:color w:val="auto"/>
              </w:rPr>
            </w:pPr>
          </w:p>
        </w:tc>
        <w:tc>
          <w:tcPr>
            <w:tcW w:w="9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204,462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205,594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Revenues – related party (Note 4)</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44,653</w:t>
            </w: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36,026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b w:val="1"/>
                <w:bCs w:val="1"/>
                <w:color w:val="auto"/>
              </w:rPr>
              <w:t>249,115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241,620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220,344</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(Note 10)</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15,165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Voyage expenses - related party (Notes 4, 10)</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(Note 10)</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74,516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66,637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Vessel operating expenses - related party (Notes 4, 10)</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11,629</w:t>
            </w: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 (Note 4)</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Vessel depreciation and amortization (Note 5)</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73,993</w:t>
            </w: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71,897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vessel (Notes 5, 8)</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64,296</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75,687</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 (expense),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Interest expense and finance cost (Note 7)</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68"/>
              <w:spacing w:after="0"/>
              <w:rPr>
                <w:sz w:val="20"/>
                <w:szCs w:val="20"/>
                <w:color w:val="auto"/>
              </w:rPr>
            </w:pPr>
            <w:r>
              <w:rPr>
                <w:rFonts w:ascii="Arial" w:cs="Arial" w:eastAsia="Arial" w:hAnsi="Arial"/>
                <w:sz w:val="18"/>
                <w:szCs w:val="18"/>
                <w:color w:val="auto"/>
              </w:rPr>
              <w:t>(26,605)</w:t>
            </w: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(24,302)</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 net</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(25,813)</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(23,198)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income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b w:val="1"/>
                <w:bCs w:val="1"/>
                <w:color w:val="auto"/>
              </w:rPr>
              <w:t>38,483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52,489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55,410</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Common unit holders’ interest in Partnership’s net income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26,860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40,570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(Note 14):</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Common unit, basic and diluted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Common units, basic and diluted</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123,845,345</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119,803,329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115,030,879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Partnership’s comprehensive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b w:val="1"/>
                <w:bCs w:val="1"/>
                <w:color w:val="auto"/>
              </w:rPr>
              <w:t>38,483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52,489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14"/>
                <w:szCs w:val="14"/>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2"/>
              </w:rPr>
              <w:t>Unitholders</w:t>
            </w: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Unitholders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6"/>
              </w:rPr>
              <w:t>$</w:t>
            </w:r>
            <w:r>
              <w:rPr>
                <w:rFonts w:ascii="Arial" w:cs="Arial" w:eastAsia="Arial" w:hAnsi="Arial"/>
                <w:sz w:val="18"/>
                <w:szCs w:val="18"/>
                <w:b w:val="1"/>
                <w:bCs w:val="1"/>
                <w:color w:val="auto"/>
                <w:w w:val="76"/>
              </w:rPr>
              <w:t>15,602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$ 735,547</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$ 121,412</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$ 872,561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gridSpan w:val="2"/>
          </w:tcPr>
          <w:p>
            <w:pPr>
              <w:spacing w:after="0"/>
              <w:rPr>
                <w:sz w:val="20"/>
                <w:szCs w:val="20"/>
                <w:color w:val="auto"/>
              </w:rPr>
            </w:pPr>
            <w:r>
              <w:rPr>
                <w:rFonts w:ascii="Arial" w:cs="Arial" w:eastAsia="Arial" w:hAnsi="Arial"/>
                <w:sz w:val="18"/>
                <w:szCs w:val="18"/>
                <w:color w:val="auto"/>
                <w:w w:val="97"/>
              </w:rPr>
              <w:t>Distributions declared and paid (distributions of $0.94 per common and $0.87 per preferred</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unit) (Note 12)</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(2,225)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5"/>
          </w:tcPr>
          <w:p>
            <w:pPr>
              <w:jc w:val="right"/>
              <w:ind w:right="300"/>
              <w:spacing w:after="0"/>
              <w:rPr>
                <w:sz w:val="20"/>
                <w:szCs w:val="20"/>
                <w:color w:val="auto"/>
              </w:rPr>
            </w:pPr>
            <w:r>
              <w:rPr>
                <w:rFonts w:ascii="Arial" w:cs="Arial" w:eastAsia="Arial" w:hAnsi="Arial"/>
                <w:sz w:val="18"/>
                <w:szCs w:val="18"/>
                <w:color w:val="auto"/>
              </w:rPr>
              <w:t>(109,027)</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(11,521)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43,197</w:t>
            </w: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540" w:type="dxa"/>
            <w:vAlign w:val="bottom"/>
          </w:tcPr>
          <w:p>
            <w:pPr>
              <w:spacing w:after="0"/>
              <w:rPr>
                <w:sz w:val="18"/>
                <w:szCs w:val="18"/>
                <w:color w:val="auto"/>
              </w:rPr>
            </w:pPr>
          </w:p>
        </w:tc>
        <w:tc>
          <w:tcPr>
            <w:tcW w:w="76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132,588</w:t>
            </w:r>
          </w:p>
        </w:tc>
        <w:tc>
          <w:tcPr>
            <w:tcW w:w="3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5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32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Conversion of Partnership’s units (Note 12)</w:t>
            </w:r>
          </w:p>
        </w:tc>
        <w:tc>
          <w:tcPr>
            <w:tcW w:w="5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2,742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7,900</w:t>
            </w:r>
          </w:p>
        </w:tc>
        <w:tc>
          <w:tcPr>
            <w:tcW w:w="32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(10,642)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16,998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$ 810,239</w:t>
            </w: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$ 110,583</w:t>
            </w: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$ 937,820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4"/>
          </w:tcPr>
          <w:p>
            <w:pPr>
              <w:ind w:left="40"/>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Unitholders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16,998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$ 810,239</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$ 110,583</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937,820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gridSpan w:val="2"/>
          </w:tcPr>
          <w:p>
            <w:pPr>
              <w:spacing w:after="0"/>
              <w:rPr>
                <w:sz w:val="20"/>
                <w:szCs w:val="20"/>
                <w:color w:val="auto"/>
              </w:rPr>
            </w:pPr>
            <w:r>
              <w:rPr>
                <w:rFonts w:ascii="Arial" w:cs="Arial" w:eastAsia="Arial" w:hAnsi="Arial"/>
                <w:sz w:val="18"/>
                <w:szCs w:val="18"/>
                <w:color w:val="auto"/>
                <w:w w:val="97"/>
              </w:rPr>
              <w:t>Distributions declared and paid (distributions of $0.46 per common and $0.86 per preferred</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unit) (Note 12)</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(1,131)</w:t>
            </w:r>
          </w:p>
        </w:tc>
        <w:tc>
          <w:tcPr>
            <w:tcW w:w="1200" w:type="dxa"/>
            <w:vAlign w:val="bottom"/>
            <w:gridSpan w:val="5"/>
          </w:tcPr>
          <w:p>
            <w:pPr>
              <w:jc w:val="right"/>
              <w:ind w:right="260"/>
              <w:spacing w:after="0"/>
              <w:rPr>
                <w:sz w:val="20"/>
                <w:szCs w:val="20"/>
                <w:color w:val="auto"/>
              </w:rPr>
            </w:pPr>
            <w:r>
              <w:rPr>
                <w:rFonts w:ascii="Arial" w:cs="Arial" w:eastAsia="Arial" w:hAnsi="Arial"/>
                <w:sz w:val="18"/>
                <w:szCs w:val="18"/>
                <w:color w:val="auto"/>
              </w:rPr>
              <w:t>(55,884)</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(11,178)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40,570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540" w:type="dxa"/>
            <w:vAlign w:val="bottom"/>
          </w:tcPr>
          <w:p>
            <w:pPr>
              <w:spacing w:after="0"/>
              <w:rPr>
                <w:sz w:val="18"/>
                <w:szCs w:val="18"/>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4,567</w:t>
            </w:r>
          </w:p>
        </w:tc>
        <w:tc>
          <w:tcPr>
            <w:tcW w:w="3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5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2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2016</w:t>
            </w:r>
          </w:p>
        </w:tc>
        <w:tc>
          <w:tcPr>
            <w:tcW w:w="5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16,685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$ 800,566</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$ 110,506</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927,757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4"/>
          </w:tcPr>
          <w:p>
            <w:pPr>
              <w:ind w:left="40"/>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Unitholders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16,685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$ 800,566</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$ 110,506</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927,757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gridSpan w:val="2"/>
          </w:tcPr>
          <w:p>
            <w:pPr>
              <w:spacing w:after="0"/>
              <w:rPr>
                <w:sz w:val="20"/>
                <w:szCs w:val="20"/>
                <w:color w:val="auto"/>
              </w:rPr>
            </w:pPr>
            <w:r>
              <w:rPr>
                <w:rFonts w:ascii="Arial" w:cs="Arial" w:eastAsia="Arial" w:hAnsi="Arial"/>
                <w:sz w:val="18"/>
                <w:szCs w:val="18"/>
                <w:color w:val="auto"/>
                <w:w w:val="97"/>
              </w:rPr>
              <w:t>Distributions declared and paid (distributions of $0.32 per common and $0.86 per preferred</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unit) (Note 12)</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(780)</w:t>
            </w:r>
          </w:p>
        </w:tc>
        <w:tc>
          <w:tcPr>
            <w:tcW w:w="1200" w:type="dxa"/>
            <w:vAlign w:val="bottom"/>
            <w:gridSpan w:val="5"/>
          </w:tcPr>
          <w:p>
            <w:pPr>
              <w:jc w:val="right"/>
              <w:ind w:right="260"/>
              <w:spacing w:after="0"/>
              <w:rPr>
                <w:sz w:val="20"/>
                <w:szCs w:val="20"/>
                <w:color w:val="auto"/>
              </w:rPr>
            </w:pPr>
            <w:r>
              <w:rPr>
                <w:rFonts w:ascii="Arial" w:cs="Arial" w:eastAsia="Arial" w:hAnsi="Arial"/>
                <w:sz w:val="18"/>
                <w:szCs w:val="18"/>
                <w:color w:val="auto"/>
              </w:rPr>
              <w:t>(39,749)</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(11,101)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26,860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540" w:type="dxa"/>
            <w:vAlign w:val="bottom"/>
          </w:tcPr>
          <w:p>
            <w:pPr>
              <w:spacing w:after="0"/>
              <w:rPr>
                <w:sz w:val="18"/>
                <w:szCs w:val="18"/>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320"/>
              <w:spacing w:after="0"/>
              <w:rPr>
                <w:sz w:val="20"/>
                <w:szCs w:val="20"/>
                <w:color w:val="auto"/>
              </w:rPr>
            </w:pPr>
            <w:r>
              <w:rPr>
                <w:rFonts w:ascii="Arial" w:cs="Arial" w:eastAsia="Arial" w:hAnsi="Arial"/>
                <w:sz w:val="18"/>
                <w:szCs w:val="18"/>
                <w:color w:val="auto"/>
              </w:rPr>
              <w:t>17,639</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5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2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5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16,427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806,472</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110,506</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38,483</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52,489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Vessel depreciation and amortization (Note 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73,993</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71,897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 off of deferred financing costs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Amortization of above market acquired charters (Note 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15,208</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14,542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Impairment of vessel (Notes 5, 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Trade accounts payable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Dry docking costs paid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126,974</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155,086</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134,209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Vessel acquisitions and improvements including time charter agreements (Notes 5, 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(90,782)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Increase in restricted cash</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(91,782)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(209,937)</w:t>
            </w: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Partnership units (Note 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Expenses paid for issuance of Partnership units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 (Note 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Payments of long-term debt (Note 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(129,262)</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(17,354)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Dividends paid (Note 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(51,630)</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(68,193)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(122,773)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 provided by financing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0"/>
              </w:rPr>
              <w:t>(168,317)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(46,816)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1,719</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(43,381)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(74,009)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106,678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90,190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164,199</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63,297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106,678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19,646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23,763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Capital expenditures included in liabilities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included in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financing costs included in liabilities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Capitalized dry docking costs included in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7"/>
              </w:rPr>
              <w:t>Assumption of loan regarding the acquisition of the shares of Filonikis Product Carrier S.A. (“Filonikis”)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(Notes 3, 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15,750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Units issued to acquire Filonikis (Note 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Capital Product Partners, L.P. was formed on January 16, 2007, under the laws of the Marshall Islands. The Partnership is an international shipping company. As of December 31, 2017, its fleet of thirty six vessels comprises four suezmax crude oil tankers, twenty-one modern medium range tankers, all of which are classed as IMO II/III chemical/product carriers, ten post-panamax container carrier vessels and one capesize bulk carrier. Its vessels are capable of carrying a wide range of cargoes, including crude oil, refined oil products, such as gasoline, diesel, fuel oil and jet fuel, edible oils and certain chemicals, such as ethanol, as well as dry cargo and containerized goods under short-term voyage charters and medium to long-term time and bareboat charters.</w:t>
      </w:r>
    </w:p>
    <w:p>
      <w:pPr>
        <w:spacing w:after="0" w:line="15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consolidated financial statements include Capital Product Partners, L.P. and the following vessel-owning companies, intermediate holding company and operating companies (collectively the “Partnership”) which were all incorporated or formed under the laws of the Marshall Islands and Liberia.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Date acquired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by Capital</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 acquired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Maritime &amp;</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Date of</w:t>
            </w:r>
          </w:p>
        </w:tc>
        <w:tc>
          <w:tcPr>
            <w:tcW w:w="19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9"/>
              </w:rPr>
              <w:t>Name of Vessel Owned by</w:t>
            </w:r>
          </w:p>
        </w:tc>
        <w:tc>
          <w:tcPr>
            <w:tcW w:w="9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Deadweight</w:t>
            </w:r>
          </w:p>
        </w:tc>
        <w:tc>
          <w:tcPr>
            <w:tcW w:w="106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Trading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by the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1340" w:type="dxa"/>
            <w:vAlign w:val="bottom"/>
          </w:tcPr>
          <w:p>
            <w:pPr>
              <w:jc w:val="right"/>
              <w:ind w:right="11"/>
              <w:spacing w:after="0"/>
              <w:rPr>
                <w:sz w:val="20"/>
                <w:szCs w:val="20"/>
                <w:color w:val="auto"/>
              </w:rPr>
            </w:pPr>
            <w:r>
              <w:rPr>
                <w:rFonts w:ascii="Arial" w:cs="Arial" w:eastAsia="Arial" w:hAnsi="Arial"/>
                <w:sz w:val="14"/>
                <w:szCs w:val="14"/>
                <w:b w:val="1"/>
                <w:bCs w:val="1"/>
                <w:color w:val="auto"/>
              </w:rPr>
              <w:t>Incorporation</w:t>
            </w:r>
          </w:p>
        </w:tc>
        <w:tc>
          <w:tcPr>
            <w:tcW w:w="1980" w:type="dxa"/>
            <w:vAlign w:val="bottom"/>
          </w:tcPr>
          <w:p>
            <w:pPr>
              <w:ind w:left="680"/>
              <w:spacing w:after="0"/>
              <w:rPr>
                <w:sz w:val="20"/>
                <w:szCs w:val="20"/>
                <w:color w:val="auto"/>
              </w:rPr>
            </w:pPr>
            <w:r>
              <w:rPr>
                <w:rFonts w:ascii="Arial" w:cs="Arial" w:eastAsia="Arial" w:hAnsi="Arial"/>
                <w:sz w:val="14"/>
                <w:szCs w:val="14"/>
                <w:b w:val="1"/>
                <w:bCs w:val="1"/>
                <w:color w:val="auto"/>
              </w:rPr>
              <w:t>Subsidiary</w:t>
            </w:r>
          </w:p>
        </w:tc>
        <w:tc>
          <w:tcPr>
            <w:tcW w:w="920" w:type="dxa"/>
            <w:vAlign w:val="bottom"/>
          </w:tcPr>
          <w:p>
            <w:pPr>
              <w:jc w:val="right"/>
              <w:ind w:right="131"/>
              <w:spacing w:after="0"/>
              <w:rPr>
                <w:sz w:val="20"/>
                <w:szCs w:val="20"/>
                <w:color w:val="auto"/>
              </w:rPr>
            </w:pPr>
            <w:r>
              <w:rPr>
                <w:rFonts w:ascii="Arial" w:cs="Arial" w:eastAsia="Arial" w:hAnsi="Arial"/>
                <w:sz w:val="14"/>
                <w:szCs w:val="14"/>
                <w:b w:val="1"/>
                <w:bCs w:val="1"/>
                <w:color w:val="auto"/>
              </w:rPr>
              <w:t>“DWT”</w:t>
            </w: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Partnership</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(“CMTC”)</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Capital Product Operating LLC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01/16/2007</w:t>
            </w:r>
          </w:p>
        </w:tc>
        <w:tc>
          <w:tcPr>
            <w:tcW w:w="1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Crude Carriers Corp.</w:t>
            </w:r>
          </w:p>
        </w:tc>
        <w:tc>
          <w:tcPr>
            <w:tcW w:w="1340" w:type="dxa"/>
            <w:vAlign w:val="bottom"/>
          </w:tcPr>
          <w:p>
            <w:pPr>
              <w:jc w:val="right"/>
              <w:spacing w:after="0"/>
              <w:rPr>
                <w:sz w:val="20"/>
                <w:szCs w:val="20"/>
                <w:color w:val="auto"/>
              </w:rPr>
            </w:pPr>
            <w:r>
              <w:rPr>
                <w:rFonts w:ascii="Arial" w:cs="Arial" w:eastAsia="Arial" w:hAnsi="Arial"/>
                <w:sz w:val="18"/>
                <w:szCs w:val="18"/>
                <w:color w:val="auto"/>
              </w:rPr>
              <w:t>10/29/2009</w:t>
            </w:r>
          </w:p>
        </w:tc>
        <w:tc>
          <w:tcPr>
            <w:tcW w:w="1980" w:type="dxa"/>
            <w:vAlign w:val="bottom"/>
          </w:tcPr>
          <w:p>
            <w:pPr>
              <w:ind w:left="8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w w:val="97"/>
              </w:rPr>
              <w:t>09/30/2011</w:t>
            </w: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Crude Carriers Operating Corp.</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01/21/2010</w:t>
            </w:r>
          </w:p>
        </w:tc>
        <w:tc>
          <w:tcPr>
            <w:tcW w:w="1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09/30/2011</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Shipping Rider Co.</w:t>
            </w:r>
          </w:p>
        </w:tc>
        <w:tc>
          <w:tcPr>
            <w:tcW w:w="1340" w:type="dxa"/>
            <w:vAlign w:val="bottom"/>
          </w:tcPr>
          <w:p>
            <w:pPr>
              <w:jc w:val="right"/>
              <w:spacing w:after="0"/>
              <w:rPr>
                <w:sz w:val="20"/>
                <w:szCs w:val="20"/>
                <w:color w:val="auto"/>
              </w:rPr>
            </w:pPr>
            <w:r>
              <w:rPr>
                <w:rFonts w:ascii="Arial" w:cs="Arial" w:eastAsia="Arial" w:hAnsi="Arial"/>
                <w:sz w:val="18"/>
                <w:szCs w:val="18"/>
                <w:color w:val="auto"/>
              </w:rPr>
              <w:t>09/16/2003</w:t>
            </w:r>
          </w:p>
        </w:tc>
        <w:tc>
          <w:tcPr>
            <w:tcW w:w="1980" w:type="dxa"/>
            <w:vAlign w:val="bottom"/>
          </w:tcPr>
          <w:p>
            <w:pPr>
              <w:ind w:left="80"/>
              <w:spacing w:after="0"/>
              <w:rPr>
                <w:sz w:val="20"/>
                <w:szCs w:val="20"/>
                <w:color w:val="auto"/>
              </w:rPr>
            </w:pPr>
            <w:r>
              <w:rPr>
                <w:rFonts w:ascii="Arial" w:cs="Arial" w:eastAsia="Arial" w:hAnsi="Arial"/>
                <w:sz w:val="18"/>
                <w:szCs w:val="18"/>
                <w:color w:val="auto"/>
              </w:rPr>
              <w:t>M/T Atlantas II</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36,760</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04/04/2007</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04/26/2006</w:t>
            </w: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Canvey Shipmanagement Co.</w:t>
            </w: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03/18/2004</w:t>
            </w:r>
          </w:p>
        </w:tc>
        <w:tc>
          <w:tcPr>
            <w:tcW w:w="19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M/T Assos</w:t>
            </w:r>
          </w:p>
        </w:tc>
        <w:tc>
          <w:tcPr>
            <w:tcW w:w="92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47,872</w:t>
            </w:r>
          </w:p>
        </w:tc>
        <w:tc>
          <w:tcPr>
            <w:tcW w:w="10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08/16/2010</w:t>
            </w: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05/17/2006</w:t>
            </w:r>
          </w:p>
        </w:tc>
        <w:tc>
          <w:tcPr>
            <w:tcW w:w="0" w:type="dxa"/>
            <w:vAlign w:val="bottom"/>
          </w:tcPr>
          <w:p>
            <w:pPr>
              <w:spacing w:after="0"/>
              <w:rPr>
                <w:sz w:val="1"/>
                <w:szCs w:val="1"/>
                <w:color w:val="auto"/>
              </w:rPr>
            </w:pPr>
          </w:p>
        </w:tc>
      </w:tr>
      <w:tr>
        <w:trPr>
          <w:trHeight w:val="244"/>
        </w:trPr>
        <w:tc>
          <w:tcPr>
            <w:tcW w:w="5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04/04/2007</w:t>
            </w: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Centurion Navigation Limited</w:t>
            </w: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08/27/2003</w:t>
            </w:r>
          </w:p>
        </w:tc>
        <w:tc>
          <w:tcPr>
            <w:tcW w:w="1980" w:type="dxa"/>
            <w:vAlign w:val="bottom"/>
          </w:tcPr>
          <w:p>
            <w:pPr>
              <w:ind w:left="80"/>
              <w:spacing w:after="0" w:line="201" w:lineRule="exact"/>
              <w:rPr>
                <w:sz w:val="20"/>
                <w:szCs w:val="20"/>
                <w:color w:val="auto"/>
              </w:rPr>
            </w:pPr>
            <w:r>
              <w:rPr>
                <w:rFonts w:ascii="Arial" w:cs="Arial" w:eastAsia="Arial" w:hAnsi="Arial"/>
                <w:sz w:val="18"/>
                <w:szCs w:val="18"/>
                <w:color w:val="auto"/>
              </w:rPr>
              <w:t>M/T Aktoras</w:t>
            </w:r>
          </w:p>
        </w:tc>
        <w:tc>
          <w:tcPr>
            <w:tcW w:w="9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36,759</w:t>
            </w:r>
          </w:p>
        </w:tc>
        <w:tc>
          <w:tcPr>
            <w:tcW w:w="1060" w:type="dxa"/>
            <w:vAlign w:val="bottom"/>
          </w:tcPr>
          <w:p>
            <w:pPr>
              <w:ind w:left="140"/>
              <w:spacing w:after="0" w:line="201" w:lineRule="exact"/>
              <w:rPr>
                <w:sz w:val="20"/>
                <w:szCs w:val="20"/>
                <w:color w:val="auto"/>
              </w:rPr>
            </w:pPr>
            <w:r>
              <w:rPr>
                <w:rFonts w:ascii="Arial" w:cs="Arial" w:eastAsia="Arial" w:hAnsi="Arial"/>
                <w:sz w:val="18"/>
                <w:szCs w:val="18"/>
                <w:color w:val="auto"/>
                <w:w w:val="99"/>
              </w:rPr>
              <w:t>04/04/2007</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07/12/2006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tcPr>
          <w:p>
            <w:pPr>
              <w:ind w:left="80"/>
              <w:spacing w:after="0"/>
              <w:rPr>
                <w:sz w:val="20"/>
                <w:szCs w:val="20"/>
                <w:color w:val="auto"/>
              </w:rPr>
            </w:pPr>
            <w:r>
              <w:rPr>
                <w:rFonts w:ascii="Arial" w:cs="Arial" w:eastAsia="Arial" w:hAnsi="Arial"/>
                <w:sz w:val="18"/>
                <w:szCs w:val="18"/>
                <w:color w:val="auto"/>
              </w:rPr>
              <w:t>(M/T British Envoy)</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Polarwind Maritime S.A.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10/10/2003</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Agisilaos</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36,760</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04/04/2007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08/16/2006</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Carnation Shipping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11/10/2003</w:t>
            </w:r>
          </w:p>
        </w:tc>
        <w:tc>
          <w:tcPr>
            <w:tcW w:w="1980" w:type="dxa"/>
            <w:vAlign w:val="bottom"/>
          </w:tcPr>
          <w:p>
            <w:pPr>
              <w:ind w:left="80"/>
              <w:spacing w:after="0"/>
              <w:rPr>
                <w:sz w:val="20"/>
                <w:szCs w:val="20"/>
                <w:color w:val="auto"/>
              </w:rPr>
            </w:pPr>
            <w:r>
              <w:rPr>
                <w:rFonts w:ascii="Arial" w:cs="Arial" w:eastAsia="Arial" w:hAnsi="Arial"/>
                <w:sz w:val="18"/>
                <w:szCs w:val="18"/>
                <w:color w:val="auto"/>
              </w:rPr>
              <w:t>M/T Arionas</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36,725</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04/04/2007</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11/02/2006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Apollonas Shipping Company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02/10/2004</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Avax</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47,834</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04/04/2007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01/12/2007</w:t>
            </w:r>
          </w:p>
        </w:tc>
        <w:tc>
          <w:tcPr>
            <w:tcW w:w="0" w:type="dxa"/>
            <w:vAlign w:val="bottom"/>
          </w:tcPr>
          <w:p>
            <w:pPr>
              <w:spacing w:after="0"/>
              <w:rPr>
                <w:sz w:val="1"/>
                <w:szCs w:val="1"/>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Tempest Maritime Inc.</w:t>
            </w: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09/12/2003</w:t>
            </w:r>
          </w:p>
        </w:tc>
        <w:tc>
          <w:tcPr>
            <w:tcW w:w="1980" w:type="dxa"/>
            <w:vAlign w:val="bottom"/>
          </w:tcPr>
          <w:p>
            <w:pPr>
              <w:ind w:left="80"/>
              <w:spacing w:after="0" w:line="201" w:lineRule="exact"/>
              <w:rPr>
                <w:sz w:val="20"/>
                <w:szCs w:val="20"/>
                <w:color w:val="auto"/>
              </w:rPr>
            </w:pPr>
            <w:r>
              <w:rPr>
                <w:rFonts w:ascii="Arial" w:cs="Arial" w:eastAsia="Arial" w:hAnsi="Arial"/>
                <w:sz w:val="18"/>
                <w:szCs w:val="18"/>
                <w:color w:val="auto"/>
              </w:rPr>
              <w:t>M/T Aiolos</w:t>
            </w:r>
          </w:p>
        </w:tc>
        <w:tc>
          <w:tcPr>
            <w:tcW w:w="9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36,725</w:t>
            </w:r>
          </w:p>
        </w:tc>
        <w:tc>
          <w:tcPr>
            <w:tcW w:w="1060" w:type="dxa"/>
            <w:vAlign w:val="bottom"/>
          </w:tcPr>
          <w:p>
            <w:pPr>
              <w:ind w:left="140"/>
              <w:spacing w:after="0" w:line="201" w:lineRule="exact"/>
              <w:rPr>
                <w:sz w:val="20"/>
                <w:szCs w:val="20"/>
                <w:color w:val="auto"/>
              </w:rPr>
            </w:pPr>
            <w:r>
              <w:rPr>
                <w:rFonts w:ascii="Arial" w:cs="Arial" w:eastAsia="Arial" w:hAnsi="Arial"/>
                <w:sz w:val="18"/>
                <w:szCs w:val="18"/>
                <w:color w:val="auto"/>
                <w:w w:val="99"/>
              </w:rPr>
              <w:t>04/04/2007</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03/02/2007</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tcPr>
          <w:p>
            <w:pPr>
              <w:ind w:left="80"/>
              <w:spacing w:after="0"/>
              <w:rPr>
                <w:sz w:val="20"/>
                <w:szCs w:val="20"/>
                <w:color w:val="auto"/>
              </w:rPr>
            </w:pPr>
            <w:r>
              <w:rPr>
                <w:rFonts w:ascii="Arial" w:cs="Arial" w:eastAsia="Arial" w:hAnsi="Arial"/>
                <w:sz w:val="18"/>
                <w:szCs w:val="18"/>
                <w:color w:val="auto"/>
              </w:rPr>
              <w:t>(M/T British Emissary)</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Iraklitos Shipping Company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02/10/2004</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Axios</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47,872</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04/04/2007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02/28/2007</w:t>
            </w:r>
          </w:p>
        </w:tc>
        <w:tc>
          <w:tcPr>
            <w:tcW w:w="0" w:type="dxa"/>
            <w:vAlign w:val="bottom"/>
          </w:tcPr>
          <w:p>
            <w:pPr>
              <w:spacing w:after="0"/>
              <w:rPr>
                <w:sz w:val="1"/>
                <w:szCs w:val="1"/>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Epicurus Shipping Company</w:t>
            </w: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02/11/2004</w:t>
            </w:r>
          </w:p>
        </w:tc>
        <w:tc>
          <w:tcPr>
            <w:tcW w:w="1980" w:type="dxa"/>
            <w:vAlign w:val="bottom"/>
          </w:tcPr>
          <w:p>
            <w:pPr>
              <w:ind w:left="80"/>
              <w:spacing w:after="0" w:line="201" w:lineRule="exact"/>
              <w:rPr>
                <w:sz w:val="20"/>
                <w:szCs w:val="20"/>
                <w:color w:val="auto"/>
              </w:rPr>
            </w:pPr>
            <w:r>
              <w:rPr>
                <w:rFonts w:ascii="Arial" w:cs="Arial" w:eastAsia="Arial" w:hAnsi="Arial"/>
                <w:sz w:val="18"/>
                <w:szCs w:val="18"/>
                <w:color w:val="auto"/>
              </w:rPr>
              <w:t>M/T Atrotos</w:t>
            </w:r>
          </w:p>
        </w:tc>
        <w:tc>
          <w:tcPr>
            <w:tcW w:w="9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47,786</w:t>
            </w:r>
          </w:p>
        </w:tc>
        <w:tc>
          <w:tcPr>
            <w:tcW w:w="1060" w:type="dxa"/>
            <w:vAlign w:val="bottom"/>
          </w:tcPr>
          <w:p>
            <w:pPr>
              <w:ind w:left="140"/>
              <w:spacing w:after="0" w:line="201" w:lineRule="exact"/>
              <w:rPr>
                <w:sz w:val="20"/>
                <w:szCs w:val="20"/>
                <w:color w:val="auto"/>
              </w:rPr>
            </w:pPr>
            <w:r>
              <w:rPr>
                <w:rFonts w:ascii="Arial" w:cs="Arial" w:eastAsia="Arial" w:hAnsi="Arial"/>
                <w:sz w:val="18"/>
                <w:szCs w:val="18"/>
                <w:color w:val="auto"/>
                <w:w w:val="99"/>
              </w:rPr>
              <w:t>03/01/2010</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05/08/2007</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05/08/2007</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Laredo Maritime Inc.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02/03/2004</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Akeraios</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47,781</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07/13/2007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07/13/2007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Lorenzo Shipmanagement Inc.</w:t>
            </w:r>
          </w:p>
        </w:tc>
        <w:tc>
          <w:tcPr>
            <w:tcW w:w="1340" w:type="dxa"/>
            <w:vAlign w:val="bottom"/>
          </w:tcPr>
          <w:p>
            <w:pPr>
              <w:jc w:val="right"/>
              <w:spacing w:after="0"/>
              <w:rPr>
                <w:sz w:val="20"/>
                <w:szCs w:val="20"/>
                <w:color w:val="auto"/>
              </w:rPr>
            </w:pPr>
            <w:r>
              <w:rPr>
                <w:rFonts w:ascii="Arial" w:cs="Arial" w:eastAsia="Arial" w:hAnsi="Arial"/>
                <w:sz w:val="18"/>
                <w:szCs w:val="18"/>
                <w:color w:val="auto"/>
              </w:rPr>
              <w:t>05/26/2004</w:t>
            </w:r>
          </w:p>
        </w:tc>
        <w:tc>
          <w:tcPr>
            <w:tcW w:w="1980" w:type="dxa"/>
            <w:vAlign w:val="bottom"/>
          </w:tcPr>
          <w:p>
            <w:pPr>
              <w:ind w:left="80"/>
              <w:spacing w:after="0"/>
              <w:rPr>
                <w:sz w:val="20"/>
                <w:szCs w:val="20"/>
                <w:color w:val="auto"/>
              </w:rPr>
            </w:pPr>
            <w:r>
              <w:rPr>
                <w:rFonts w:ascii="Arial" w:cs="Arial" w:eastAsia="Arial" w:hAnsi="Arial"/>
                <w:sz w:val="18"/>
                <w:szCs w:val="18"/>
                <w:color w:val="auto"/>
              </w:rPr>
              <w:t>M/T Apostolos</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47,782</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09/20/2007</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09/20/2007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Splendor Shipholding S.A.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07/08/2004</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Anemos I</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47,782</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09/28/2007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09/28/2007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Ross Shipmanagement Co.</w:t>
            </w:r>
          </w:p>
        </w:tc>
        <w:tc>
          <w:tcPr>
            <w:tcW w:w="1340" w:type="dxa"/>
            <w:vAlign w:val="bottom"/>
          </w:tcPr>
          <w:p>
            <w:pPr>
              <w:jc w:val="right"/>
              <w:spacing w:after="0"/>
              <w:rPr>
                <w:sz w:val="20"/>
                <w:szCs w:val="20"/>
                <w:color w:val="auto"/>
              </w:rPr>
            </w:pPr>
            <w:r>
              <w:rPr>
                <w:rFonts w:ascii="Arial" w:cs="Arial" w:eastAsia="Arial" w:hAnsi="Arial"/>
                <w:sz w:val="18"/>
                <w:szCs w:val="18"/>
                <w:color w:val="auto"/>
              </w:rPr>
              <w:t>12/29/2003</w:t>
            </w:r>
          </w:p>
        </w:tc>
        <w:tc>
          <w:tcPr>
            <w:tcW w:w="1980" w:type="dxa"/>
            <w:vAlign w:val="bottom"/>
          </w:tcPr>
          <w:p>
            <w:pPr>
              <w:ind w:left="80"/>
              <w:spacing w:after="0"/>
              <w:rPr>
                <w:sz w:val="20"/>
                <w:szCs w:val="20"/>
                <w:color w:val="auto"/>
              </w:rPr>
            </w:pPr>
            <w:r>
              <w:rPr>
                <w:rFonts w:ascii="Arial" w:cs="Arial" w:eastAsia="Arial" w:hAnsi="Arial"/>
                <w:sz w:val="18"/>
                <w:szCs w:val="18"/>
                <w:color w:val="auto"/>
              </w:rPr>
              <w:t>M/T Attikos</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12,000</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09/24/2007</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01/20/2005</w:t>
            </w: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Sorrel Shipmanagement Inc.</w:t>
            </w: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02/07/2006</w:t>
            </w:r>
          </w:p>
        </w:tc>
        <w:tc>
          <w:tcPr>
            <w:tcW w:w="19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M/T Alexandros II</w:t>
            </w:r>
          </w:p>
        </w:tc>
        <w:tc>
          <w:tcPr>
            <w:tcW w:w="92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51,258</w:t>
            </w:r>
          </w:p>
        </w:tc>
        <w:tc>
          <w:tcPr>
            <w:tcW w:w="10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01/29/2008</w:t>
            </w: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01/29/2008</w:t>
            </w:r>
          </w:p>
        </w:tc>
        <w:tc>
          <w:tcPr>
            <w:tcW w:w="0" w:type="dxa"/>
            <w:vAlign w:val="bottom"/>
          </w:tcPr>
          <w:p>
            <w:pPr>
              <w:spacing w:after="0"/>
              <w:rPr>
                <w:sz w:val="1"/>
                <w:szCs w:val="1"/>
                <w:color w:val="auto"/>
              </w:rPr>
            </w:pPr>
          </w:p>
        </w:tc>
      </w:tr>
      <w:tr>
        <w:trPr>
          <w:trHeight w:val="244"/>
        </w:trPr>
        <w:tc>
          <w:tcPr>
            <w:tcW w:w="5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Overseas Serifos)</w:t>
            </w: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Baymont Enterprises Incorporated</w:t>
            </w:r>
          </w:p>
        </w:tc>
        <w:tc>
          <w:tcPr>
            <w:tcW w:w="1340" w:type="dxa"/>
            <w:vAlign w:val="bottom"/>
          </w:tcPr>
          <w:p>
            <w:pPr>
              <w:jc w:val="right"/>
              <w:spacing w:after="0"/>
              <w:rPr>
                <w:sz w:val="20"/>
                <w:szCs w:val="20"/>
                <w:color w:val="auto"/>
              </w:rPr>
            </w:pPr>
            <w:r>
              <w:rPr>
                <w:rFonts w:ascii="Arial" w:cs="Arial" w:eastAsia="Arial" w:hAnsi="Arial"/>
                <w:sz w:val="18"/>
                <w:szCs w:val="18"/>
                <w:color w:val="auto"/>
              </w:rPr>
              <w:t>05/29/2007</w:t>
            </w:r>
          </w:p>
        </w:tc>
        <w:tc>
          <w:tcPr>
            <w:tcW w:w="1980" w:type="dxa"/>
            <w:vAlign w:val="bottom"/>
          </w:tcPr>
          <w:p>
            <w:pPr>
              <w:ind w:left="80"/>
              <w:spacing w:after="0"/>
              <w:rPr>
                <w:sz w:val="20"/>
                <w:szCs w:val="20"/>
                <w:color w:val="auto"/>
              </w:rPr>
            </w:pPr>
            <w:r>
              <w:rPr>
                <w:rFonts w:ascii="Arial" w:cs="Arial" w:eastAsia="Arial" w:hAnsi="Arial"/>
                <w:sz w:val="18"/>
                <w:szCs w:val="18"/>
                <w:color w:val="auto"/>
              </w:rPr>
              <w:t>M/T Amore Mio II</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159,982</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03/27/2008</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07/31/2007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Forbes Maritime Co.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02/03/2004</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Aristofanis</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12,000</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04/30/2008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06/02/2005</w:t>
            </w:r>
          </w:p>
        </w:tc>
        <w:tc>
          <w:tcPr>
            <w:tcW w:w="0" w:type="dxa"/>
            <w:vAlign w:val="bottom"/>
          </w:tcPr>
          <w:p>
            <w:pPr>
              <w:spacing w:after="0"/>
              <w:rPr>
                <w:sz w:val="1"/>
                <w:szCs w:val="1"/>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Wind Dancer Shipping Inc.</w:t>
            </w: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02/07/2006</w:t>
            </w:r>
          </w:p>
        </w:tc>
        <w:tc>
          <w:tcPr>
            <w:tcW w:w="1980" w:type="dxa"/>
            <w:vAlign w:val="bottom"/>
          </w:tcPr>
          <w:p>
            <w:pPr>
              <w:ind w:left="80"/>
              <w:spacing w:after="0" w:line="201" w:lineRule="exact"/>
              <w:rPr>
                <w:sz w:val="20"/>
                <w:szCs w:val="20"/>
                <w:color w:val="auto"/>
              </w:rPr>
            </w:pPr>
            <w:r>
              <w:rPr>
                <w:rFonts w:ascii="Arial" w:cs="Arial" w:eastAsia="Arial" w:hAnsi="Arial"/>
                <w:sz w:val="18"/>
                <w:szCs w:val="18"/>
                <w:color w:val="auto"/>
              </w:rPr>
              <w:t>M/T Aristotelis II</w:t>
            </w:r>
          </w:p>
        </w:tc>
        <w:tc>
          <w:tcPr>
            <w:tcW w:w="9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51,226</w:t>
            </w:r>
          </w:p>
        </w:tc>
        <w:tc>
          <w:tcPr>
            <w:tcW w:w="1060" w:type="dxa"/>
            <w:vAlign w:val="bottom"/>
          </w:tcPr>
          <w:p>
            <w:pPr>
              <w:ind w:left="140"/>
              <w:spacing w:after="0" w:line="201" w:lineRule="exact"/>
              <w:rPr>
                <w:sz w:val="20"/>
                <w:szCs w:val="20"/>
                <w:color w:val="auto"/>
              </w:rPr>
            </w:pPr>
            <w:r>
              <w:rPr>
                <w:rFonts w:ascii="Arial" w:cs="Arial" w:eastAsia="Arial" w:hAnsi="Arial"/>
                <w:sz w:val="18"/>
                <w:szCs w:val="18"/>
                <w:color w:val="auto"/>
                <w:w w:val="99"/>
              </w:rPr>
              <w:t>06/17/2008</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06/17/2008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tcPr>
          <w:p>
            <w:pPr>
              <w:ind w:left="80"/>
              <w:spacing w:after="0"/>
              <w:rPr>
                <w:sz w:val="20"/>
                <w:szCs w:val="20"/>
                <w:color w:val="auto"/>
              </w:rPr>
            </w:pPr>
            <w:r>
              <w:rPr>
                <w:rFonts w:ascii="Arial" w:cs="Arial" w:eastAsia="Arial" w:hAnsi="Arial"/>
                <w:sz w:val="18"/>
                <w:szCs w:val="18"/>
                <w:color w:val="auto"/>
              </w:rPr>
              <w:t>(M/T Overseas Sifnos)</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Belerion Maritime Co.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01/24/2006</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 II</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51,218</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08/20/2008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08/20/2008</w:t>
            </w:r>
          </w:p>
        </w:tc>
        <w:tc>
          <w:tcPr>
            <w:tcW w:w="0" w:type="dxa"/>
            <w:vAlign w:val="bottom"/>
          </w:tcPr>
          <w:p>
            <w:pPr>
              <w:spacing w:after="0"/>
              <w:rPr>
                <w:sz w:val="1"/>
                <w:szCs w:val="1"/>
                <w:color w:val="auto"/>
              </w:rPr>
            </w:pPr>
          </w:p>
        </w:tc>
      </w:tr>
      <w:tr>
        <w:trPr>
          <w:trHeight w:val="244"/>
        </w:trPr>
        <w:tc>
          <w:tcPr>
            <w:tcW w:w="5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(M/T Overseas Kimolos)</w:t>
            </w: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Mango Finance Corp.</w:t>
            </w:r>
          </w:p>
        </w:tc>
        <w:tc>
          <w:tcPr>
            <w:tcW w:w="1340" w:type="dxa"/>
            <w:vAlign w:val="bottom"/>
          </w:tcPr>
          <w:p>
            <w:pPr>
              <w:jc w:val="right"/>
              <w:spacing w:after="0"/>
              <w:rPr>
                <w:sz w:val="20"/>
                <w:szCs w:val="20"/>
                <w:color w:val="auto"/>
              </w:rPr>
            </w:pPr>
            <w:r>
              <w:rPr>
                <w:rFonts w:ascii="Arial" w:cs="Arial" w:eastAsia="Arial" w:hAnsi="Arial"/>
                <w:sz w:val="18"/>
                <w:szCs w:val="18"/>
                <w:color w:val="auto"/>
              </w:rPr>
              <w:t>07/14/2006</w:t>
            </w:r>
          </w:p>
        </w:tc>
        <w:tc>
          <w:tcPr>
            <w:tcW w:w="1980" w:type="dxa"/>
            <w:vAlign w:val="bottom"/>
          </w:tcPr>
          <w:p>
            <w:pPr>
              <w:ind w:left="80"/>
              <w:spacing w:after="0"/>
              <w:rPr>
                <w:sz w:val="20"/>
                <w:szCs w:val="20"/>
                <w:color w:val="auto"/>
              </w:rPr>
            </w:pPr>
            <w:r>
              <w:rPr>
                <w:rFonts w:ascii="Arial" w:cs="Arial" w:eastAsia="Arial" w:hAnsi="Arial"/>
                <w:sz w:val="18"/>
                <w:szCs w:val="18"/>
                <w:color w:val="auto"/>
              </w:rPr>
              <w:t>M/T Agamemnon II</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51,238</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04/07/2009</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11/24/2008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Navarro International S.A.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07/14/2006</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Ayrton II</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51,260</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04/13/2009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04/10/2009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Adrian Shipholding Inc.</w:t>
            </w:r>
          </w:p>
        </w:tc>
        <w:tc>
          <w:tcPr>
            <w:tcW w:w="1340" w:type="dxa"/>
            <w:vAlign w:val="bottom"/>
          </w:tcPr>
          <w:p>
            <w:pPr>
              <w:jc w:val="right"/>
              <w:spacing w:after="0"/>
              <w:rPr>
                <w:sz w:val="20"/>
                <w:szCs w:val="20"/>
                <w:color w:val="auto"/>
              </w:rPr>
            </w:pPr>
            <w:r>
              <w:rPr>
                <w:rFonts w:ascii="Arial" w:cs="Arial" w:eastAsia="Arial" w:hAnsi="Arial"/>
                <w:sz w:val="18"/>
                <w:szCs w:val="18"/>
                <w:color w:val="auto"/>
              </w:rPr>
              <w:t>06/22/2004</w:t>
            </w:r>
          </w:p>
        </w:tc>
        <w:tc>
          <w:tcPr>
            <w:tcW w:w="1980" w:type="dxa"/>
            <w:vAlign w:val="bottom"/>
          </w:tcPr>
          <w:p>
            <w:pPr>
              <w:ind w:left="80"/>
              <w:spacing w:after="0"/>
              <w:rPr>
                <w:sz w:val="20"/>
                <w:szCs w:val="20"/>
                <w:color w:val="auto"/>
              </w:rPr>
            </w:pPr>
            <w:r>
              <w:rPr>
                <w:rFonts w:ascii="Arial" w:cs="Arial" w:eastAsia="Arial" w:hAnsi="Arial"/>
                <w:sz w:val="18"/>
                <w:szCs w:val="18"/>
                <w:color w:val="auto"/>
              </w:rPr>
              <w:t>M/T Alkiviadis</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36,721</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06/30/2010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03/29/2006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Patroklos Marine Corp.</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06/17/2008</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Cape Agamemnon</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179,221</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06/09/2011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01/25/2011</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w w:val="99"/>
              </w:rPr>
              <w:t>Cooper Consultants Co. renamed to Miltiadis M II Carriers Corp.</w:t>
            </w:r>
          </w:p>
        </w:tc>
        <w:tc>
          <w:tcPr>
            <w:tcW w:w="1340" w:type="dxa"/>
            <w:vAlign w:val="bottom"/>
          </w:tcPr>
          <w:p>
            <w:pPr>
              <w:jc w:val="right"/>
              <w:spacing w:after="0"/>
              <w:rPr>
                <w:sz w:val="20"/>
                <w:szCs w:val="20"/>
                <w:color w:val="auto"/>
              </w:rPr>
            </w:pPr>
            <w:r>
              <w:rPr>
                <w:rFonts w:ascii="Arial" w:cs="Arial" w:eastAsia="Arial" w:hAnsi="Arial"/>
                <w:sz w:val="18"/>
                <w:szCs w:val="18"/>
                <w:color w:val="auto"/>
              </w:rPr>
              <w:t>04/06/2006</w:t>
            </w:r>
          </w:p>
        </w:tc>
        <w:tc>
          <w:tcPr>
            <w:tcW w:w="1980" w:type="dxa"/>
            <w:vAlign w:val="bottom"/>
          </w:tcPr>
          <w:p>
            <w:pPr>
              <w:ind w:left="80"/>
              <w:spacing w:after="0"/>
              <w:rPr>
                <w:sz w:val="20"/>
                <w:szCs w:val="20"/>
                <w:color w:val="auto"/>
              </w:rPr>
            </w:pPr>
            <w:r>
              <w:rPr>
                <w:rFonts w:ascii="Arial" w:cs="Arial" w:eastAsia="Arial" w:hAnsi="Arial"/>
                <w:sz w:val="18"/>
                <w:szCs w:val="18"/>
                <w:color w:val="auto"/>
              </w:rPr>
              <w:t>M/T Miltiadis M II</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162,397</w:t>
            </w:r>
          </w:p>
        </w:tc>
        <w:tc>
          <w:tcPr>
            <w:tcW w:w="1060" w:type="dxa"/>
            <w:vAlign w:val="bottom"/>
          </w:tcPr>
          <w:p>
            <w:pPr>
              <w:ind w:left="160"/>
              <w:spacing w:after="0"/>
              <w:rPr>
                <w:sz w:val="20"/>
                <w:szCs w:val="20"/>
                <w:color w:val="auto"/>
              </w:rPr>
            </w:pPr>
            <w:r>
              <w:rPr>
                <w:rFonts w:ascii="Arial" w:cs="Arial" w:eastAsia="Arial" w:hAnsi="Arial"/>
                <w:sz w:val="18"/>
                <w:szCs w:val="18"/>
                <w:color w:val="auto"/>
                <w:w w:val="97"/>
              </w:rPr>
              <w:t>09/30/2011</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04/26/2006</w:t>
            </w:r>
          </w:p>
        </w:tc>
        <w:tc>
          <w:tcPr>
            <w:tcW w:w="0" w:type="dxa"/>
            <w:vAlign w:val="bottom"/>
          </w:tcPr>
          <w:p>
            <w:pPr>
              <w:spacing w:after="0"/>
              <w:rPr>
                <w:sz w:val="1"/>
                <w:szCs w:val="1"/>
                <w:color w:val="auto"/>
              </w:rPr>
            </w:pPr>
          </w:p>
        </w:tc>
      </w:tr>
      <w:tr>
        <w:trPr>
          <w:trHeight w:val="350"/>
        </w:trPr>
        <w:tc>
          <w:tcPr>
            <w:tcW w:w="5120" w:type="dxa"/>
            <w:vAlign w:val="bottom"/>
          </w:tcPr>
          <w:p>
            <w:pPr>
              <w:spacing w:after="0"/>
              <w:rPr>
                <w:sz w:val="24"/>
                <w:szCs w:val="24"/>
                <w:color w:val="auto"/>
              </w:rPr>
            </w:pPr>
          </w:p>
        </w:tc>
        <w:tc>
          <w:tcPr>
            <w:tcW w:w="1340" w:type="dxa"/>
            <w:vAlign w:val="bottom"/>
          </w:tcPr>
          <w:p>
            <w:pPr>
              <w:jc w:val="right"/>
              <w:ind w:right="531"/>
              <w:spacing w:after="0"/>
              <w:rPr>
                <w:sz w:val="20"/>
                <w:szCs w:val="20"/>
                <w:color w:val="auto"/>
              </w:rPr>
            </w:pPr>
            <w:r>
              <w:rPr>
                <w:rFonts w:ascii="Arial" w:cs="Arial" w:eastAsia="Arial" w:hAnsi="Arial"/>
                <w:sz w:val="18"/>
                <w:szCs w:val="18"/>
                <w:color w:val="auto"/>
              </w:rPr>
              <w:t>F-6</w:t>
            </w: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1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Date of</w:t>
            </w:r>
          </w:p>
        </w:tc>
        <w:tc>
          <w:tcPr>
            <w:tcW w:w="2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of Vessel Owned by</w:t>
            </w:r>
          </w:p>
        </w:tc>
        <w:tc>
          <w:tcPr>
            <w:tcW w:w="10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Deadweight</w:t>
            </w:r>
          </w:p>
        </w:tc>
        <w:tc>
          <w:tcPr>
            <w:tcW w:w="1200" w:type="dxa"/>
            <w:vAlign w:val="bottom"/>
          </w:tcPr>
          <w:p>
            <w:pPr>
              <w:jc w:val="right"/>
              <w:ind w:right="73"/>
              <w:spacing w:after="0"/>
              <w:rPr>
                <w:sz w:val="20"/>
                <w:szCs w:val="20"/>
                <w:color w:val="auto"/>
              </w:rPr>
            </w:pPr>
            <w:r>
              <w:rPr>
                <w:rFonts w:ascii="Arial" w:cs="Arial" w:eastAsia="Arial" w:hAnsi="Arial"/>
                <w:sz w:val="14"/>
                <w:szCs w:val="14"/>
                <w:b w:val="1"/>
                <w:bCs w:val="1"/>
                <w:color w:val="auto"/>
              </w:rPr>
              <w:t>Date acquired</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by the</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140" w:type="dxa"/>
            <w:vAlign w:val="bottom"/>
          </w:tcPr>
          <w:p>
            <w:pPr>
              <w:jc w:val="right"/>
              <w:ind w:right="72"/>
              <w:spacing w:after="0"/>
              <w:rPr>
                <w:sz w:val="20"/>
                <w:szCs w:val="20"/>
                <w:color w:val="auto"/>
              </w:rPr>
            </w:pPr>
            <w:r>
              <w:rPr>
                <w:rFonts w:ascii="Arial" w:cs="Arial" w:eastAsia="Arial" w:hAnsi="Arial"/>
                <w:sz w:val="14"/>
                <w:szCs w:val="14"/>
                <w:b w:val="1"/>
                <w:bCs w:val="1"/>
                <w:color w:val="auto"/>
              </w:rPr>
              <w:t>Incorporation</w:t>
            </w:r>
          </w:p>
        </w:tc>
        <w:tc>
          <w:tcPr>
            <w:tcW w:w="2140" w:type="dxa"/>
            <w:vAlign w:val="bottom"/>
          </w:tcPr>
          <w:p>
            <w:pPr>
              <w:ind w:left="760"/>
              <w:spacing w:after="0"/>
              <w:rPr>
                <w:sz w:val="20"/>
                <w:szCs w:val="20"/>
                <w:color w:val="auto"/>
              </w:rPr>
            </w:pPr>
            <w:r>
              <w:rPr>
                <w:rFonts w:ascii="Arial" w:cs="Arial" w:eastAsia="Arial" w:hAnsi="Arial"/>
                <w:sz w:val="14"/>
                <w:szCs w:val="14"/>
                <w:b w:val="1"/>
                <w:bCs w:val="1"/>
                <w:color w:val="auto"/>
              </w:rPr>
              <w:t>Subsidiary</w:t>
            </w: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“DWT”</w:t>
            </w:r>
          </w:p>
        </w:tc>
        <w:tc>
          <w:tcPr>
            <w:tcW w:w="1200" w:type="dxa"/>
            <w:vAlign w:val="bottom"/>
          </w:tcPr>
          <w:p>
            <w:pPr>
              <w:jc w:val="right"/>
              <w:ind w:right="133"/>
              <w:spacing w:after="0"/>
              <w:rPr>
                <w:sz w:val="20"/>
                <w:szCs w:val="20"/>
                <w:color w:val="auto"/>
              </w:rPr>
            </w:pPr>
            <w:r>
              <w:rPr>
                <w:rFonts w:ascii="Arial" w:cs="Arial" w:eastAsia="Arial" w:hAnsi="Arial"/>
                <w:sz w:val="14"/>
                <w:szCs w:val="14"/>
                <w:b w:val="1"/>
                <w:bCs w:val="1"/>
                <w:color w:val="auto"/>
              </w:rPr>
              <w:t>Partnership</w:t>
            </w: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Amoureux Carriers Corp.</w:t>
            </w:r>
          </w:p>
        </w:tc>
        <w:tc>
          <w:tcPr>
            <w:tcW w:w="2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04/14/2010</w:t>
            </w: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M/T Amoureux</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149,993</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09/30/2011</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Aias Carriers Corp.</w:t>
            </w: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04/14/2010</w:t>
            </w:r>
          </w:p>
        </w:tc>
        <w:tc>
          <w:tcPr>
            <w:tcW w:w="2140" w:type="dxa"/>
            <w:vAlign w:val="bottom"/>
          </w:tcPr>
          <w:p>
            <w:pPr>
              <w:ind w:left="160"/>
              <w:spacing w:after="0"/>
              <w:rPr>
                <w:sz w:val="20"/>
                <w:szCs w:val="20"/>
                <w:color w:val="auto"/>
              </w:rPr>
            </w:pPr>
            <w:r>
              <w:rPr>
                <w:rFonts w:ascii="Arial" w:cs="Arial" w:eastAsia="Arial" w:hAnsi="Arial"/>
                <w:sz w:val="18"/>
                <w:szCs w:val="18"/>
                <w:color w:val="auto"/>
              </w:rPr>
              <w:t>M/T Aias</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150,393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09/30/2011</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Agamemnon Container Carrier Corp.</w:t>
            </w:r>
          </w:p>
        </w:tc>
        <w:tc>
          <w:tcPr>
            <w:tcW w:w="2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04/19/2012</w:t>
            </w: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M/V Agamemnon</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108,892</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12/22/2012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06/28/2012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Archimidis Container Carrier Corp.</w:t>
            </w: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04/19/2012</w:t>
            </w:r>
          </w:p>
        </w:tc>
        <w:tc>
          <w:tcPr>
            <w:tcW w:w="2140" w:type="dxa"/>
            <w:vAlign w:val="bottom"/>
          </w:tcPr>
          <w:p>
            <w:pPr>
              <w:ind w:left="160"/>
              <w:spacing w:after="0"/>
              <w:rPr>
                <w:sz w:val="20"/>
                <w:szCs w:val="20"/>
                <w:color w:val="auto"/>
              </w:rPr>
            </w:pPr>
            <w:r>
              <w:rPr>
                <w:rFonts w:ascii="Arial" w:cs="Arial" w:eastAsia="Arial" w:hAnsi="Arial"/>
                <w:sz w:val="18"/>
                <w:szCs w:val="18"/>
                <w:color w:val="auto"/>
              </w:rPr>
              <w:t>M/V Archimidis</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108,892</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12/22/2012</w:t>
            </w:r>
          </w:p>
        </w:tc>
        <w:tc>
          <w:tcPr>
            <w:tcW w:w="1100" w:type="dxa"/>
            <w:vAlign w:val="bottom"/>
          </w:tcPr>
          <w:p>
            <w:pPr>
              <w:jc w:val="right"/>
              <w:spacing w:after="0"/>
              <w:rPr>
                <w:sz w:val="20"/>
                <w:szCs w:val="20"/>
                <w:color w:val="auto"/>
              </w:rPr>
            </w:pPr>
            <w:r>
              <w:rPr>
                <w:rFonts w:ascii="Arial" w:cs="Arial" w:eastAsia="Arial" w:hAnsi="Arial"/>
                <w:sz w:val="18"/>
                <w:szCs w:val="18"/>
                <w:color w:val="auto"/>
              </w:rPr>
              <w:t>06/22/2012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Aenaos Product Carrier S.A.</w:t>
            </w:r>
          </w:p>
        </w:tc>
        <w:tc>
          <w:tcPr>
            <w:tcW w:w="2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10/16/2013</w:t>
            </w: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M/T Aristotelis</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51,604</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11/28/2013</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Anax Container Carrier S.A</w:t>
            </w: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04/08/2011</w:t>
            </w:r>
          </w:p>
        </w:tc>
        <w:tc>
          <w:tcPr>
            <w:tcW w:w="2140" w:type="dxa"/>
            <w:vAlign w:val="bottom"/>
          </w:tcPr>
          <w:p>
            <w:pPr>
              <w:ind w:left="160"/>
              <w:spacing w:after="0"/>
              <w:rPr>
                <w:sz w:val="20"/>
                <w:szCs w:val="20"/>
                <w:color w:val="auto"/>
              </w:rPr>
            </w:pPr>
            <w:r>
              <w:rPr>
                <w:rFonts w:ascii="Arial" w:cs="Arial" w:eastAsia="Arial" w:hAnsi="Arial"/>
                <w:sz w:val="18"/>
                <w:szCs w:val="18"/>
                <w:color w:val="auto"/>
              </w:rPr>
              <w:t>M/V Hyundai Prestige</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63,010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09/11/2013</w:t>
            </w:r>
          </w:p>
        </w:tc>
        <w:tc>
          <w:tcPr>
            <w:tcW w:w="1100" w:type="dxa"/>
            <w:vAlign w:val="bottom"/>
          </w:tcPr>
          <w:p>
            <w:pPr>
              <w:jc w:val="right"/>
              <w:spacing w:after="0"/>
              <w:rPr>
                <w:sz w:val="20"/>
                <w:szCs w:val="20"/>
                <w:color w:val="auto"/>
              </w:rPr>
            </w:pPr>
            <w:r>
              <w:rPr>
                <w:rFonts w:ascii="Arial" w:cs="Arial" w:eastAsia="Arial" w:hAnsi="Arial"/>
                <w:sz w:val="18"/>
                <w:szCs w:val="18"/>
                <w:color w:val="auto"/>
              </w:rPr>
              <w:t>02/19/2013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Hercules Container Carrier S.A.</w:t>
            </w:r>
          </w:p>
        </w:tc>
        <w:tc>
          <w:tcPr>
            <w:tcW w:w="2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04/08/2011</w:t>
            </w: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M/V Hyundai Premium</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63,010</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03/20/2013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03/11/2013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Iason Container Carrier S.A</w:t>
            </w: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04/08/2011</w:t>
            </w:r>
          </w:p>
        </w:tc>
        <w:tc>
          <w:tcPr>
            <w:tcW w:w="2140" w:type="dxa"/>
            <w:vAlign w:val="bottom"/>
          </w:tcPr>
          <w:p>
            <w:pPr>
              <w:ind w:left="160"/>
              <w:spacing w:after="0"/>
              <w:rPr>
                <w:sz w:val="20"/>
                <w:szCs w:val="20"/>
                <w:color w:val="auto"/>
              </w:rPr>
            </w:pPr>
            <w:r>
              <w:rPr>
                <w:rFonts w:ascii="Arial" w:cs="Arial" w:eastAsia="Arial" w:hAnsi="Arial"/>
                <w:sz w:val="18"/>
                <w:szCs w:val="18"/>
                <w:color w:val="auto"/>
                <w:w w:val="99"/>
              </w:rPr>
              <w:t>M/V Hyundai Paramount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63,010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03/27/2013</w:t>
            </w:r>
          </w:p>
        </w:tc>
        <w:tc>
          <w:tcPr>
            <w:tcW w:w="1100" w:type="dxa"/>
            <w:vAlign w:val="bottom"/>
          </w:tcPr>
          <w:p>
            <w:pPr>
              <w:jc w:val="right"/>
              <w:spacing w:after="0"/>
              <w:rPr>
                <w:sz w:val="20"/>
                <w:szCs w:val="20"/>
                <w:color w:val="auto"/>
              </w:rPr>
            </w:pPr>
            <w:r>
              <w:rPr>
                <w:rFonts w:ascii="Arial" w:cs="Arial" w:eastAsia="Arial" w:hAnsi="Arial"/>
                <w:sz w:val="18"/>
                <w:szCs w:val="18"/>
                <w:color w:val="auto"/>
              </w:rPr>
              <w:t>03/27/2013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Thiseas Container Carrier S.A.</w:t>
            </w:r>
          </w:p>
        </w:tc>
        <w:tc>
          <w:tcPr>
            <w:tcW w:w="2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04/08/2011</w:t>
            </w: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M/V Hyundai Privilege</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63,010</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09/11/2013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05/31/2013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Cronus Container Carrier S.A.</w:t>
            </w: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07/19/2011</w:t>
            </w:r>
          </w:p>
        </w:tc>
        <w:tc>
          <w:tcPr>
            <w:tcW w:w="2140" w:type="dxa"/>
            <w:vAlign w:val="bottom"/>
          </w:tcPr>
          <w:p>
            <w:pPr>
              <w:ind w:left="160"/>
              <w:spacing w:after="0"/>
              <w:rPr>
                <w:sz w:val="20"/>
                <w:szCs w:val="20"/>
                <w:color w:val="auto"/>
              </w:rPr>
            </w:pPr>
            <w:r>
              <w:rPr>
                <w:rFonts w:ascii="Arial" w:cs="Arial" w:eastAsia="Arial" w:hAnsi="Arial"/>
                <w:sz w:val="18"/>
                <w:szCs w:val="18"/>
                <w:color w:val="auto"/>
              </w:rPr>
              <w:t>M/V Hyundai Platinum</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63,010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09/11/2013</w:t>
            </w:r>
          </w:p>
        </w:tc>
        <w:tc>
          <w:tcPr>
            <w:tcW w:w="1100" w:type="dxa"/>
            <w:vAlign w:val="bottom"/>
          </w:tcPr>
          <w:p>
            <w:pPr>
              <w:jc w:val="right"/>
              <w:spacing w:after="0"/>
              <w:rPr>
                <w:sz w:val="20"/>
                <w:szCs w:val="20"/>
                <w:color w:val="auto"/>
              </w:rPr>
            </w:pPr>
            <w:r>
              <w:rPr>
                <w:rFonts w:ascii="Arial" w:cs="Arial" w:eastAsia="Arial" w:hAnsi="Arial"/>
                <w:sz w:val="18"/>
                <w:szCs w:val="18"/>
                <w:color w:val="auto"/>
              </w:rPr>
              <w:t>06/14/2013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Miltiadis M II Corp.</w:t>
            </w:r>
          </w:p>
        </w:tc>
        <w:tc>
          <w:tcPr>
            <w:tcW w:w="2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08/28/2012</w:t>
            </w:r>
          </w:p>
        </w:tc>
        <w:tc>
          <w:tcPr>
            <w:tcW w:w="21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Dias Container Carrier S.A</w:t>
            </w:r>
          </w:p>
        </w:tc>
        <w:tc>
          <w:tcPr>
            <w:tcW w:w="2140" w:type="dxa"/>
            <w:vAlign w:val="bottom"/>
          </w:tcPr>
          <w:p>
            <w:pPr>
              <w:jc w:val="right"/>
              <w:ind w:right="72"/>
              <w:spacing w:after="0" w:line="201" w:lineRule="exact"/>
              <w:rPr>
                <w:sz w:val="20"/>
                <w:szCs w:val="20"/>
                <w:color w:val="auto"/>
              </w:rPr>
            </w:pPr>
            <w:r>
              <w:rPr>
                <w:rFonts w:ascii="Arial" w:cs="Arial" w:eastAsia="Arial" w:hAnsi="Arial"/>
                <w:sz w:val="18"/>
                <w:szCs w:val="18"/>
                <w:color w:val="auto"/>
              </w:rPr>
              <w:t>05/16/2013</w:t>
            </w:r>
          </w:p>
        </w:tc>
        <w:tc>
          <w:tcPr>
            <w:tcW w:w="2140" w:type="dxa"/>
            <w:vAlign w:val="bottom"/>
          </w:tcPr>
          <w:p>
            <w:pPr>
              <w:ind w:left="160"/>
              <w:spacing w:after="0" w:line="201" w:lineRule="exact"/>
              <w:rPr>
                <w:sz w:val="20"/>
                <w:szCs w:val="20"/>
                <w:color w:val="auto"/>
              </w:rPr>
            </w:pPr>
            <w:r>
              <w:rPr>
                <w:rFonts w:ascii="Arial" w:cs="Arial" w:eastAsia="Arial" w:hAnsi="Arial"/>
                <w:sz w:val="18"/>
                <w:szCs w:val="18"/>
                <w:color w:val="auto"/>
              </w:rPr>
              <w:t>M/V Akadimos</w:t>
            </w:r>
          </w:p>
        </w:tc>
        <w:tc>
          <w:tcPr>
            <w:tcW w:w="1020" w:type="dxa"/>
            <w:vAlign w:val="bottom"/>
          </w:tcPr>
          <w:p>
            <w:pPr>
              <w:jc w:val="right"/>
              <w:ind w:right="72"/>
              <w:spacing w:after="0" w:line="201" w:lineRule="exact"/>
              <w:rPr>
                <w:sz w:val="20"/>
                <w:szCs w:val="20"/>
                <w:color w:val="auto"/>
              </w:rPr>
            </w:pPr>
            <w:r>
              <w:rPr>
                <w:rFonts w:ascii="Arial" w:cs="Arial" w:eastAsia="Arial" w:hAnsi="Arial"/>
                <w:sz w:val="18"/>
                <w:szCs w:val="18"/>
                <w:color w:val="auto"/>
              </w:rPr>
              <w:t>115,534</w:t>
            </w:r>
          </w:p>
        </w:tc>
        <w:tc>
          <w:tcPr>
            <w:tcW w:w="1200" w:type="dxa"/>
            <w:vAlign w:val="bottom"/>
          </w:tcPr>
          <w:p>
            <w:pPr>
              <w:jc w:val="right"/>
              <w:ind w:right="73"/>
              <w:spacing w:after="0" w:line="201" w:lineRule="exact"/>
              <w:rPr>
                <w:sz w:val="20"/>
                <w:szCs w:val="20"/>
                <w:color w:val="auto"/>
              </w:rPr>
            </w:pPr>
            <w:r>
              <w:rPr>
                <w:rFonts w:ascii="Arial" w:cs="Arial" w:eastAsia="Arial" w:hAnsi="Arial"/>
                <w:sz w:val="18"/>
                <w:szCs w:val="18"/>
                <w:color w:val="auto"/>
              </w:rPr>
              <w:t>06/10/2015</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06/10/2015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(renamed to “CMA</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CGM Amazon”) (1)</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Poseidon Container Carrier S.A</w:t>
            </w:r>
          </w:p>
        </w:tc>
        <w:tc>
          <w:tcPr>
            <w:tcW w:w="214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05/16/2013</w:t>
            </w:r>
          </w:p>
        </w:tc>
        <w:tc>
          <w:tcPr>
            <w:tcW w:w="2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M/V Adonis (renamed to</w:t>
            </w:r>
          </w:p>
        </w:tc>
        <w:tc>
          <w:tcPr>
            <w:tcW w:w="102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115,639</w:t>
            </w:r>
          </w:p>
        </w:tc>
        <w:tc>
          <w:tcPr>
            <w:tcW w:w="1200" w:type="dxa"/>
            <w:vAlign w:val="bottom"/>
            <w:shd w:val="clear" w:color="auto" w:fill="CCEEFF"/>
          </w:tcPr>
          <w:p>
            <w:pPr>
              <w:jc w:val="right"/>
              <w:ind w:right="73"/>
              <w:spacing w:after="0" w:line="201" w:lineRule="exact"/>
              <w:rPr>
                <w:sz w:val="20"/>
                <w:szCs w:val="20"/>
                <w:color w:val="auto"/>
              </w:rPr>
            </w:pPr>
            <w:r>
              <w:rPr>
                <w:rFonts w:ascii="Arial" w:cs="Arial" w:eastAsia="Arial" w:hAnsi="Arial"/>
                <w:sz w:val="18"/>
                <w:szCs w:val="18"/>
                <w:color w:val="auto"/>
              </w:rPr>
              <w:t>09/18/2015</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09/18/2015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“CMA CGM</w:t>
            </w: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Uruguay”) (1)</w:t>
            </w:r>
          </w:p>
        </w:tc>
        <w:tc>
          <w:tcPr>
            <w:tcW w:w="10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Isiodos Product Carrier S.A</w:t>
            </w: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05/31/2013</w:t>
            </w:r>
          </w:p>
        </w:tc>
        <w:tc>
          <w:tcPr>
            <w:tcW w:w="2140" w:type="dxa"/>
            <w:vAlign w:val="bottom"/>
          </w:tcPr>
          <w:p>
            <w:pPr>
              <w:ind w:left="160"/>
              <w:spacing w:after="0"/>
              <w:rPr>
                <w:sz w:val="20"/>
                <w:szCs w:val="20"/>
                <w:color w:val="auto"/>
              </w:rPr>
            </w:pPr>
            <w:r>
              <w:rPr>
                <w:rFonts w:ascii="Arial" w:cs="Arial" w:eastAsia="Arial" w:hAnsi="Arial"/>
                <w:sz w:val="18"/>
                <w:szCs w:val="18"/>
                <w:color w:val="auto"/>
              </w:rPr>
              <w:t>M/T Active (1)</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50,136</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03/31/2015</w:t>
            </w:r>
          </w:p>
        </w:tc>
        <w:tc>
          <w:tcPr>
            <w:tcW w:w="1100" w:type="dxa"/>
            <w:vAlign w:val="bottom"/>
          </w:tcPr>
          <w:p>
            <w:pPr>
              <w:jc w:val="right"/>
              <w:spacing w:after="0"/>
              <w:rPr>
                <w:sz w:val="20"/>
                <w:szCs w:val="20"/>
                <w:color w:val="auto"/>
              </w:rPr>
            </w:pPr>
            <w:r>
              <w:rPr>
                <w:rFonts w:ascii="Arial" w:cs="Arial" w:eastAsia="Arial" w:hAnsi="Arial"/>
                <w:sz w:val="18"/>
                <w:szCs w:val="18"/>
                <w:color w:val="auto"/>
              </w:rPr>
              <w:t>03/31/2015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Titanas Product Carrier S.A</w:t>
            </w:r>
          </w:p>
        </w:tc>
        <w:tc>
          <w:tcPr>
            <w:tcW w:w="2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05/31/2013</w:t>
            </w: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M/T Amadeus (1)</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50,108</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06/30/2015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06/30/2015</w:t>
            </w: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Atrotos Container Carrier S.A</w:t>
            </w:r>
          </w:p>
        </w:tc>
        <w:tc>
          <w:tcPr>
            <w:tcW w:w="2140" w:type="dxa"/>
            <w:vAlign w:val="bottom"/>
          </w:tcPr>
          <w:p>
            <w:pPr>
              <w:jc w:val="right"/>
              <w:ind w:right="72"/>
              <w:spacing w:after="0" w:line="201" w:lineRule="exact"/>
              <w:rPr>
                <w:sz w:val="20"/>
                <w:szCs w:val="20"/>
                <w:color w:val="auto"/>
              </w:rPr>
            </w:pPr>
            <w:r>
              <w:rPr>
                <w:rFonts w:ascii="Arial" w:cs="Arial" w:eastAsia="Arial" w:hAnsi="Arial"/>
                <w:sz w:val="18"/>
                <w:szCs w:val="18"/>
                <w:color w:val="auto"/>
              </w:rPr>
              <w:t>10/25/2013</w:t>
            </w:r>
          </w:p>
        </w:tc>
        <w:tc>
          <w:tcPr>
            <w:tcW w:w="2140" w:type="dxa"/>
            <w:vAlign w:val="bottom"/>
          </w:tcPr>
          <w:p>
            <w:pPr>
              <w:ind w:left="160"/>
              <w:spacing w:after="0" w:line="201" w:lineRule="exact"/>
              <w:rPr>
                <w:sz w:val="20"/>
                <w:szCs w:val="20"/>
                <w:color w:val="auto"/>
              </w:rPr>
            </w:pPr>
            <w:r>
              <w:rPr>
                <w:rFonts w:ascii="Arial" w:cs="Arial" w:eastAsia="Arial" w:hAnsi="Arial"/>
                <w:sz w:val="18"/>
                <w:szCs w:val="18"/>
                <w:color w:val="auto"/>
              </w:rPr>
              <w:t>M/V Anaxagoras</w:t>
            </w:r>
          </w:p>
        </w:tc>
        <w:tc>
          <w:tcPr>
            <w:tcW w:w="1020" w:type="dxa"/>
            <w:vAlign w:val="bottom"/>
          </w:tcPr>
          <w:p>
            <w:pPr>
              <w:jc w:val="right"/>
              <w:ind w:right="72"/>
              <w:spacing w:after="0" w:line="201" w:lineRule="exact"/>
              <w:rPr>
                <w:sz w:val="20"/>
                <w:szCs w:val="20"/>
                <w:color w:val="auto"/>
              </w:rPr>
            </w:pPr>
            <w:r>
              <w:rPr>
                <w:rFonts w:ascii="Arial" w:cs="Arial" w:eastAsia="Arial" w:hAnsi="Arial"/>
                <w:sz w:val="18"/>
                <w:szCs w:val="18"/>
                <w:color w:val="auto"/>
              </w:rPr>
              <w:t>115,639</w:t>
            </w:r>
          </w:p>
        </w:tc>
        <w:tc>
          <w:tcPr>
            <w:tcW w:w="1200" w:type="dxa"/>
            <w:vAlign w:val="bottom"/>
          </w:tcPr>
          <w:p>
            <w:pPr>
              <w:jc w:val="right"/>
              <w:ind w:right="73"/>
              <w:spacing w:after="0" w:line="201" w:lineRule="exact"/>
              <w:rPr>
                <w:sz w:val="20"/>
                <w:szCs w:val="20"/>
                <w:color w:val="auto"/>
              </w:rPr>
            </w:pPr>
            <w:r>
              <w:rPr>
                <w:rFonts w:ascii="Arial" w:cs="Arial" w:eastAsia="Arial" w:hAnsi="Arial"/>
                <w:sz w:val="18"/>
                <w:szCs w:val="18"/>
                <w:color w:val="auto"/>
              </w:rPr>
              <w:t>02/26/2016</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02/26/2016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(renamed to “CMA</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CGM Magdalena”) (1)</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Filonikis Product Carrier S.A</w:t>
            </w:r>
          </w:p>
        </w:tc>
        <w:tc>
          <w:tcPr>
            <w:tcW w:w="2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05/31/2013</w:t>
            </w: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M/T Amor</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49,999</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10/24/2016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09/30/2015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80" w:right="1800" w:hanging="5572"/>
        <w:spacing w:after="0" w:line="449" w:lineRule="auto"/>
        <w:tabs>
          <w:tab w:leader="none" w:pos="4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Vessels that were acquired according to the terms of the Master Vessel Acquisition Agreement (“Master Agreement”) (Note 5). F-7</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31" w:lineRule="exact"/>
        <w:rPr>
          <w:sz w:val="20"/>
          <w:szCs w:val="20"/>
          <w:color w:val="auto"/>
        </w:rPr>
      </w:pPr>
    </w:p>
    <w:p>
      <w:pPr>
        <w:ind w:left="460" w:right="580" w:hanging="452"/>
        <w:spacing w:after="0" w:line="289" w:lineRule="auto"/>
        <w:tabs>
          <w:tab w:leader="none" w:pos="460" w:val="left"/>
        </w:tabs>
        <w:numPr>
          <w:ilvl w:val="0"/>
          <w:numId w:val="15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Principles of Consolidation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accompanying consolidated financial statements have been prepared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(“U.S. GAAP”), and include the accounts of the legal entities comprising the Partnership as discussed in Note 1. Intra-group balances and transactions have been eliminated upon consolidation.</w:t>
      </w:r>
    </w:p>
    <w:p>
      <w:pPr>
        <w:spacing w:after="0" w:line="67" w:lineRule="exact"/>
        <w:rPr>
          <w:rFonts w:ascii="Arial" w:cs="Arial" w:eastAsia="Arial" w:hAnsi="Arial"/>
          <w:sz w:val="17"/>
          <w:szCs w:val="17"/>
          <w:b w:val="1"/>
          <w:bCs w:val="1"/>
          <w:i w:val="1"/>
          <w:iCs w:val="1"/>
          <w:color w:val="auto"/>
        </w:rPr>
      </w:pPr>
    </w:p>
    <w:p>
      <w:pPr>
        <w:ind w:left="460" w:right="320" w:hanging="452"/>
        <w:spacing w:after="0" w:line="312" w:lineRule="auto"/>
        <w:tabs>
          <w:tab w:leader="none" w:pos="460" w:val="left"/>
        </w:tabs>
        <w:numPr>
          <w:ilvl w:val="0"/>
          <w:numId w:val="15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52" w:lineRule="exact"/>
        <w:rPr>
          <w:rFonts w:ascii="Arial" w:cs="Arial" w:eastAsia="Arial" w:hAnsi="Arial"/>
          <w:sz w:val="16"/>
          <w:szCs w:val="16"/>
          <w:b w:val="1"/>
          <w:bCs w:val="1"/>
          <w:i w:val="1"/>
          <w:iCs w:val="1"/>
          <w:color w:val="auto"/>
        </w:rPr>
      </w:pPr>
    </w:p>
    <w:p>
      <w:pPr>
        <w:ind w:left="460" w:hanging="452"/>
        <w:spacing w:after="0" w:line="268" w:lineRule="auto"/>
        <w:tabs>
          <w:tab w:leader="none" w:pos="460" w:val="left"/>
        </w:tabs>
        <w:numPr>
          <w:ilvl w:val="0"/>
          <w:numId w:val="15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Accounting for Revenue, Voyage and Operating Expenses: </w:t>
      </w:r>
      <w:r>
        <w:rPr>
          <w:rFonts w:ascii="Arial" w:cs="Arial" w:eastAsia="Arial" w:hAnsi="Arial"/>
          <w:sz w:val="17"/>
          <w:szCs w:val="17"/>
          <w:color w:val="auto"/>
        </w:rPr>
        <w:t>The Partnership generates its revenues from charterers for the charter hire of its vessels.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Vessels are chartered on time charters, bareboat charters or voyage charters. A 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charterer generally assumes all risk and costs of operation during the bareboat charter period. A voyage charter is a contract, in which the vessel owner undertakes to transport a specific amount and type of cargo on a load port-to-discharge port basis, subject to various cargo handling terms. Under a typical voyage charter, the vessel owner is paid on the basis of moving cargo from a loading port to a discharge port. In voyage charters the vessel owner is generally responsible for paying both vessel operating costs and voyage expenses, and the charterer generally is responsible for any delay at the loading or discharging ports. A voyage is deemed to commence upon the later of the completion of discharge of the vessel’s previous cargo or upon vessel arrival to the agreed upon port, based on the terms of a voyage contract that is not cancellable and voyage is deemed to end upon the completion of discharge of the delivered cargo. Revenues under voyage charter agreements are recognized on a pro-rata basis.</w:t>
      </w:r>
    </w:p>
    <w:p>
      <w:pPr>
        <w:spacing w:after="0" w:line="79" w:lineRule="exact"/>
        <w:rPr>
          <w:rFonts w:ascii="Arial" w:cs="Arial" w:eastAsia="Arial" w:hAnsi="Arial"/>
          <w:sz w:val="17"/>
          <w:szCs w:val="17"/>
          <w:b w:val="1"/>
          <w:bCs w:val="1"/>
          <w:i w:val="1"/>
          <w:iCs w:val="1"/>
          <w:color w:val="auto"/>
        </w:rPr>
      </w:pPr>
    </w:p>
    <w:p>
      <w:pPr>
        <w:ind w:left="460" w:right="160"/>
        <w:spacing w:after="0" w:line="302" w:lineRule="auto"/>
        <w:rPr>
          <w:rFonts w:ascii="Arial" w:cs="Arial" w:eastAsia="Arial" w:hAnsi="Arial"/>
          <w:sz w:val="17"/>
          <w:szCs w:val="17"/>
          <w:b w:val="1"/>
          <w:bCs w:val="1"/>
          <w:i w:val="1"/>
          <w:iCs w:val="1"/>
          <w:color w:val="auto"/>
        </w:rPr>
      </w:pPr>
      <w:r>
        <w:rPr>
          <w:rFonts w:ascii="Arial" w:cs="Arial" w:eastAsia="Arial" w:hAnsi="Arial"/>
          <w:sz w:val="16"/>
          <w:szCs w:val="16"/>
          <w:color w:val="auto"/>
        </w:rPr>
        <w:t>Time, bareboat and voyage charter revenues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charter. Revenues from profit sharing arrangements in time charters represent a portion of time charter equivalent (voyage income less direct expenses, divided by operating days), that exceeds the agreed base rate and are recognized in the period earned.</w:t>
      </w:r>
    </w:p>
    <w:p>
      <w:pPr>
        <w:spacing w:after="0" w:line="46" w:lineRule="exact"/>
        <w:rPr>
          <w:rFonts w:ascii="Arial" w:cs="Arial" w:eastAsia="Arial" w:hAnsi="Arial"/>
          <w:sz w:val="17"/>
          <w:szCs w:val="17"/>
          <w:b w:val="1"/>
          <w:bCs w:val="1"/>
          <w:i w:val="1"/>
          <w:iCs w:val="1"/>
          <w:color w:val="auto"/>
        </w:rPr>
      </w:pPr>
    </w:p>
    <w:p>
      <w:pPr>
        <w:ind w:left="460" w:right="300"/>
        <w:spacing w:after="0" w:line="264" w:lineRule="auto"/>
        <w:rPr>
          <w:rFonts w:ascii="Arial" w:cs="Arial" w:eastAsia="Arial" w:hAnsi="Arial"/>
          <w:sz w:val="17"/>
          <w:szCs w:val="17"/>
          <w:b w:val="1"/>
          <w:bCs w:val="1"/>
          <w:i w:val="1"/>
          <w:iCs w:val="1"/>
          <w:color w:val="auto"/>
        </w:rPr>
      </w:pPr>
      <w:r>
        <w:rPr>
          <w:rFonts w:ascii="Arial" w:cs="Arial" w:eastAsia="Arial" w:hAnsi="Arial"/>
          <w:sz w:val="18"/>
          <w:szCs w:val="18"/>
          <w:color w:val="auto"/>
        </w:rPr>
        <w:t>Deferred revenue represents cash and other assets received in advance of being earned and deferred revenue resulting from straight-line revenue recognition in respect of charter agreements that provide for varying charter rates. The portion of the deferred revenue that will be earned within the next twelve months is classified as current liability and the rest as long-term liability.</w:t>
      </w:r>
    </w:p>
    <w:p>
      <w:pPr>
        <w:spacing w:after="0" w:line="73" w:lineRule="exact"/>
        <w:rPr>
          <w:rFonts w:ascii="Arial" w:cs="Arial" w:eastAsia="Arial" w:hAnsi="Arial"/>
          <w:sz w:val="17"/>
          <w:szCs w:val="17"/>
          <w:b w:val="1"/>
          <w:bCs w:val="1"/>
          <w:i w:val="1"/>
          <w:iCs w:val="1"/>
          <w:color w:val="auto"/>
        </w:rPr>
      </w:pPr>
    </w:p>
    <w:p>
      <w:pPr>
        <w:ind w:left="460" w:right="20"/>
        <w:spacing w:after="0" w:line="257" w:lineRule="auto"/>
        <w:rPr>
          <w:rFonts w:ascii="Arial" w:cs="Arial" w:eastAsia="Arial" w:hAnsi="Arial"/>
          <w:sz w:val="17"/>
          <w:szCs w:val="17"/>
          <w:b w:val="1"/>
          <w:bCs w:val="1"/>
          <w:i w:val="1"/>
          <w:iCs w:val="1"/>
          <w:color w:val="auto"/>
        </w:rPr>
      </w:pPr>
      <w:r>
        <w:rPr>
          <w:rFonts w:ascii="Arial" w:cs="Arial" w:eastAsia="Arial" w:hAnsi="Arial"/>
          <w:sz w:val="18"/>
          <w:szCs w:val="18"/>
          <w:color w:val="auto"/>
        </w:rPr>
        <w:t>Vessel voyage expenses are direct expenses to voyage revenues and primarily consist of brokerage commissions, port expenses, canal dues and bunkers. Brokerage commissions are paid to shipbrokers for their time and efforts for negotiating and arranging charter party agreements on behalf of the Partnership and expensed over the related charter period and all the other voyage expenses are expensed as incurred. In general, under time and bareboat charter agreements, all voyages expenses, except commissions are assumed by the charterer. For voyage charters, all voyage expenses are paid by the Partnership.</w:t>
      </w:r>
    </w:p>
    <w:p>
      <w:pPr>
        <w:spacing w:after="0" w:line="80" w:lineRule="exact"/>
        <w:rPr>
          <w:rFonts w:ascii="Arial" w:cs="Arial" w:eastAsia="Arial" w:hAnsi="Arial"/>
          <w:sz w:val="17"/>
          <w:szCs w:val="17"/>
          <w:b w:val="1"/>
          <w:bCs w:val="1"/>
          <w:i w:val="1"/>
          <w:iCs w:val="1"/>
          <w:color w:val="auto"/>
        </w:rPr>
      </w:pPr>
    </w:p>
    <w:p>
      <w:pPr>
        <w:ind w:left="46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Vessel operating expenses presented in the consolidated financial statements mainly consist of:</w:t>
      </w:r>
    </w:p>
    <w:p>
      <w:pPr>
        <w:spacing w:after="0" w:line="130" w:lineRule="exact"/>
        <w:rPr>
          <w:rFonts w:ascii="Arial" w:cs="Arial" w:eastAsia="Arial" w:hAnsi="Arial"/>
          <w:sz w:val="17"/>
          <w:szCs w:val="17"/>
          <w:b w:val="1"/>
          <w:bCs w:val="1"/>
          <w:i w:val="1"/>
          <w:iCs w:val="1"/>
          <w:color w:val="auto"/>
        </w:rPr>
      </w:pPr>
    </w:p>
    <w:p>
      <w:pPr>
        <w:ind w:left="1480" w:right="20" w:hanging="446"/>
        <w:spacing w:after="0" w:line="277" w:lineRule="auto"/>
        <w:tabs>
          <w:tab w:leader="none" w:pos="14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Management fees payable to the Partnership’s manager, Capital Ship Management Corp. (the “Manager” or “CSM”) under three different types of Management agreements (Note 4); and</w:t>
      </w:r>
    </w:p>
    <w:p>
      <w:pPr>
        <w:spacing w:after="0" w:line="75" w:lineRule="exact"/>
        <w:rPr>
          <w:rFonts w:ascii="Arial" w:cs="Arial" w:eastAsia="Arial" w:hAnsi="Arial"/>
          <w:sz w:val="18"/>
          <w:szCs w:val="18"/>
          <w:color w:val="auto"/>
        </w:rPr>
      </w:pPr>
    </w:p>
    <w:p>
      <w:pPr>
        <w:ind w:left="460" w:right="140" w:firstLine="574"/>
        <w:spacing w:after="0" w:line="399" w:lineRule="auto"/>
        <w:tabs>
          <w:tab w:leader="none" w:pos="147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Actual operating expenses, such as crewing, repairs and maintenance, insurance, stores, spares, lubricants and other operating expenses. Vessel operating expenses are expensed as incurred.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hanging="452"/>
        <w:spacing w:after="0" w:line="273" w:lineRule="auto"/>
        <w:tabs>
          <w:tab w:leader="none" w:pos="460" w:val="left"/>
        </w:tabs>
        <w:numPr>
          <w:ilvl w:val="0"/>
          <w:numId w:val="1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Foreign Currency Transactions: </w:t>
      </w:r>
      <w:r>
        <w:rPr>
          <w:rFonts w:ascii="Arial" w:cs="Arial" w:eastAsia="Arial" w:hAnsi="Arial"/>
          <w:sz w:val="17"/>
          <w:szCs w:val="17"/>
          <w:color w:val="auto"/>
        </w:rPr>
        <w:t>The functional currency of the Partnership is the U.S. Dollar because the Partnership’s vessels operate in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in the accompanying consolidated statements of comprehensive income.</w:t>
      </w:r>
    </w:p>
    <w:p>
      <w:pPr>
        <w:spacing w:after="0" w:line="83" w:lineRule="exact"/>
        <w:rPr>
          <w:rFonts w:ascii="Arial" w:cs="Arial" w:eastAsia="Arial" w:hAnsi="Arial"/>
          <w:sz w:val="17"/>
          <w:szCs w:val="17"/>
          <w:b w:val="1"/>
          <w:bCs w:val="1"/>
          <w:i w:val="1"/>
          <w:iCs w:val="1"/>
          <w:color w:val="auto"/>
        </w:rPr>
      </w:pPr>
    </w:p>
    <w:p>
      <w:pPr>
        <w:ind w:left="460" w:right="380" w:hanging="452"/>
        <w:spacing w:after="0" w:line="277" w:lineRule="auto"/>
        <w:tabs>
          <w:tab w:leader="none" w:pos="460" w:val="left"/>
        </w:tabs>
        <w:numPr>
          <w:ilvl w:val="0"/>
          <w:numId w:val="1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highly-liquid investments such as time deposits and certificates of deposit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to be cash equivalents.</w:t>
      </w:r>
    </w:p>
    <w:p>
      <w:pPr>
        <w:spacing w:after="0" w:line="75" w:lineRule="exact"/>
        <w:rPr>
          <w:rFonts w:ascii="Arial" w:cs="Arial" w:eastAsia="Arial" w:hAnsi="Arial"/>
          <w:sz w:val="18"/>
          <w:szCs w:val="18"/>
          <w:b w:val="1"/>
          <w:bCs w:val="1"/>
          <w:i w:val="1"/>
          <w:iCs w:val="1"/>
          <w:color w:val="auto"/>
        </w:rPr>
      </w:pPr>
    </w:p>
    <w:p>
      <w:pPr>
        <w:ind w:left="460" w:right="200" w:hanging="452"/>
        <w:spacing w:after="0" w:line="277" w:lineRule="auto"/>
        <w:tabs>
          <w:tab w:leader="none" w:pos="460" w:val="left"/>
        </w:tabs>
        <w:numPr>
          <w:ilvl w:val="0"/>
          <w:numId w:val="1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For the Partnership to comply with debt covenants under its credit facilities, it must maintain minimum cash deposits. Such deposits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considered by the Partnership to be restricted cash.</w:t>
      </w:r>
    </w:p>
    <w:p>
      <w:pPr>
        <w:spacing w:after="0" w:line="75" w:lineRule="exact"/>
        <w:rPr>
          <w:rFonts w:ascii="Arial" w:cs="Arial" w:eastAsia="Arial" w:hAnsi="Arial"/>
          <w:sz w:val="18"/>
          <w:szCs w:val="18"/>
          <w:b w:val="1"/>
          <w:bCs w:val="1"/>
          <w:i w:val="1"/>
          <w:iCs w:val="1"/>
          <w:color w:val="auto"/>
        </w:rPr>
      </w:pPr>
    </w:p>
    <w:p>
      <w:pPr>
        <w:ind w:left="460" w:right="100" w:hanging="452"/>
        <w:spacing w:after="0" w:line="264" w:lineRule="auto"/>
        <w:tabs>
          <w:tab w:leader="none" w:pos="460" w:val="left"/>
        </w:tabs>
        <w:numPr>
          <w:ilvl w:val="0"/>
          <w:numId w:val="1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w:t>
      </w:r>
      <w:r>
        <w:rPr>
          <w:rFonts w:ascii="Arial" w:cs="Arial" w:eastAsia="Arial" w:hAnsi="Arial"/>
          <w:sz w:val="18"/>
          <w:szCs w:val="18"/>
          <w:color w:val="auto"/>
        </w:rPr>
        <w:t>The amount shown as trade accounts receivable primarily consists of earned revenue that has not been billed yet or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billed but not yet collected. At each balance sheet date all potentially uncollectible accounts are assessed individually for purposes of determining the appropriate write off. As of December 31, 2017 and 2016 there were no write off.</w:t>
      </w:r>
    </w:p>
    <w:p>
      <w:pPr>
        <w:spacing w:after="0" w:line="86" w:lineRule="exact"/>
        <w:rPr>
          <w:rFonts w:ascii="Arial" w:cs="Arial" w:eastAsia="Arial" w:hAnsi="Arial"/>
          <w:sz w:val="18"/>
          <w:szCs w:val="18"/>
          <w:b w:val="1"/>
          <w:bCs w:val="1"/>
          <w:i w:val="1"/>
          <w:iCs w:val="1"/>
          <w:color w:val="auto"/>
        </w:rPr>
      </w:pPr>
    </w:p>
    <w:p>
      <w:pPr>
        <w:jc w:val="both"/>
        <w:ind w:left="460" w:right="260" w:hanging="452"/>
        <w:spacing w:after="0" w:line="264" w:lineRule="auto"/>
        <w:tabs>
          <w:tab w:leader="none" w:pos="460" w:val="left"/>
        </w:tabs>
        <w:numPr>
          <w:ilvl w:val="0"/>
          <w:numId w:val="1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and net realizable value.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realizable value is the estimated selling prices less reasonably predictable costs of disposal and transportation. The cost is determined by the first-in, first-out method.</w:t>
      </w:r>
    </w:p>
    <w:p>
      <w:pPr>
        <w:spacing w:after="0" w:line="86" w:lineRule="exact"/>
        <w:rPr>
          <w:rFonts w:ascii="Arial" w:cs="Arial" w:eastAsia="Arial" w:hAnsi="Arial"/>
          <w:sz w:val="18"/>
          <w:szCs w:val="18"/>
          <w:b w:val="1"/>
          <w:bCs w:val="1"/>
          <w:i w:val="1"/>
          <w:iCs w:val="1"/>
          <w:color w:val="auto"/>
        </w:rPr>
      </w:pPr>
    </w:p>
    <w:p>
      <w:pPr>
        <w:ind w:left="460" w:right="20" w:hanging="452"/>
        <w:spacing w:after="0" w:line="255" w:lineRule="auto"/>
        <w:tabs>
          <w:tab w:leader="none" w:pos="460" w:val="left"/>
        </w:tabs>
        <w:numPr>
          <w:ilvl w:val="0"/>
          <w:numId w:val="1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Vessels Held for Sale: </w:t>
      </w:r>
      <w:r>
        <w:rPr>
          <w:rFonts w:ascii="Arial" w:cs="Arial" w:eastAsia="Arial" w:hAnsi="Arial"/>
          <w:sz w:val="18"/>
          <w:szCs w:val="18"/>
          <w:color w:val="auto"/>
        </w:rPr>
        <w:t>The Partnership classifies vessels as being held for sale when the following criteria are met: (i) management is committed to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 (ii) the asset is available for immediate sale in its present condition; (iii) an active program to locate a buyer and other actions required to complete the plan to sell the asset have been initiated; (iv) the sale of the asset is probable, and transfer of the asset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85" w:lineRule="exact"/>
        <w:rPr>
          <w:rFonts w:ascii="Arial" w:cs="Arial" w:eastAsia="Arial" w:hAnsi="Arial"/>
          <w:sz w:val="18"/>
          <w:szCs w:val="18"/>
          <w:b w:val="1"/>
          <w:bCs w:val="1"/>
          <w:i w:val="1"/>
          <w:iCs w:val="1"/>
          <w:color w:val="auto"/>
        </w:rPr>
      </w:pPr>
    </w:p>
    <w:p>
      <w:pPr>
        <w:ind w:left="460" w:right="2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Vessels classified as held for sale are measured at the lower of their carrying amount or fair value less costs to sell. These vessels are not depreciated once they meet the criteria to be classified as held for sale.</w:t>
      </w:r>
    </w:p>
    <w:p>
      <w:pPr>
        <w:spacing w:after="0" w:line="62" w:lineRule="exact"/>
        <w:rPr>
          <w:rFonts w:ascii="Arial" w:cs="Arial" w:eastAsia="Arial" w:hAnsi="Arial"/>
          <w:sz w:val="18"/>
          <w:szCs w:val="18"/>
          <w:b w:val="1"/>
          <w:bCs w:val="1"/>
          <w:i w:val="1"/>
          <w:iCs w:val="1"/>
          <w:color w:val="auto"/>
        </w:rPr>
      </w:pPr>
    </w:p>
    <w:p>
      <w:pPr>
        <w:ind w:left="46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the case that a plan to sell a vessel is cancelled, the Partnership reclassifies the vessel as held for use and re-measures it at the lower of (i) its carrying amount before the vessel was classified as held for sale, adjusted for any depreciation expense that would have been recognized if the vessel had been continuously classified as held and used and (ii) its fair value at the date of the subsequent decision not to sell.</w:t>
      </w:r>
    </w:p>
    <w:p>
      <w:pPr>
        <w:spacing w:after="0" w:line="70" w:lineRule="exact"/>
        <w:rPr>
          <w:rFonts w:ascii="Arial" w:cs="Arial" w:eastAsia="Arial" w:hAnsi="Arial"/>
          <w:sz w:val="18"/>
          <w:szCs w:val="18"/>
          <w:b w:val="1"/>
          <w:bCs w:val="1"/>
          <w:i w:val="1"/>
          <w:iCs w:val="1"/>
          <w:color w:val="auto"/>
        </w:rPr>
      </w:pPr>
    </w:p>
    <w:p>
      <w:pPr>
        <w:ind w:left="460" w:right="160" w:hanging="452"/>
        <w:spacing w:after="0" w:line="293" w:lineRule="auto"/>
        <w:tabs>
          <w:tab w:leader="none" w:pos="460" w:val="left"/>
        </w:tabs>
        <w:numPr>
          <w:ilvl w:val="0"/>
          <w:numId w:val="16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consist of vessels, which are stated at cost, less accumulated depreciation. Vessel cost consists of the contract price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 and any material expenses incurred upon their construction (improvements and delivery expenses, on-site supervision costs incurred during the construction periods, as well as capitalized interest expense during the construction period). Vessels acquired through acquisition of businesses are recorded at their acquisition date fair values.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right="60" w:hanging="452"/>
        <w:spacing w:after="0" w:line="297" w:lineRule="auto"/>
        <w:tabs>
          <w:tab w:leader="none" w:pos="460" w:val="left"/>
        </w:tabs>
        <w:numPr>
          <w:ilvl w:val="0"/>
          <w:numId w:val="16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An impairment loss on long-lived assets is recognized when indicators of impairment are present and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the long-lived asset is greater than its fair value and not believed to be recoverable. In determining future benefits derived from use of long-lived assets, the Partnership performs an analysis of the anticipated undiscounted future net cash flows of the related long-lived assets.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50" w:lineRule="exact"/>
        <w:rPr>
          <w:rFonts w:ascii="Arial" w:cs="Arial" w:eastAsia="Arial" w:hAnsi="Arial"/>
          <w:sz w:val="16"/>
          <w:szCs w:val="16"/>
          <w:b w:val="1"/>
          <w:bCs w:val="1"/>
          <w:i w:val="1"/>
          <w:iCs w:val="1"/>
          <w:color w:val="auto"/>
        </w:rPr>
      </w:pPr>
    </w:p>
    <w:p>
      <w:pPr>
        <w:ind w:left="460" w:right="40"/>
        <w:spacing w:after="0" w:line="289" w:lineRule="auto"/>
        <w:rPr>
          <w:rFonts w:ascii="Arial" w:cs="Arial" w:eastAsia="Arial" w:hAnsi="Arial"/>
          <w:sz w:val="16"/>
          <w:szCs w:val="16"/>
          <w:b w:val="1"/>
          <w:bCs w:val="1"/>
          <w:i w:val="1"/>
          <w:iCs w:val="1"/>
          <w:color w:val="auto"/>
        </w:rPr>
      </w:pPr>
      <w:r>
        <w:rPr>
          <w:rFonts w:ascii="Arial" w:cs="Arial" w:eastAsia="Arial" w:hAnsi="Arial"/>
          <w:sz w:val="16"/>
          <w:szCs w:val="16"/>
          <w:color w:val="auto"/>
        </w:rPr>
        <w:t>In recent years, market conditions, as compared to previous years, have changed significantly as a result of the global credit crisis and resulting slowdown in world trade. Charter rates decreased and values of assets were affected. The Partnership considered these market developments as indicators of potential impairment of the carrying amount of its long-lived assets. The Partnership has performed an undiscounted cash flow test based on U.S. GAAP as of December 31, 2017 and 2016, determining undiscounted projected net operating cash flows for the vessels and comparing them to the carrying values of the vessels, and any related intangible assets and liabilities.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vessels held for use and their related intangible assets and liabilities were not impaired as of December 31, 2017 and 2016.</w:t>
      </w:r>
    </w:p>
    <w:p>
      <w:pPr>
        <w:spacing w:after="0" w:line="72" w:lineRule="exact"/>
        <w:rPr>
          <w:rFonts w:ascii="Arial" w:cs="Arial" w:eastAsia="Arial" w:hAnsi="Arial"/>
          <w:sz w:val="16"/>
          <w:szCs w:val="16"/>
          <w:b w:val="1"/>
          <w:bCs w:val="1"/>
          <w:i w:val="1"/>
          <w:iCs w:val="1"/>
          <w:color w:val="auto"/>
        </w:rPr>
      </w:pPr>
    </w:p>
    <w:p>
      <w:pPr>
        <w:ind w:left="460" w:right="60" w:hanging="452"/>
        <w:spacing w:after="0" w:line="259" w:lineRule="auto"/>
        <w:tabs>
          <w:tab w:leader="none" w:pos="46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charges, net: </w:t>
      </w:r>
      <w:r>
        <w:rPr>
          <w:rFonts w:ascii="Arial" w:cs="Arial" w:eastAsia="Arial" w:hAnsi="Arial"/>
          <w:sz w:val="18"/>
          <w:szCs w:val="18"/>
          <w:color w:val="auto"/>
        </w:rPr>
        <w:t>are comprised mainly of dry docking costs. The Partnership’s vessels are required to be dry docked every thirty to sixty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major repairs and maintenance that cannot be performed while the vessels are under operation. The Partnership has adopted the deferral method of accounting for dry docking activities whereby costs incurred are deferred and amortized on a straight line basis over the period until the next scheduled dry docking activity.</w:t>
      </w:r>
    </w:p>
    <w:p>
      <w:pPr>
        <w:spacing w:after="0" w:line="92" w:lineRule="exact"/>
        <w:rPr>
          <w:rFonts w:ascii="Arial" w:cs="Arial" w:eastAsia="Arial" w:hAnsi="Arial"/>
          <w:sz w:val="18"/>
          <w:szCs w:val="18"/>
          <w:b w:val="1"/>
          <w:bCs w:val="1"/>
          <w:i w:val="1"/>
          <w:iCs w:val="1"/>
          <w:color w:val="auto"/>
        </w:rPr>
      </w:pPr>
    </w:p>
    <w:p>
      <w:pPr>
        <w:ind w:left="460" w:right="120" w:hanging="452"/>
        <w:spacing w:after="0" w:line="255" w:lineRule="auto"/>
        <w:tabs>
          <w:tab w:leader="none" w:pos="46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The Partnership records all identified tangible and intangible assets or any liabilities associated with the acquisition of a business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asset at fair value. When a vessel or a business that owns a vessel is acquired with an existing charter agreement, the Partnership determines the present value of the difference between: (i) the contractual charter rate and (ii) the prevailing market rate for a charter of equivalent duration. When determining present value, the Partnership uses Weighted Average Cost of Capital (“WACC”). The resulting above-market (assets) and below-market (liabilities) charters are amortized using the straight line method as a reduction and increase, respectively, to revenues over the remaining term of the charters.</w:t>
      </w:r>
    </w:p>
    <w:p>
      <w:pPr>
        <w:spacing w:after="0" w:line="98" w:lineRule="exact"/>
        <w:rPr>
          <w:rFonts w:ascii="Arial" w:cs="Arial" w:eastAsia="Arial" w:hAnsi="Arial"/>
          <w:sz w:val="18"/>
          <w:szCs w:val="18"/>
          <w:b w:val="1"/>
          <w:bCs w:val="1"/>
          <w:i w:val="1"/>
          <w:iCs w:val="1"/>
          <w:color w:val="auto"/>
        </w:rPr>
      </w:pPr>
    </w:p>
    <w:p>
      <w:pPr>
        <w:ind w:left="460" w:right="20" w:hanging="452"/>
        <w:spacing w:after="0" w:line="279" w:lineRule="auto"/>
        <w:tabs>
          <w:tab w:leader="none" w:pos="460" w:val="left"/>
        </w:tabs>
        <w:numPr>
          <w:ilvl w:val="0"/>
          <w:numId w:val="1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Net Income Per Limited Partner Unit: </w:t>
      </w:r>
      <w:r>
        <w:rPr>
          <w:rFonts w:ascii="Arial" w:cs="Arial" w:eastAsia="Arial" w:hAnsi="Arial"/>
          <w:sz w:val="17"/>
          <w:szCs w:val="17"/>
          <w:color w:val="auto"/>
        </w:rPr>
        <w:t>Basic net income per limited partner unit is calculated by dividing the Partnership’s net income less net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allocable to preferred unit holders, general partner’s interest in net income (including incentive distribution rights) and net income allocable to unvested units, by the weighted-average number of common units outstanding during the period (Note 14). Diluted net income per limited partner unit reflects the potential dilution that could occur if securities or other contracts to issue limited partner units were exercised.</w:t>
      </w:r>
    </w:p>
    <w:p>
      <w:pPr>
        <w:spacing w:after="0" w:line="76" w:lineRule="exact"/>
        <w:rPr>
          <w:rFonts w:ascii="Arial" w:cs="Arial" w:eastAsia="Arial" w:hAnsi="Arial"/>
          <w:sz w:val="17"/>
          <w:szCs w:val="17"/>
          <w:b w:val="1"/>
          <w:bCs w:val="1"/>
          <w:i w:val="1"/>
          <w:iCs w:val="1"/>
          <w:color w:val="auto"/>
        </w:rPr>
      </w:pPr>
    </w:p>
    <w:p>
      <w:pPr>
        <w:ind w:left="460" w:hanging="452"/>
        <w:spacing w:after="0" w:line="272" w:lineRule="auto"/>
        <w:tabs>
          <w:tab w:leader="none" w:pos="460" w:val="left"/>
        </w:tabs>
        <w:numPr>
          <w:ilvl w:val="0"/>
          <w:numId w:val="1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Segment Reporting: </w:t>
      </w:r>
      <w:r>
        <w:rPr>
          <w:rFonts w:ascii="Arial" w:cs="Arial" w:eastAsia="Arial" w:hAnsi="Arial"/>
          <w:sz w:val="17"/>
          <w:szCs w:val="17"/>
          <w:color w:val="auto"/>
        </w:rPr>
        <w:t>The Partnership reports financial information and evaluates its operations by charter revenues and not by the length, type of vessel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83" w:lineRule="exact"/>
        <w:rPr>
          <w:rFonts w:ascii="Arial" w:cs="Arial" w:eastAsia="Arial" w:hAnsi="Arial"/>
          <w:sz w:val="17"/>
          <w:szCs w:val="17"/>
          <w:b w:val="1"/>
          <w:bCs w:val="1"/>
          <w:i w:val="1"/>
          <w:iCs w:val="1"/>
          <w:color w:val="auto"/>
        </w:rPr>
      </w:pPr>
    </w:p>
    <w:p>
      <w:pPr>
        <w:ind w:left="460" w:right="60" w:hanging="452"/>
        <w:spacing w:after="0" w:line="272" w:lineRule="auto"/>
        <w:tabs>
          <w:tab w:leader="none" w:pos="460" w:val="left"/>
        </w:tabs>
        <w:numPr>
          <w:ilvl w:val="0"/>
          <w:numId w:val="1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Omnibus Incentive Compensation Plan: </w:t>
      </w:r>
      <w:r>
        <w:rPr>
          <w:rFonts w:ascii="Arial" w:cs="Arial" w:eastAsia="Arial" w:hAnsi="Arial"/>
          <w:sz w:val="17"/>
          <w:szCs w:val="17"/>
          <w:color w:val="auto"/>
        </w:rPr>
        <w:t>Equity compensation expense represents vested and unvested units granted to employees and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non-employee directors, for their services as directors, as well as to non-employees and are included in general and administrative expenses in the consolidated statements of comprehensive income. Units granted to employees are measured at their fair value equal to the market value of the Partnership’s common units on the grant date. Unvested units granted to non-employees are initially and subsequently measured at their then current fair value as of the financial reporting dates. The units that contain a time-based service vesting condition are considered unvested units on the grant date and the total fair value of such units is recognized on a straight-line basis over the requisite service period. In addition, unvested awards granted to non-employees are measured at their then-current fair value as of the financial reporting dates (Note 13).</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58" w:lineRule="exact"/>
        <w:rPr>
          <w:sz w:val="20"/>
          <w:szCs w:val="20"/>
          <w:color w:val="auto"/>
        </w:rPr>
      </w:pPr>
    </w:p>
    <w:p>
      <w:pPr>
        <w:ind w:left="460" w:right="20" w:hanging="452"/>
        <w:spacing w:after="0" w:line="287" w:lineRule="auto"/>
        <w:tabs>
          <w:tab w:leader="none" w:pos="460" w:val="left"/>
        </w:tabs>
        <w:numPr>
          <w:ilvl w:val="0"/>
          <w:numId w:val="162"/>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color w:val="auto"/>
        </w:rPr>
        <w:t>In January 2017, the Financial Accounting Standards Board (“FASB”) issued the Accounting Standard Update</w:t>
      </w:r>
      <w:r>
        <w:rPr>
          <w:rFonts w:ascii="Arial" w:cs="Arial" w:eastAsia="Arial" w:hAnsi="Arial"/>
          <w:sz w:val="16"/>
          <w:szCs w:val="16"/>
          <w:b w:val="1"/>
          <w:bCs w:val="1"/>
          <w:color w:val="auto"/>
        </w:rPr>
        <w:t xml:space="preserve"> </w:t>
      </w:r>
      <w:r>
        <w:rPr>
          <w:rFonts w:ascii="Arial" w:cs="Arial" w:eastAsia="Arial" w:hAnsi="Arial"/>
          <w:sz w:val="16"/>
          <w:szCs w:val="16"/>
          <w:color w:val="auto"/>
        </w:rPr>
        <w:t>(“ASU”) 2017-01 Business Combinations to clarify the definition of a business with the objective of adding guidance to assist entities with evaluating whether transactions should be accounted for as acquisition (or disposals) of assets or businesses. Under current implementation guidance the existence of an integrated set of acquired activities (inputs and processes that generate outputs) constitutes an acquisition of business. This ASU provides a screen to determine when a set of assets and activities does not constitute a business. The screen requires that when substantially all of the fair value of the gross assets acquired (or disposed of) is concentrated in a single identifiable asset or a group of similar identifiable assets, the set is not a business. This update is effective for public entities with reporting periods beginning after December 15, 2017, including interim periods within those years. The amendments of this ASU should be applied prospectively on or after the effective date. Early adoption is permitted, including adoption in an interim period 1) for transactions for which the acquisition date occurs before the issuance date or effective date of the ASU, only when the transaction has not been reported in financial statements that have been issued or made available for issuance and 2) for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The Partnership will adopt this update from January 1, 2018 and believes that the adoption of this update will not have any material impact on its financial statements.</w:t>
      </w:r>
    </w:p>
    <w:p>
      <w:pPr>
        <w:spacing w:after="0" w:line="60" w:lineRule="exact"/>
        <w:rPr>
          <w:rFonts w:ascii="Arial" w:cs="Arial" w:eastAsia="Arial" w:hAnsi="Arial"/>
          <w:sz w:val="16"/>
          <w:szCs w:val="16"/>
          <w:b w:val="1"/>
          <w:bCs w:val="1"/>
          <w:i w:val="1"/>
          <w:iCs w:val="1"/>
          <w:color w:val="auto"/>
        </w:rPr>
      </w:pPr>
    </w:p>
    <w:p>
      <w:pPr>
        <w:ind w:left="460" w:right="40"/>
        <w:spacing w:after="0" w:line="271"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November 2016 the FASB issued the ASU 2016-18 – Restricted cash. This ASU requires that a statement of cash flows explains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 of period and end of period total amounts shown on the statement of cash flows. This update is effective for public entities with reporting periods beginning after December 15, 2017, including interim periods within those years and is required to be applied retrospectively. Early adoption is permitted, including adoption in an interim period. The implementation of this update affects the presentation in the statement of cash flows as currently changes in restricted cash are included within investing activities and has no impact on the Partnership’s balance sheet and statement of comprehensive income. The Partnership has not elected early adoption.</w:t>
      </w:r>
    </w:p>
    <w:p>
      <w:pPr>
        <w:spacing w:after="0" w:line="70" w:lineRule="exact"/>
        <w:rPr>
          <w:rFonts w:ascii="Arial" w:cs="Arial" w:eastAsia="Arial" w:hAnsi="Arial"/>
          <w:sz w:val="16"/>
          <w:szCs w:val="16"/>
          <w:b w:val="1"/>
          <w:bCs w:val="1"/>
          <w:i w:val="1"/>
          <w:iCs w:val="1"/>
          <w:color w:val="auto"/>
        </w:rPr>
      </w:pPr>
    </w:p>
    <w:p>
      <w:pPr>
        <w:ind w:left="460" w:right="20"/>
        <w:spacing w:after="0" w:line="273"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August 2016, the FASB issued the ASU 2016-15 – classification of certain cash payments and cash receipts. This ASU addresses certain cash flow issues with the objective of reducing the existing diversity in practice. This update is effective for public entities with reporting periods beginning after December 15, 2017, including interim periods within those years. Early adoption is permitted, including adoption in an interim period. It must be applied retrospectively to all periods presented but may be applied prospectively from the earliest date practicable, if retrospective application would be impracticable. The Partnership evaluated the impact of this ASU on its financial statements and determined that there is no impact as the classification of the related cash payments and cash receipts has always been reported as described in the ASU.</w:t>
      </w:r>
    </w:p>
    <w:p>
      <w:pPr>
        <w:spacing w:after="0" w:line="70" w:lineRule="exact"/>
        <w:rPr>
          <w:rFonts w:ascii="Arial" w:cs="Arial" w:eastAsia="Arial" w:hAnsi="Arial"/>
          <w:sz w:val="16"/>
          <w:szCs w:val="16"/>
          <w:b w:val="1"/>
          <w:bCs w:val="1"/>
          <w:i w:val="1"/>
          <w:iCs w:val="1"/>
          <w:color w:val="auto"/>
        </w:rPr>
      </w:pPr>
    </w:p>
    <w:p>
      <w:pPr>
        <w:jc w:val="both"/>
        <w:ind w:left="460" w:right="100"/>
        <w:spacing w:after="0" w:line="286"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March 2016, the FASB issued the ASU No 2016-09, Stock Compensation, which is intended to simplify several aspects of the accounting for share-based payment award transactions. The guidance was effective for the fiscal year beginning after December 15, 2016, including interim periods within that year. During 2017 the Partnership adopted this ASU with no material impact on its financial statements.</w:t>
      </w:r>
    </w:p>
    <w:p>
      <w:pPr>
        <w:spacing w:after="0" w:line="57" w:lineRule="exact"/>
        <w:rPr>
          <w:rFonts w:ascii="Arial" w:cs="Arial" w:eastAsia="Arial" w:hAnsi="Arial"/>
          <w:sz w:val="16"/>
          <w:szCs w:val="16"/>
          <w:b w:val="1"/>
          <w:bCs w:val="1"/>
          <w:i w:val="1"/>
          <w:iCs w:val="1"/>
          <w:color w:val="auto"/>
        </w:rPr>
      </w:pPr>
    </w:p>
    <w:p>
      <w:pPr>
        <w:ind w:left="460" w:right="40"/>
        <w:spacing w:after="0" w:line="271"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February 2016, the FASB issued the ASU 2016-02, Leases (Topic 842). The main provision of this ASU is the recognition of lease assets and lease liabilities by lessees for those leases classified as operating leases. Accounting by lessors will remain largely unchanged from current U.S. GAAP but require the lessors to separate lease and non-lease components. The requirements of this standard include an increase in required disclosures. The Partnership expects that its time charter arrangements will be subject to the requirements of the new Leases standard as the Partnership will be regarded as the lessor. The new leases standard requires a modified retrospective transition approach for all leases existing at, or entered into after the date of initial application, with an option to use certain transition relief. This update is effective for public entities with reporting periods beginning after December 15, 2018, including interim periods within those years. Early adoption is permitted. The Partnership is currently evaluating the impact, if any, of the adoption of this new standard and will evaluate any amendments that may be issued.</w:t>
      </w:r>
    </w:p>
    <w:p>
      <w:pPr>
        <w:spacing w:after="0" w:line="70" w:lineRule="exact"/>
        <w:rPr>
          <w:rFonts w:ascii="Arial" w:cs="Arial" w:eastAsia="Arial" w:hAnsi="Arial"/>
          <w:sz w:val="16"/>
          <w:szCs w:val="16"/>
          <w:b w:val="1"/>
          <w:bCs w:val="1"/>
          <w:i w:val="1"/>
          <w:iCs w:val="1"/>
          <w:color w:val="auto"/>
        </w:rPr>
      </w:pPr>
    </w:p>
    <w:p>
      <w:pPr>
        <w:ind w:left="460"/>
        <w:spacing w:after="0" w:line="257" w:lineRule="auto"/>
        <w:rPr>
          <w:rFonts w:ascii="Arial" w:cs="Arial" w:eastAsia="Arial" w:hAnsi="Arial"/>
          <w:sz w:val="16"/>
          <w:szCs w:val="16"/>
          <w:b w:val="1"/>
          <w:bCs w:val="1"/>
          <w:i w:val="1"/>
          <w:iCs w:val="1"/>
          <w:color w:val="auto"/>
        </w:rPr>
      </w:pPr>
      <w:r>
        <w:rPr>
          <w:rFonts w:ascii="Arial" w:cs="Arial" w:eastAsia="Arial" w:hAnsi="Arial"/>
          <w:sz w:val="18"/>
          <w:szCs w:val="18"/>
          <w:color w:val="auto"/>
        </w:rPr>
        <w:t>In July 2015, the FASB issued the ASU 2015-11, Simplifying the Measurement of Inventory to simplify the measurement of inventory using first-in, first out (FIFO) or average cost method. According to this ASU an entity should measure inventory at the lower of cost and net realizable value. Net realizable value is the estimated selling prices less reasonably predictable costs of completion, disposal and transportation. This update was effective for public entities with reporting periods beginning after December 15, 2016 and early adoption was permitted. During 2017 the Partnership adopted this ASU with no material impact on its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31"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 Continued</w:t>
      </w:r>
    </w:p>
    <w:p>
      <w:pPr>
        <w:spacing w:after="0" w:line="16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May 28, 2014, the FASB issued the ASU No 2014-09 Revenue from Contracts with Customers. ASU 2014-09, as amended, outlines a single comprehensive model for entities to use in accounting for revenue arising from contracts with customers and supersedes most current revenue recognition guidance, including industry-specific guidance. The standard is effective for annual periods beginning after December 15, 2017, and interim periods therein, and shall be applied either retrospectively to each period presented or as a cumulative-effect adjustment as of the date of adoption. The Partnership adopted this ASU for the reporting period commencing on January 1, 2018. The Partnership elected to use the modified retrospective transition method for the implementation of this standard. As a result of the adoption of this standard revenues generated under voyage charter agreements will be recognized on a pro-rata basis from the date of loading to discharge of cargo. Prior to the adoption of this standard, revenues generated under voyage charter agreements were recognized on a pro-rata basis over the period of the voyage which was deemed to commence upon the later of the completion of discharge of the vessel’s previous cargo or upon vessel’s arrival to the agreed upon port, and deemed to end upon the completion of discharge of the delivered cargo. The financial impact on the Partnership’s financial statements will derive from voyage charters which do not commence and end in the same reporting period due to the timing of recognition of revenue, as well as the timing of recognition of certain voyage related costs. As voyage charters represent 5.8% of the Partnership’s revenues for the year ended December 31, 2017, and only three vessels of the Partnership had voyage charters that were in progress as of December 31, 2017, we expect the effect of implementation to be insignificant.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Filonikis Product Carrier S.A. (M/T Amor)</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October 24, 2016, following the unanimous recommendation of the conflicts committee and the unanimous approval of the board of directors, the Partnership acquired the shares of Filonikis, the owning company of the M/T Amor from CMTC for a total consideration of $16,911. The Partnership also assumed, on the acquisition date, CMTC’s guarantee with respect to the outstanding balance of $15,750 of the loan that Filonikis had entered into and was arranged by CMTC (Note 7). The vessel at the time of her acquisition by the Partnership was fixed on a two-year time charter with Cargill International S.A. (“Cargill”) ending October 2017, with the option to terminate 30 days earlier, and immediately thereafter with CMTC for a two-month period time charter.</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Partnership accounted for the acquisition of Filonikis as an acquisition of a business. All assets and liabilities of Filonikis except the vessel, necessary permits, the time charter agreements and the loan, were retained by CMTC. The purchase price of the acquisition has been allocated to the identifiable assets acquired and liabilities assumed.</w:t>
      </w:r>
    </w:p>
    <w:p>
      <w:pPr>
        <w:spacing w:after="0" w:line="330"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total purchase consideration of $16,911 was funded by $16,000 from the Partnership’s cash and the issuance of 283,696 new Partnership’s common units at a price of $3.21 per unit as quoted on the Nasdaq Stock Exchange on October 24, 2016 the day of the acquisition of Filonikis (Note 12).</w:t>
      </w:r>
    </w:p>
    <w:p>
      <w:pPr>
        <w:spacing w:after="0" w:line="272"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Acquisition related costs of $264 are included in general and administrative expenses in the Partnership’s consolidated statements of comprehensive income for the year ended December 31, 2016.</w:t>
      </w:r>
    </w:p>
    <w:p>
      <w:pPr>
        <w:spacing w:after="0" w:line="319"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allocation of the purchase price to acquired identifiable assets and liabilities assumed was based on their estimated fair values at the date of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allocated to each class of identifiable assets acquired and liabilities assumed of Filonikis was calculated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October 24,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Vessel</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Above market acquired time charters</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Loan</w:t>
            </w: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360"/>
          </w:cols>
          <w:pgMar w:left="240" w:top="459" w:right="29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Filonikis Product Carrier S.A. (M/T Amor) – Continued</w:t>
      </w:r>
    </w:p>
    <w:p>
      <w:pPr>
        <w:spacing w:after="0" w:line="256"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 - Continued</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Partnership concluded that its measurements for the assets acquired appropriately reflect consideration of all available information that existed as of the acquisition date. The fair value of the vessel of $31,600 was quoted by independent ship brokers at the time of her acquisition by the Partnership and the fair value of the loan of $15,750 was determined to be its face value.</w:t>
      </w:r>
    </w:p>
    <w:p>
      <w:pPr>
        <w:spacing w:after="0" w:line="330"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on the purchase of Filonikis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Intangible</w:t>
            </w:r>
          </w:p>
        </w:tc>
        <w:tc>
          <w:tcPr>
            <w:tcW w:w="2960" w:type="dxa"/>
            <w:vAlign w:val="bottom"/>
          </w:tcPr>
          <w:p>
            <w:pPr>
              <w:jc w:val="center"/>
              <w:ind w:left="1464"/>
              <w:spacing w:after="0"/>
              <w:rPr>
                <w:sz w:val="20"/>
                <w:szCs w:val="20"/>
                <w:color w:val="auto"/>
              </w:rPr>
            </w:pPr>
            <w:r>
              <w:rPr>
                <w:rFonts w:ascii="Arial" w:cs="Arial" w:eastAsia="Arial" w:hAnsi="Arial"/>
                <w:sz w:val="14"/>
                <w:szCs w:val="14"/>
                <w:b w:val="1"/>
                <w:bCs w:val="1"/>
                <w:color w:val="auto"/>
                <w:w w:val="85"/>
              </w:rPr>
              <w:t>As of</w:t>
            </w:r>
          </w:p>
        </w:tc>
        <w:tc>
          <w:tcPr>
            <w:tcW w:w="1220" w:type="dxa"/>
            <w:vAlign w:val="bottom"/>
          </w:tcPr>
          <w:p>
            <w:pPr>
              <w:jc w:val="center"/>
              <w:ind w:left="184"/>
              <w:spacing w:after="0"/>
              <w:rPr>
                <w:sz w:val="20"/>
                <w:szCs w:val="20"/>
                <w:color w:val="auto"/>
              </w:rPr>
            </w:pPr>
            <w:r>
              <w:rPr>
                <w:rFonts w:ascii="Arial" w:cs="Arial" w:eastAsia="Arial" w:hAnsi="Arial"/>
                <w:sz w:val="14"/>
                <w:szCs w:val="14"/>
                <w:b w:val="1"/>
                <w:bCs w:val="1"/>
                <w:color w:val="auto"/>
                <w:w w:val="96"/>
              </w:rPr>
              <w:t>Duration of</w:t>
            </w:r>
          </w:p>
        </w:tc>
        <w:tc>
          <w:tcPr>
            <w:tcW w:w="0" w:type="dxa"/>
            <w:vAlign w:val="bottom"/>
          </w:tcPr>
          <w:p>
            <w:pPr>
              <w:spacing w:after="0"/>
              <w:rPr>
                <w:sz w:val="1"/>
                <w:szCs w:val="1"/>
                <w:color w:val="auto"/>
              </w:rPr>
            </w:pPr>
          </w:p>
        </w:tc>
      </w:tr>
      <w:tr>
        <w:trPr>
          <w:trHeight w:val="149"/>
        </w:trPr>
        <w:tc>
          <w:tcPr>
            <w:tcW w:w="4500" w:type="dxa"/>
            <w:vAlign w:val="bottom"/>
            <w:vMerge w:val="continue"/>
          </w:tcPr>
          <w:p>
            <w:pPr>
              <w:spacing w:after="0"/>
              <w:rPr>
                <w:sz w:val="12"/>
                <w:szCs w:val="12"/>
                <w:color w:val="auto"/>
              </w:rPr>
            </w:pPr>
          </w:p>
        </w:tc>
        <w:tc>
          <w:tcPr>
            <w:tcW w:w="2960" w:type="dxa"/>
            <w:vAlign w:val="bottom"/>
          </w:tcPr>
          <w:p>
            <w:pPr>
              <w:jc w:val="center"/>
              <w:ind w:left="1484"/>
              <w:spacing w:after="0" w:line="149" w:lineRule="exact"/>
              <w:rPr>
                <w:sz w:val="20"/>
                <w:szCs w:val="20"/>
                <w:color w:val="auto"/>
              </w:rPr>
            </w:pPr>
            <w:r>
              <w:rPr>
                <w:rFonts w:ascii="Arial" w:cs="Arial" w:eastAsia="Arial" w:hAnsi="Arial"/>
                <w:sz w:val="14"/>
                <w:szCs w:val="14"/>
                <w:b w:val="1"/>
                <w:bCs w:val="1"/>
                <w:color w:val="auto"/>
                <w:w w:val="93"/>
              </w:rPr>
              <w:t>October 24,</w:t>
            </w:r>
          </w:p>
        </w:tc>
        <w:tc>
          <w:tcPr>
            <w:tcW w:w="12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3"/>
              </w:rPr>
              <w:t>time charters</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960" w:type="dxa"/>
            <w:vAlign w:val="bottom"/>
          </w:tcPr>
          <w:p>
            <w:pPr>
              <w:jc w:val="right"/>
              <w:ind w:right="484"/>
              <w:spacing w:after="0"/>
              <w:rPr>
                <w:sz w:val="20"/>
                <w:szCs w:val="20"/>
                <w:color w:val="auto"/>
              </w:rPr>
            </w:pPr>
            <w:r>
              <w:rPr>
                <w:rFonts w:ascii="Arial" w:cs="Arial" w:eastAsia="Arial" w:hAnsi="Arial"/>
                <w:sz w:val="14"/>
                <w:szCs w:val="14"/>
                <w:b w:val="1"/>
                <w:bCs w:val="1"/>
                <w:color w:val="auto"/>
              </w:rPr>
              <w:t>2016</w:t>
            </w:r>
          </w:p>
        </w:tc>
        <w:tc>
          <w:tcPr>
            <w:tcW w:w="122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Above market acquired time charter</w:t>
            </w:r>
          </w:p>
        </w:tc>
        <w:tc>
          <w:tcPr>
            <w:tcW w:w="296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   1,061</w:t>
            </w:r>
          </w:p>
        </w:tc>
        <w:tc>
          <w:tcPr>
            <w:tcW w:w="12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1 year</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and the market rate for comparable charters as provided by independent ship brokers on the business combination date discounted at a WACC of approximately 7.5%.</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revenues and net income of Filonikis since its acquisition by the Partnership were $980 and $222 respectively and are included in the Partnership’s consolidated statement of comprehensive income for the year ended December 31, 2016.</w:t>
      </w:r>
    </w:p>
    <w:p>
      <w:pPr>
        <w:spacing w:after="0" w:line="319"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52" w:lineRule="exact"/>
        <w:rPr>
          <w:sz w:val="20"/>
          <w:szCs w:val="20"/>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years ended December 31, 2016 and 2015</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Pro forma results of operations of Filonikis for the period from the vessel’s delivery from the shipyard on September 30, 2015 (vessel inception) to December 31, 2015 and from January 1, 2016 to October 24, 2016 as if the vessel was operating under post acquisition revenue and cost structure.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Filonikis occurred on September 30, 2015 (vessel inception):</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71"/>
        </w:trPr>
        <w:tc>
          <w:tcPr>
            <w:tcW w:w="5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2015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245,825</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221,638</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53,677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55,430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11,101</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850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41,726</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43,215</w:t>
            </w:r>
          </w:p>
        </w:tc>
      </w:t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Net income per common unit basic and 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0.35</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346"/>
        </w:trPr>
        <w:tc>
          <w:tcPr>
            <w:tcW w:w="5440" w:type="dxa"/>
            <w:vAlign w:val="bottom"/>
          </w:tcPr>
          <w:p>
            <w:pPr>
              <w:ind w:left="4160"/>
              <w:spacing w:after="0"/>
              <w:rPr>
                <w:sz w:val="20"/>
                <w:szCs w:val="20"/>
                <w:color w:val="auto"/>
              </w:rPr>
            </w:pPr>
            <w:r>
              <w:rPr>
                <w:rFonts w:ascii="Arial" w:cs="Arial" w:eastAsia="Arial" w:hAnsi="Arial"/>
                <w:sz w:val="18"/>
                <w:szCs w:val="18"/>
                <w:color w:val="auto"/>
              </w:rPr>
              <w:t>F-13</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Partnership and its subsidiaries have related party transactions with CMTC which is a related party unit holder. The Partnership and its subsidiaries have also related party transactions with the Manager, arising from certain terms of the following three different types of management agreements.</w:t>
      </w:r>
    </w:p>
    <w:p>
      <w:pPr>
        <w:spacing w:after="0" w:line="29" w:lineRule="exact"/>
        <w:rPr>
          <w:sz w:val="20"/>
          <w:szCs w:val="20"/>
          <w:color w:val="auto"/>
        </w:rPr>
      </w:pPr>
    </w:p>
    <w:p>
      <w:pPr>
        <w:ind w:left="900" w:right="20" w:hanging="446"/>
        <w:spacing w:after="0" w:line="288" w:lineRule="auto"/>
        <w:tabs>
          <w:tab w:leader="none" w:pos="90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Fixed fee management agreement: </w:t>
      </w:r>
      <w:r>
        <w:rPr>
          <w:rFonts w:ascii="Arial" w:cs="Arial" w:eastAsia="Arial" w:hAnsi="Arial"/>
          <w:sz w:val="16"/>
          <w:szCs w:val="16"/>
          <w:color w:val="auto"/>
        </w:rPr>
        <w:t>At the time of the completion of its Initial Public Offering (“IPO”), the Partnership entered into an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its Manager, according to which the Manager provides the Partnership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the Manager is entitled to supplementary compensation for additional fees and costs (as defined in the agreement) of any direct and indirect additional expenses it reasonably incurs in providing these services, which may vary from time to time. For the years ended December 31, 2017, 2016 and 2015 management fees under the fixed fee management agreement amounted to $488, $981 and $3,221, respectively. The Partnership also pays a fixed daily fee per bareboat chartered vessel in its fleet, mainly to cover compliance and commercial costs, which include those costs incurred by the Manager to remain in compliance with the oil majors’ requirements, including vetting requirements;</w:t>
      </w:r>
    </w:p>
    <w:p>
      <w:pPr>
        <w:spacing w:after="0" w:line="74" w:lineRule="exact"/>
        <w:rPr>
          <w:rFonts w:ascii="Arial" w:cs="Arial" w:eastAsia="Arial" w:hAnsi="Arial"/>
          <w:sz w:val="16"/>
          <w:szCs w:val="16"/>
          <w:b w:val="1"/>
          <w:bCs w:val="1"/>
          <w:color w:val="auto"/>
        </w:rPr>
      </w:pPr>
    </w:p>
    <w:p>
      <w:pPr>
        <w:ind w:left="900" w:right="40" w:hanging="446"/>
        <w:spacing w:after="0" w:line="291" w:lineRule="auto"/>
        <w:tabs>
          <w:tab w:leader="none" w:pos="90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Floating fee management agreement: </w:t>
      </w:r>
      <w:r>
        <w:rPr>
          <w:rFonts w:ascii="Arial" w:cs="Arial" w:eastAsia="Arial" w:hAnsi="Arial"/>
          <w:sz w:val="16"/>
          <w:szCs w:val="16"/>
          <w:color w:val="auto"/>
        </w:rPr>
        <w:t>On June 9, 2011, the Partnership entered into an agreement with its Manager based on actual expenses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vessel. Under the terms of this agreement, the Partnership compensates its Manager for expenses and liabilities incurred on the Partnership’s behalf while providing the agreed services, including, but not limited to, crew, repairs and maintenance, insurance, stores, spares, lubricants and other operating costs. Costs and expenses associated with a managed vessel’s next scheduled dry docking are borne by the Partnership and not by the Manager. The Partnership also pays its Manager a daily technical management fee per managed vessel that is revised annually based on the United States Consumer Price Index. For the years ended December 31, 2017, 2016 and 2015 management fees under the floating fee management agreement amounted to $10,100, $8,865 and $7,477, respectively; and</w:t>
      </w:r>
    </w:p>
    <w:p>
      <w:pPr>
        <w:spacing w:after="0" w:line="72" w:lineRule="exact"/>
        <w:rPr>
          <w:rFonts w:ascii="Arial" w:cs="Arial" w:eastAsia="Arial" w:hAnsi="Arial"/>
          <w:sz w:val="16"/>
          <w:szCs w:val="16"/>
          <w:b w:val="1"/>
          <w:bCs w:val="1"/>
          <w:color w:val="auto"/>
        </w:rPr>
      </w:pPr>
    </w:p>
    <w:p>
      <w:pPr>
        <w:ind w:left="900" w:right="80" w:hanging="446"/>
        <w:spacing w:after="0" w:line="291" w:lineRule="auto"/>
        <w:tabs>
          <w:tab w:leader="none" w:pos="90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Crude management agreement: </w:t>
      </w:r>
      <w:r>
        <w:rPr>
          <w:rFonts w:ascii="Arial" w:cs="Arial" w:eastAsia="Arial" w:hAnsi="Arial"/>
          <w:sz w:val="16"/>
          <w:szCs w:val="16"/>
          <w:color w:val="auto"/>
        </w:rPr>
        <w:t>On September 30, 2011, the Partnership completed the acquisition of Crude Carriers Corp. and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(“Crude”). Three of the five crude tanker vessels that the Partnership acquired at the time of the completion of the merger with Crude continue to be managed under a management agreement entered into in March 2010 with the Manager, whose initial term expires on December 31, 2020. Under the terms of this agreement the Partnership compensates the Manager for all of its expenses and liabilities incurred on the Partnership’s behalf while providing the agreed services, including, but not limited to, crew, repairs and maintenance, insurance, stores, spares, lubricants and other operating and administrative costs. For the years ended December 31, 2017, 2016 and 2015 management fees under the crude management agreement amounted to $1,041, $1,020 and $1,010, respectively. Prior to January 1, 2017 the Partnership paid its Manager the following fees:</w:t>
      </w:r>
    </w:p>
    <w:p>
      <w:pPr>
        <w:spacing w:after="0" w:line="59" w:lineRule="exact"/>
        <w:rPr>
          <w:rFonts w:ascii="Arial" w:cs="Arial" w:eastAsia="Arial" w:hAnsi="Arial"/>
          <w:sz w:val="16"/>
          <w:szCs w:val="16"/>
          <w:b w:val="1"/>
          <w:bCs w:val="1"/>
          <w:color w:val="auto"/>
        </w:rPr>
      </w:pPr>
    </w:p>
    <w:p>
      <w:pPr>
        <w:ind w:left="1160" w:hanging="239"/>
        <w:spacing w:after="0"/>
        <w:tabs>
          <w:tab w:leader="none" w:pos="11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 daily technical management fee per managed vessel that is revised annually based on the United States Consumer Price Index;</w:t>
      </w:r>
    </w:p>
    <w:p>
      <w:pPr>
        <w:spacing w:after="0" w:line="128" w:lineRule="exact"/>
        <w:rPr>
          <w:rFonts w:ascii="Arial" w:cs="Arial" w:eastAsia="Arial" w:hAnsi="Arial"/>
          <w:sz w:val="17"/>
          <w:szCs w:val="17"/>
          <w:color w:val="auto"/>
        </w:rPr>
      </w:pPr>
    </w:p>
    <w:p>
      <w:pPr>
        <w:ind w:left="920" w:right="1020" w:firstLine="1"/>
        <w:spacing w:after="0" w:line="277" w:lineRule="auto"/>
        <w:tabs>
          <w:tab w:leader="none" w:pos="117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sale &amp; purchase fee equal to 1% of the gross purchase or sale price upon the consummation of any purchase or sale of a vessel acquired/disposed by Crude; and</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 commercial services fee equal to 1.25% of all gross charter revenues generated by each vessel for commercial services rendered.</w:t>
      </w:r>
    </w:p>
    <w:p>
      <w:pPr>
        <w:spacing w:after="0" w:line="129"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Effective from January 1, 2017 the Manager agreed to waive going forward (i) the sale and purchase fee equal to 1% of the gross purchase or sale price upon the consummation of any purchase or sale of the three vessels and (ii) the commercial services fee equal to 1.25% of all gross charter revenues generated by each of the three vessels for commercial services rendered. For the years ended December 31, 2016 and 2015, such commercial services amounted to $360 and $411, respectively, and are included in “Voyage expenses – related party” in the accompanying consolidated statements of comprehensive income.</w:t>
      </w:r>
    </w:p>
    <w:p>
      <w:pPr>
        <w:spacing w:after="0" w:line="80"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The Manager has the right to terminate the Crude management agreement and, under certain circumstances, could receive substantial sums in connection with such termination. In March 2017 this termination fee was adjusted to $10,124 from $9,858.</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All the above three agreements constitute the “Management Agreements” and the related management fees are included in “Vessel operating expenses – related party” in the accompanying consolidated statements of comprehensive income.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4, 2007, the Partnership entered into an administrative services agreement with the Manager, pursuant to which the Manager has agreed to provide certain administrative management services to the Partnership such as accounting, auditing, legal, insurance, IT, clerical, and other administrative services. Also the Partnership reimburses the Manager and its general partner, Capital GP L.L.C. (the “CGP”) for reasonable costs and expenses incurred in connection with the provision of these services after the Manager submits to the Partnership an invoice for such costs and expenses, together with any supporting detail that may be reasonably required. These expenses are included in general and administrative expenses in the consolidated statements of comprehensive income. In January 2016, the Partnership amended the executive services agreement with CGP according to which CGP provides certain executive officers services for the management of the Partnership’s business as well as investor relation and corporate support services to the Partnership. For the years ended December 31, 2017, 2016 and 2015 such fees amounted to $1,688, $1,688 and $1,624, respectively, and are included in “General and administrative expenses” in the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Balances and transactions with related parties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Balance Sheets</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6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48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Manager – payments on behalf of the Partnership (a)</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13,218</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to CSM (b)</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Due to related parties</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14,234</w:t>
            </w:r>
          </w:p>
        </w:tc>
        <w:tc>
          <w:tcPr>
            <w:tcW w:w="3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16,095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 current (e)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17,063</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For the year ended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Statements of Income</w:t>
            </w: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94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6"/>
                <w:szCs w:val="16"/>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6"/>
                <w:szCs w:val="16"/>
                <w:color w:val="auto"/>
              </w:rPr>
            </w:pPr>
          </w:p>
        </w:tc>
      </w:tr>
      <w:tr>
        <w:trPr>
          <w:trHeight w:val="190"/>
        </w:trPr>
        <w:tc>
          <w:tcPr>
            <w:tcW w:w="2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Revenues (c)</w:t>
            </w:r>
          </w:p>
        </w:tc>
        <w:tc>
          <w:tcPr>
            <w:tcW w:w="47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$44,653</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$36,026</w:t>
            </w:r>
          </w:p>
        </w:tc>
        <w:tc>
          <w:tcPr>
            <w:tcW w:w="4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$63,731</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Voyage expenses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360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11,629</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10,866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11,708</w:t>
            </w: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General and administrative expenses (d)</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1,983</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2,076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2,569</w:t>
            </w:r>
          </w:p>
        </w:tc>
      </w:tr>
    </w:tbl>
    <w:p>
      <w:pPr>
        <w:spacing w:after="0" w:line="187" w:lineRule="exact"/>
        <w:rPr>
          <w:sz w:val="20"/>
          <w:szCs w:val="20"/>
          <w:color w:val="auto"/>
        </w:rPr>
      </w:pPr>
    </w:p>
    <w:p>
      <w:pPr>
        <w:ind w:right="220" w:firstLine="8"/>
        <w:spacing w:after="0" w:line="277" w:lineRule="auto"/>
        <w:tabs>
          <w:tab w:leader="none" w:pos="255" w:val="left"/>
        </w:tabs>
        <w:numPr>
          <w:ilvl w:val="0"/>
          <w:numId w:val="1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Manager—Payments on Behalf of the Partnership: </w:t>
      </w:r>
      <w:r>
        <w:rPr>
          <w:rFonts w:ascii="Arial" w:cs="Arial" w:eastAsia="Arial" w:hAnsi="Arial"/>
          <w:sz w:val="18"/>
          <w:szCs w:val="18"/>
          <w:color w:val="auto"/>
        </w:rPr>
        <w:t>This line item represents the amount outstanding for payments for operating and voyage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by the Manager on behalf of the Partnership and its subsidiaries.</w:t>
      </w:r>
    </w:p>
    <w:p>
      <w:pPr>
        <w:spacing w:after="0" w:line="170" w:lineRule="exact"/>
        <w:rPr>
          <w:rFonts w:ascii="Arial" w:cs="Arial" w:eastAsia="Arial" w:hAnsi="Arial"/>
          <w:sz w:val="18"/>
          <w:szCs w:val="18"/>
          <w:b w:val="1"/>
          <w:bCs w:val="1"/>
          <w:i w:val="1"/>
          <w:iCs w:val="1"/>
          <w:color w:val="auto"/>
        </w:rPr>
      </w:pPr>
    </w:p>
    <w:p>
      <w:pPr>
        <w:ind w:right="400" w:firstLine="8"/>
        <w:spacing w:after="0" w:line="277" w:lineRule="auto"/>
        <w:tabs>
          <w:tab w:leader="none" w:pos="255" w:val="left"/>
        </w:tabs>
        <w:numPr>
          <w:ilvl w:val="0"/>
          <w:numId w:val="1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Management fee payable to CSM </w:t>
      </w:r>
      <w:r>
        <w:rPr>
          <w:rFonts w:ascii="Arial" w:cs="Arial" w:eastAsia="Arial" w:hAnsi="Arial"/>
          <w:sz w:val="18"/>
          <w:szCs w:val="18"/>
          <w:color w:val="auto"/>
        </w:rPr>
        <w:t>: The amount outstanding as of December 31, 2017 and 2016 represents the management fee payable to CSM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the Management Agreements the Partnership entered into with the Manager.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2" w:lineRule="exact"/>
        <w:rPr>
          <w:sz w:val="20"/>
          <w:szCs w:val="20"/>
          <w:color w:val="auto"/>
        </w:rPr>
      </w:pPr>
    </w:p>
    <w:p>
      <w:pPr>
        <w:ind w:right="60" w:firstLine="8"/>
        <w:spacing w:after="0" w:line="277" w:lineRule="auto"/>
        <w:tabs>
          <w:tab w:leader="none" w:pos="245"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The following table includes information regarding the charter agreements that were in place between the Partnership and CMTC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during 2017 and 2016.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Time</w:t>
            </w:r>
          </w:p>
        </w:tc>
        <w:tc>
          <w:tcPr>
            <w:tcW w:w="17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Commencement of</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Termination 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Gross (Net) Daily</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3740" w:type="dxa"/>
            <w:vAlign w:val="bottom"/>
            <w:vMerge w:val="restart"/>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Charter (TC)</w:t>
            </w:r>
          </w:p>
        </w:tc>
        <w:tc>
          <w:tcPr>
            <w:tcW w:w="1780" w:type="dxa"/>
            <w:vAlign w:val="bottom"/>
            <w:gridSpan w:val="2"/>
            <w:vMerge w:val="continue"/>
          </w:tcPr>
          <w:p>
            <w:pPr>
              <w:spacing w:after="0"/>
              <w:rPr>
                <w:sz w:val="12"/>
                <w:szCs w:val="12"/>
                <w:color w:val="auto"/>
              </w:rPr>
            </w:pPr>
          </w:p>
        </w:tc>
        <w:tc>
          <w:tcPr>
            <w:tcW w:w="16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earliest expected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6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Charter</w:t>
            </w:r>
          </w:p>
        </w:tc>
        <w:tc>
          <w:tcPr>
            <w:tcW w:w="6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redelivery</w:t>
            </w:r>
          </w:p>
        </w:tc>
        <w:tc>
          <w:tcPr>
            <w:tcW w:w="6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Hire Rate</w:t>
            </w:r>
          </w:p>
        </w:tc>
        <w:tc>
          <w:tcPr>
            <w:tcW w:w="0" w:type="dxa"/>
            <w:vAlign w:val="bottom"/>
          </w:tcPr>
          <w:p>
            <w:pPr>
              <w:spacing w:after="0"/>
              <w:rPr>
                <w:sz w:val="1"/>
                <w:szCs w:val="1"/>
                <w:color w:val="auto"/>
              </w:rPr>
            </w:pPr>
          </w:p>
        </w:tc>
      </w:tr>
      <w:tr>
        <w:trPr>
          <w:trHeight w:val="190"/>
        </w:trPr>
        <w:tc>
          <w:tcPr>
            <w:tcW w:w="4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M/T Agisilaos</w:t>
            </w:r>
          </w:p>
        </w:tc>
        <w:tc>
          <w:tcPr>
            <w:tcW w:w="8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1.0</w:t>
            </w: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09/2015</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06/2016</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$14.5 ($14.3)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12/2014</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01/2016</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$15.0 ($14.8)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01/2017</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02/2018</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 ($10.9)</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08/2016</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09/2017</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$21.0 ($20.7)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Akeraios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03/2015</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04/2016</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$15.6 ($15.4)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04/2015</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01/2016</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$15.6 ($15.4)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06/2015</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01/2016</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 ($17.0)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1.1 to 1.3</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12/2015</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12/2016</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$19.0 ($18.8)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01/2017</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02/2018</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$13.8 ($13.6)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Ayrton II</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02/2016</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02/2018</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$18.0 ($17.8)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Miltiadis M II</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09/2015</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05/2016</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$35.0 ($34.6)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08/2016</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08/2017</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$25.0 ($24.7)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Miltiadis M II</w:t>
            </w:r>
          </w:p>
        </w:tc>
        <w:tc>
          <w:tcPr>
            <w:tcW w:w="14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0.8 to 1.0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10/2017</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08/2018</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 ($18.0)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Amadeus</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06/2015</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08/2017</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Atlantas II</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10/2016</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12/2017</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 ($12.8)</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Amoureux</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04/2017</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03/2018</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$22.0 ($22.0)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Aktoras</w:t>
            </w:r>
          </w:p>
        </w:tc>
        <w:tc>
          <w:tcPr>
            <w:tcW w:w="14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0.8 to 1.0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09/2017</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01/2018</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 ($10.9)</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M/T Aiolos</w:t>
            </w: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0.8 to 1.0</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09/2017</w:t>
            </w:r>
          </w:p>
        </w:tc>
        <w:tc>
          <w:tcPr>
            <w:tcW w:w="6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07/2018</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$11.0 ($10.9)</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09/2017</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01/2018</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 ($13.8)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This line item mainly includes fees relating to internal audit, investor relations and consultancy fees.</w:t>
      </w:r>
    </w:p>
    <w:p>
      <w:pPr>
        <w:spacing w:after="0" w:line="236" w:lineRule="exact"/>
        <w:rPr>
          <w:rFonts w:ascii="Arial" w:cs="Arial" w:eastAsia="Arial" w:hAnsi="Arial"/>
          <w:sz w:val="17"/>
          <w:szCs w:val="17"/>
          <w:b w:val="1"/>
          <w:bCs w:val="1"/>
          <w:i w:val="1"/>
          <w:iCs w:val="1"/>
          <w:color w:val="auto"/>
        </w:rPr>
      </w:pPr>
    </w:p>
    <w:p>
      <w:pPr>
        <w:ind w:right="60" w:firstLine="8"/>
        <w:spacing w:after="0" w:line="277" w:lineRule="auto"/>
        <w:tabs>
          <w:tab w:leader="none" w:pos="245" w:val="left"/>
        </w:tabs>
        <w:numPr>
          <w:ilvl w:val="0"/>
          <w:numId w:val="1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Revenue: </w:t>
      </w:r>
      <w:r>
        <w:rPr>
          <w:rFonts w:ascii="Arial" w:cs="Arial" w:eastAsia="Arial" w:hAnsi="Arial"/>
          <w:sz w:val="18"/>
          <w:szCs w:val="18"/>
          <w:color w:val="auto"/>
        </w:rPr>
        <w:t>As of December 31, 2017 and 2016 the Partnership had received cash in advance for charter hire relating to revenue earned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 period from CMTC.</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0960"/>
          </w:cols>
          <w:pgMar w:left="240" w:top="460" w:right="6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 and assets held for sale</w:t>
      </w:r>
    </w:p>
    <w:p>
      <w:pPr>
        <w:spacing w:after="0" w:line="131"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Advances for vessels under construction – related party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advances for vessels under construction – related party is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80" w:type="dxa"/>
            <w:vAlign w:val="bottom"/>
            <w:gridSpan w:val="4"/>
          </w:tcPr>
          <w:p>
            <w:pPr>
              <w:spacing w:after="0"/>
              <w:rPr>
                <w:sz w:val="20"/>
                <w:szCs w:val="20"/>
                <w:color w:val="auto"/>
              </w:rPr>
            </w:pPr>
            <w:r>
              <w:rPr>
                <w:rFonts w:ascii="Arial" w:cs="Arial" w:eastAsia="Arial" w:hAnsi="Arial"/>
                <w:sz w:val="14"/>
                <w:szCs w:val="14"/>
                <w:b w:val="1"/>
                <w:bCs w:val="1"/>
                <w:color w:val="auto"/>
                <w:w w:val="94"/>
              </w:rPr>
              <w:t>Advances for vessels under</w:t>
            </w:r>
          </w:p>
        </w:tc>
      </w:tr>
      <w:tr>
        <w:trPr>
          <w:trHeight w:val="149"/>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construction –</w:t>
            </w:r>
          </w:p>
        </w:tc>
      </w:tr>
      <w:tr>
        <w:trPr>
          <w:trHeight w:val="17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related party</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Transfer to vessels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(18,172)</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Balance as at December 31, 2016</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24, 2014, the Partnership entered into a Master Agreement with CMTC to acquire five companies that owned five vessels under construction (the “new-buildings”) with attached time charters, subject to the amendment of the partnership agreement to reset the target distributions to holders of the Incentive Distribution Rights (the “IDRs”) (Note 12). As the reset of the IDRs was a pre-condition for the acquisition of the vessels, the amount of $36,417, representing the difference between the fair value of $347,917 of the respective new-buildings at the time of the approval of this transaction in August 2014 at the Partnership’s annual general meeting and the contractual cash consideration of $311,500, was considered to be the deemed equity contribution and thus the fair value of the reset of the IDRs. The fair value of the new-buildings amounting to $347,917 was based on the average of three valuations obtained from three independent shipbrokers.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Two of these five vessels are 50,000 DWT product carriers and the remaining three are 9,100 Twenty Feet Equivalent Units (“TEU”) post-panamax container carriers.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2015 the Partnership acquired from CMTC the shares of four out of the five vessel owning companies. As a result, as of December 31, 2015, the amount of $18,172 consisted of advances totalling $7,921 that the Partnership paid to CMTC for the acquisition of the remaining vessel owning company and the fair value from the reset of the IDRs of $10,251 which was attributable to this vessel, and is presented as “Advances for vessels under construction– related party” in the Partnership’s consolidated balance sheet as of December 31, 2015. On February 26, 2016 the Partnership acquired the company owning the M/V CMA CGM Magdalena, which was the last out of the five vessel owning companies the Partnership agreed to acquire from CMTC according to the terms of the Master Agreement. As a result there were no “Advances for vessels under construction–related party” as of December 31, 2016.</w:t>
      </w:r>
    </w:p>
    <w:p>
      <w:pPr>
        <w:spacing w:after="0" w:line="309"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Vessels,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vessels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3"/>
              </w:rPr>
              <w:t>Vessel Cost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depreciation</w:t>
            </w:r>
          </w:p>
        </w:tc>
        <w:tc>
          <w:tcPr>
            <w:tcW w:w="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1,653,727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(338,242)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1,315,485</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Acquisitions and improvements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Transfer from Advances for vessels under construction-related party</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Depreciation for the period</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(69,716)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(69,716)</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1,775,689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(407,958)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1,367,731</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Acquisitions and improvements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period</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(71,358)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Impairment of vessel</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Classification as asset held for sale</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(34,859)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(28,862)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Balance as at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1,738,515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(473,319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1,265,196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of the Partnership’s vessels as of December 31, 2017 have been provided as collateral to secure the Partnership’s credit facilities.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October 24, 2016, the Partnership acquired the shares of the company owning the M/T Amor (Note 3). The Partnership accounted for this acquisition as an acquisition of business based on the existence of an integrated set of activities (inputs and processes that generate outputs). The vessel was recorded in the Partnership’s financial statements at its fair value of $31,600 as quoted by independent ship brokers at the time of its acquisition by the Partnership.</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 and assets held for sale – Continued</w:t>
      </w:r>
    </w:p>
    <w:p>
      <w:pPr>
        <w:spacing w:after="0" w:line="158"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Vessels, net - Continued</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February 26, 2016, the Partnership acquired the shares of the company owning the M/V CMA CGM Magdalena for a total consideration of $81,500 which was funded by loan drawdown of $35,000 from the Partnership’s 2013 credit facility (Note 7) and the remaining balance of $46,500 by the Partnership’s cash. The Partnership accounted for this transaction as acquisition of an asset based on the absence of processes attached to the inputs. Other than the new-building and the attached time charter, no other inputs and no processes were acquired. The Partnership considered whether any value should be assigned to the attached charter party agreement acquired and concluded that the contracted daily charter rate was above the market rates on the transaction completion date and therefore, the total cost of $91,751, which comprised the purchase consideration of $81,500 and the fair value from the reset of the IDRs of $10,251,which was attributable to this vessel (Note 5a), was allocated to the vessel cost and the above market acquired charter. Thus the vessel was recorded in the Partnership’s financial statements at a cost of $88,545 and the above market acquired charter at a cost of $3,206 (Note 6).</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2017, the M/V Agamemnon, the M/T Amore Mio II, the M/T Miltiadis M II, the M/T Ayrton II, the M/T Axios, the M/T Arionas, the M/T Avax, the M/T Assos, the M/T Amoureux and the M/T Atrotos underwent improvements. The costs of these improvements amounted to $967 and were capitalized as part of the vessels’ cost.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2016, the M/T Alkiviadis, the M/V Archimidis, the M/T Anemos I, the M/T Amore Mio II, the M/T Miltiadis M II and the M/T Arionas underwent improvements. The costs of these improvements amounted to $1,817 and were capitalized as part of the vessels’ cost.</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(c)</w:t>
        <w:tab/>
        <w:t>Assets held for sale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assets held for sale is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240" w:type="dxa"/>
            <w:vAlign w:val="bottom"/>
            <w:gridSpan w:val="3"/>
          </w:tcPr>
          <w:p>
            <w:pPr>
              <w:ind w:left="2000"/>
              <w:spacing w:after="0"/>
              <w:rPr>
                <w:sz w:val="20"/>
                <w:szCs w:val="20"/>
                <w:color w:val="auto"/>
              </w:rPr>
            </w:pPr>
            <w:r>
              <w:rPr>
                <w:rFonts w:ascii="Arial" w:cs="Arial" w:eastAsia="Arial" w:hAnsi="Arial"/>
                <w:sz w:val="14"/>
                <w:szCs w:val="14"/>
                <w:b w:val="1"/>
                <w:bCs w:val="1"/>
                <w:color w:val="auto"/>
                <w:w w:val="92"/>
              </w:rPr>
              <w:t>Assets held for sale</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2016</w:t>
            </w:r>
          </w:p>
        </w:tc>
        <w:tc>
          <w:tcPr>
            <w:tcW w:w="20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Vessel held for sale</w:t>
            </w:r>
          </w:p>
        </w:tc>
        <w:tc>
          <w:tcPr>
            <w:tcW w:w="20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28,862</w:t>
            </w:r>
          </w:p>
        </w:tc>
        <w:tc>
          <w:tcPr>
            <w:tcW w:w="60" w:type="dxa"/>
            <w:vAlign w:val="bottom"/>
          </w:tcPr>
          <w:p>
            <w:pPr>
              <w:spacing w:after="0"/>
              <w:rPr>
                <w:sz w:val="19"/>
                <w:szCs w:val="19"/>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Balance as at December 31, 2017</w:t>
            </w:r>
          </w:p>
        </w:tc>
        <w:tc>
          <w:tcPr>
            <w:tcW w:w="20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29,027</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December 22, 2017 the Partnership entered into a Memorandum of Agreement (the “Agreement”) with an unrelated party for the disposal of the M/T Aristotelis at a price of $29,400. The Partnership decided to enter into this Agreement after receiving the Buyer’s purchase enquiry which was opportunistic in nature. Under this agreement the vessel can be delivered to its Buyer by latest March 11, 2018. Upon entering the agreement the Partnership considered that M/T Aristotelis met the criteria to be classified as held for sale, as described in note 2(i), and measured the vessel at the lower of its carrying amount and fair value less the cost associated with the sale. In this respect, the Partnership recognized an impairment charge of $3,282 in its consolidated statement of comprehensive income for the year ended December 31, 2017. No assets were classified as held for sale as of December 31,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October 24, 2016 the Partnership acquired the shares of the company owning the M/T Amor from CMTC with outstanding time charters to Cargill and CMTC. The time charter with Cargill was above the market rate for equivalent time charters prevailing at the time of acquisition. The present value of the above market acquired time charter was estimated by the Partnership at $1,061 and recorded as an asset in the consolidated balance sheet as of the acquisition date (Note 3). The time charter with CMTC was equal to the market rate for equivalent time charters prevailing at the time of acquisition.</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26, 2016 the Partnership acquired the shares of the company owning the M/V CMA CGM Magdalena from CMTC with outstanding time charter to CMA-CGM S.A., which was above the market rate for equivalent time charters prevailing at the time of acquisition. The present value of the above market acquired time charter of $3,206 was determined as the difference between the time charter rate at which the vessel was fixed at and the market rate for comparable charters as provided by independent third parties on the acquisition date discounted at a WACC of approximately 7.5% and was recorded as an asset in the consolidated balance sheet as of the acquisition date.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years ended December 31, 2017, 2016 and 2015 revenues included a reduction of $15,208, $14,542 and $14,864 as amortization of the above market acquired charters,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 –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above market acquired charters is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Above market acquired charters</w:t>
            </w: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Book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CEEFF"/>
            </w:tcBorders>
            <w:shd w:val="clear" w:color="auto" w:fill="000000"/>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100,518</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Carrying amount as at January 1, 2016</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(14,542)</w:t>
            </w:r>
          </w:p>
        </w:tc>
        <w:tc>
          <w:tcPr>
            <w:tcW w:w="0" w:type="dxa"/>
            <w:vAlign w:val="bottom"/>
          </w:tcPr>
          <w:p>
            <w:pPr>
              <w:spacing w:after="0"/>
              <w:rPr>
                <w:sz w:val="1"/>
                <w:szCs w:val="1"/>
                <w:color w:val="auto"/>
              </w:rPr>
            </w:pPr>
          </w:p>
        </w:tc>
      </w:tr>
      <w:tr>
        <w:trPr>
          <w:trHeight w:val="230"/>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Carrying amount as at December 31, 2016</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(15,208)</w:t>
            </w: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Carrying amount as at December 31, 2017</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the remaining carrying amount of unamortized above market acquired time charters was $75,035 and will be amortized in future years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For the twelve month period</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ended December 31,</w:t>
            </w:r>
          </w:p>
        </w:tc>
        <w:tc>
          <w:tcPr>
            <w:tcW w:w="5040" w:type="dxa"/>
            <w:vAlign w:val="bottom"/>
            <w:gridSpan w:val="4"/>
          </w:tcPr>
          <w:p>
            <w:pPr>
              <w:ind w:left="4380"/>
              <w:spacing w:after="0"/>
              <w:rPr>
                <w:sz w:val="20"/>
                <w:szCs w:val="20"/>
                <w:color w:val="auto"/>
              </w:rPr>
            </w:pPr>
            <w:r>
              <w:rPr>
                <w:rFonts w:ascii="Arial" w:cs="Arial" w:eastAsia="Arial" w:hAnsi="Arial"/>
                <w:sz w:val="14"/>
                <w:szCs w:val="14"/>
                <w:b w:val="1"/>
                <w:bCs w:val="1"/>
                <w:color w:val="auto"/>
              </w:rPr>
              <w:t>Amount</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48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2019</w:t>
            </w:r>
          </w:p>
        </w:tc>
        <w:tc>
          <w:tcPr>
            <w:tcW w:w="4480" w:type="dxa"/>
            <w:vAlign w:val="bottom"/>
            <w:gridSpan w:val="2"/>
          </w:tcPr>
          <w:p>
            <w:pPr>
              <w:ind w:left="43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8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2021</w:t>
            </w:r>
          </w:p>
        </w:tc>
        <w:tc>
          <w:tcPr>
            <w:tcW w:w="4480" w:type="dxa"/>
            <w:vAlign w:val="bottom"/>
            <w:gridSpan w:val="2"/>
          </w:tcPr>
          <w:p>
            <w:pPr>
              <w:ind w:left="43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48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Thereafter</w:t>
            </w:r>
          </w:p>
        </w:tc>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75,035</w:t>
            </w:r>
          </w:p>
        </w:tc>
        <w:tc>
          <w:tcPr>
            <w:tcW w:w="6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480" w:type="dxa"/>
            <w:vAlign w:val="bottom"/>
            <w:gridSpan w:val="2"/>
          </w:tcPr>
          <w:p>
            <w:pPr>
              <w:ind w:left="980"/>
              <w:spacing w:after="0"/>
              <w:rPr>
                <w:sz w:val="20"/>
                <w:szCs w:val="20"/>
                <w:color w:val="auto"/>
              </w:rPr>
            </w:pPr>
            <w:r>
              <w:rPr>
                <w:rFonts w:ascii="Arial" w:cs="Arial" w:eastAsia="Arial" w:hAnsi="Arial"/>
                <w:sz w:val="18"/>
                <w:szCs w:val="18"/>
                <w:color w:val="auto"/>
              </w:rPr>
              <w:t>F-19</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2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Pr>
          <w:p>
            <w:pPr>
              <w:spacing w:after="0"/>
              <w:rPr>
                <w:sz w:val="14"/>
                <w:szCs w:val="14"/>
                <w:color w:val="auto"/>
              </w:rPr>
            </w:pPr>
          </w:p>
        </w:tc>
      </w:tr>
      <w:tr>
        <w:trPr>
          <w:trHeight w:val="185"/>
        </w:trPr>
        <w:tc>
          <w:tcPr>
            <w:tcW w:w="420" w:type="dxa"/>
            <w:vAlign w:val="bottom"/>
          </w:tcPr>
          <w:p>
            <w:pPr>
              <w:spacing w:after="0"/>
              <w:rPr>
                <w:sz w:val="16"/>
                <w:szCs w:val="16"/>
                <w:color w:val="auto"/>
              </w:rPr>
            </w:pPr>
          </w:p>
        </w:tc>
        <w:tc>
          <w:tcPr>
            <w:tcW w:w="6620" w:type="dxa"/>
            <w:vAlign w:val="bottom"/>
          </w:tcPr>
          <w:p>
            <w:pPr>
              <w:ind w:left="120"/>
              <w:spacing w:after="0"/>
              <w:rPr>
                <w:sz w:val="20"/>
                <w:szCs w:val="20"/>
                <w:color w:val="auto"/>
              </w:rPr>
            </w:pPr>
            <w:r>
              <w:rPr>
                <w:rFonts w:ascii="Arial" w:cs="Arial" w:eastAsia="Arial" w:hAnsi="Arial"/>
                <w:sz w:val="14"/>
                <w:szCs w:val="14"/>
                <w:b w:val="1"/>
                <w:bCs w:val="1"/>
                <w:color w:val="auto"/>
              </w:rPr>
              <w:t>Bank loans</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Margin</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in September 2017 maturing in October 2023 (the “2017 credit facility”)</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460,000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6620" w:type="dxa"/>
            <w:vAlign w:val="bottom"/>
          </w:tcPr>
          <w:p>
            <w:pPr>
              <w:ind w:left="120"/>
              <w:spacing w:after="0"/>
              <w:rPr>
                <w:sz w:val="20"/>
                <w:szCs w:val="20"/>
                <w:color w:val="auto"/>
              </w:rPr>
            </w:pPr>
            <w:r>
              <w:rPr>
                <w:rFonts w:ascii="Arial" w:cs="Arial" w:eastAsia="Arial" w:hAnsi="Arial"/>
                <w:sz w:val="18"/>
                <w:szCs w:val="18"/>
                <w:color w:val="auto"/>
              </w:rPr>
              <w:t>Assumed in October 2016 maturing in November 2022 (the “2015 credit facility”)</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15,750</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15,750</w:t>
            </w:r>
          </w:p>
        </w:tc>
        <w:tc>
          <w:tcPr>
            <w:tcW w:w="7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in March 2007 repaid in October 2017 (the “2007 credit facility”)</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185,975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6620" w:type="dxa"/>
            <w:vAlign w:val="bottom"/>
          </w:tcPr>
          <w:p>
            <w:pPr>
              <w:ind w:left="120"/>
              <w:spacing w:after="0"/>
              <w:rPr>
                <w:sz w:val="20"/>
                <w:szCs w:val="20"/>
                <w:color w:val="auto"/>
              </w:rPr>
            </w:pPr>
            <w:r>
              <w:rPr>
                <w:rFonts w:ascii="Arial" w:cs="Arial" w:eastAsia="Arial" w:hAnsi="Arial"/>
                <w:sz w:val="18"/>
                <w:szCs w:val="18"/>
                <w:color w:val="auto"/>
              </w:rPr>
              <w:t>Issued in March 2008 repaid in October 2017 (the “2008 credit facility”)</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181,641</w:t>
            </w: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in June 2011 fully repaid in October 2017 (the “2011 credit facility”)</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(vi)</w:t>
            </w:r>
          </w:p>
        </w:tc>
        <w:tc>
          <w:tcPr>
            <w:tcW w:w="6620" w:type="dxa"/>
            <w:vAlign w:val="bottom"/>
          </w:tcPr>
          <w:p>
            <w:pPr>
              <w:ind w:left="120"/>
              <w:spacing w:after="0"/>
              <w:rPr>
                <w:sz w:val="20"/>
                <w:szCs w:val="20"/>
                <w:color w:val="auto"/>
              </w:rPr>
            </w:pPr>
            <w:r>
              <w:rPr>
                <w:rFonts w:ascii="Arial" w:cs="Arial" w:eastAsia="Arial" w:hAnsi="Arial"/>
                <w:sz w:val="18"/>
                <w:szCs w:val="18"/>
                <w:color w:val="auto"/>
              </w:rPr>
              <w:t>Issued in September 2013 repaid in October 2017 (the “2013 credit facility”)</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207,646</w:t>
            </w: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4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42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long-term debt</w:t>
            </w:r>
          </w:p>
        </w:tc>
        <w:tc>
          <w:tcPr>
            <w:tcW w:w="8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475,750</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605,012</w:t>
            </w:r>
          </w:p>
        </w:tc>
        <w:tc>
          <w:tcPr>
            <w:tcW w:w="760" w:type="dxa"/>
            <w:vAlign w:val="bottom"/>
            <w:shd w:val="clear" w:color="auto" w:fill="CCEEFF"/>
          </w:tcPr>
          <w:p>
            <w:pPr>
              <w:spacing w:after="0"/>
              <w:rPr>
                <w:sz w:val="18"/>
                <w:szCs w:val="18"/>
                <w:color w:val="auto"/>
              </w:rPr>
            </w:pPr>
          </w:p>
        </w:tc>
      </w:tr>
      <w:tr>
        <w:trPr>
          <w:trHeight w:val="223"/>
        </w:trPr>
        <w:tc>
          <w:tcPr>
            <w:tcW w:w="420" w:type="dxa"/>
            <w:vAlign w:val="bottom"/>
          </w:tcPr>
          <w:p>
            <w:pPr>
              <w:spacing w:after="0"/>
              <w:rPr>
                <w:sz w:val="19"/>
                <w:szCs w:val="19"/>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Less: Deferred loan issuance costs</w:t>
            </w: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loan associated with vessel held for sale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14,781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r>
      <w:tr>
        <w:trPr>
          <w:trHeight w:val="223"/>
        </w:trPr>
        <w:tc>
          <w:tcPr>
            <w:tcW w:w="420" w:type="dxa"/>
            <w:vAlign w:val="bottom"/>
          </w:tcPr>
          <w:p>
            <w:pPr>
              <w:spacing w:after="0"/>
              <w:rPr>
                <w:sz w:val="19"/>
                <w:szCs w:val="19"/>
                <w:color w:val="auto"/>
              </w:rPr>
            </w:pPr>
          </w:p>
        </w:tc>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Total long-term debt, net</w:t>
            </w:r>
          </w:p>
        </w:tc>
        <w:tc>
          <w:tcPr>
            <w:tcW w:w="5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454,334</w:t>
            </w:r>
          </w:p>
        </w:tc>
        <w:tc>
          <w:tcPr>
            <w:tcW w:w="4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602,187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Current portion of long-term debt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52,057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40,534</w:t>
            </w:r>
          </w:p>
        </w:tc>
        <w:tc>
          <w:tcPr>
            <w:tcW w:w="76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Add: Current portion of deferred loan issuance costs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1,543</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966</w:t>
            </w:r>
          </w:p>
        </w:tc>
        <w:tc>
          <w:tcPr>
            <w:tcW w:w="76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Long-term debt, net</w:t>
            </w:r>
          </w:p>
        </w:tc>
        <w:tc>
          <w:tcPr>
            <w:tcW w:w="8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403,820</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562,619</w:t>
            </w:r>
          </w:p>
        </w:tc>
        <w:tc>
          <w:tcPr>
            <w:tcW w:w="760" w:type="dxa"/>
            <w:vAlign w:val="bottom"/>
            <w:shd w:val="clear" w:color="auto" w:fill="CCEEFF"/>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September 6, 2017, the Partnership entered into a new senior secured term loan facility for an aggregate principal amount of up to $460,000 with a syndicate of lenders led by HSH Nordbank AG and ING Bank N.V. On October 2, 2017, the Partnership fully repaid $14,000 outstanding under its 2011 credit facility, through available cash. On October 4, 2017, the Partnership fully repaid total indebtedness of $102,246 and the then outstanding indebtedness of the 2007 credit facility, the 2008 credit facility and the 2013 credit facility amounting to $460,000 was replaced by the 2017 credit facility. The 2017 credit facility is comprised of two tranches. Tranche A amounts to $259,000, is secured by 11 of the Partnership’s vessels and is required to be repaid in 24 equal quarterly instalments of $4,833 in addition to a balloon instalment of $143,008, which is payable together with the final quarterly instalment in the fourth quarter of 2023. Tranche B amounts to $201,000, is secured by 24 of the Partnership’s vessels and is required to be repaid fully in 24 equal quarterly instalments of $8,375. The Partnership started paying quarterly instalments under both tranches A and B on January 4, 2018. The loans drawn under the 2017 credit facility bear interest at LIBOR plus a margin of 3.25%.</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2017, the Partnership classified the M/T Aristotelis as vessel held for sale (Note 5c). As of December 31, 2017, the part of the Tranche A of the 2017 credit facility which was associated with this vessel amounted to $14,781, is expected to be repaid in March 2018, and is presented as “Liability associated with vessel held for sale” in the accompanying consolidated balance sheet.</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October 24, 2016, upon the completion of the acquisition of the shares of the company owning the M/T Amor (Notes 3, 5), the Partnership assumed CMTC’s guarantee with respect to the outstanding balance of $15,750 under the term loan that was entered into on November 19, 2015 with ING Bank N.V. The term loan is payable in 17 consecutive equal quarterly instalments starting two years after the vessel’s acquisition plus a balloon payment with expected maturity date in November 2022. The term loan bears interest at LIBOR plus a margin of 2.50%.</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February 23, 2016, the Partnership drew the amount of $35,000 from its 2013 credit facility in order to partly finance the acquisition of the shares of the company owning the M/V CMA CGM Magdalena (Note 5).</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2017 and 2016, the Partnership repaid the amount of $13,016 and $17,354, respectively, in line with the amortization schedule of its 2013 credit facility.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Partnership’s credit facilities contain customary ship finance covenants, including restrictions as to changes in management and ownership of the mortgaged vessels, the incurrence of additional indebtedness and the mortgaging of vessels and requirements such as, the ratio of EBITDA to Net Interest Expenses to be no less than 2:1, a minimum cash requirement of $500 per vessel, the ratio of net Total Indebtedness to the Total Assets of the Partnership adjusted for the Market Value of the fleet not to exceed 0.75:1 for the 2017 credit facility and the ratio of net Total Indebtedness to the aggregate Market Value of the fleet not to exceed 0.725:1 for the 2015 credit facility. As of December 31, 2017 and 2016, restricted cash amounted to $18,000 for each year and is presented under other non-current assets. The credit facilities also contain a collateral maintenance requirement under which the aggregate fair market value of the collateral vessels should not be less than 125% for the 2017 credit facility and 120% for the 2015 credit facility, of the aggregate outstanding amount under these facilities. Also the vessel-owning companies may pay dividends or make distributions when no event of default has occurred and the payment of such dividend or distribution has not resulted in a breach of any of the financial covenants. As of December 31, 2017 and 2016 the Partnership was in compliance with all financial covenants.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credit facilities have a general assignment of the earnings, insurances and requisition compensation of the respective collateral vessel or vessels. Each also requires additional security, such as pledge and charge on current accounts and mortgage interest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were no undrawn amounts under the Partnership’s credit facilities.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For the years ended December 31, 2017, 2016 and 2015, the Partnership recorded interest expense of $24,782, $22,674 and $17,856 respectively which is included in “Interest expense and finance cost” in the consolidated statements of comprehensive income. For the years ended December 31, 2017 and 2016 the weighted average interest rate of the Partnership’s loan facilities was 4.29% and 3.73%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required annual loan payments to be made subsequent to December 31, 2017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2017 Credit</w:t>
            </w:r>
          </w:p>
        </w:tc>
        <w:tc>
          <w:tcPr>
            <w:tcW w:w="2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2015 Credit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 (i)</w:t>
            </w:r>
          </w:p>
        </w:tc>
        <w:tc>
          <w:tcPr>
            <w:tcW w:w="24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 (ii)</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82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66,510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66,838</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2019</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51,729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2021</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51,729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11,483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63,212</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Thereafter</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186,574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186,574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460,000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15,750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475,750</w:t>
            </w: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3700" w:type="dxa"/>
            <w:vAlign w:val="bottom"/>
          </w:tcPr>
          <w:p>
            <w:pPr>
              <w:ind w:left="1940"/>
              <w:spacing w:after="0"/>
              <w:rPr>
                <w:sz w:val="20"/>
                <w:szCs w:val="20"/>
                <w:color w:val="auto"/>
              </w:rPr>
            </w:pPr>
            <w:r>
              <w:rPr>
                <w:rFonts w:ascii="Arial" w:cs="Arial" w:eastAsia="Arial" w:hAnsi="Arial"/>
                <w:sz w:val="18"/>
                <w:szCs w:val="18"/>
                <w:color w:val="auto"/>
              </w:rPr>
              <w:t>F-21</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Instruments</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Fair value of financial instruments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Partnership follows the accounting guidance for financial instruments that establishes a framework for measuring fair 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4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2: Inputs are inputs other than quoted prices included within Level 1 that are observable for the asset or liability, either directly or indirectly;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carrying value of cash and cash equivalents and restricted cash, which are considered Level 1 items as they represent liquid assets with short-term maturities, trade receivables, amounts due from related parties and due to related parties, trade accounts payable and accrued liabilities approximates their fair value. The fair values of long-term variable rate bank loans approximate the recorded values, due to their variable interest being the LIBOR and due to the fact the lenders have the ability to pass on their funding cost to the Partnership under certain circumstances, which reflects their current assessed risk. We believe the terms of our loans are similar to those that could be procured as of December 31, 2017. LIBOR rates are observable at commonly quoted intervals for the full terms of the loans and hence bank loans are considered Level 2 items in accordance with the fair value hierarchy.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valuation of the Company’s assets measured at fair value on a non-recurring basis as of December 31, 2017:</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Items Measured at Fair Value on a Nonrecurring Basis - Fair Value Measurements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5"/>
              </w:rPr>
              <w:t>Quoted prices</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6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1"/>
              </w:rPr>
              <w:t>in active markets</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0"/>
              </w:rPr>
              <w:t>Unobservable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for identical</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14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assets</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Inputs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 – Recurring Measurements: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Level 1</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Level 2</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Arial" w:cs="Arial" w:eastAsia="Arial" w:hAnsi="Arial"/>
                <w:sz w:val="18"/>
                <w:szCs w:val="18"/>
                <w:color w:val="auto"/>
              </w:rPr>
              <w:t>Long-lived assets classified as held for sale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$ 29,400</w:t>
            </w:r>
          </w:p>
        </w:tc>
        <w:tc>
          <w:tcPr>
            <w:tcW w:w="200" w:type="dxa"/>
            <w:vAlign w:val="bottom"/>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22, 2017 the vessel M/T Aristotelis with a carrying amount of $32,144, was classified as vessel held for sale and written down to its fair value of $29,400, less estimated costs to sell, resulting in a loss of $3,282 (Note 5c), which was included in the accompanying consolidated statements of comprehensive income under impairment of vessel. The fair value of M/T Aristotelis was based on its transaction price, as the sale price was agreed with an unaffiliated third party hence it is considered level 2.</w:t>
      </w:r>
    </w:p>
    <w:p>
      <w:pPr>
        <w:spacing w:after="0" w:line="29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Concentration of credit risk</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Financial instruments which potentially subject the Partnership to significant concentrations of credit risk consist principally of cash and cash equivalents and trade accounts receivable. The Partnership places its cash and cash equivalents, consisting mostly of deposits, with creditworthy financial institutions rated by qualified rating agencies. A limited number of financial institutions hold the Partnership’s cash. Most of the Partnership’s revenues were derived from a few charterers. For the year ended December 31, 2017 Petroleo Brasileiro S.A. (“Petrobras”), CMTC, Hyundai Merchant Marine Co Ltd (“HMM”) and CMA CGM accounted for 19%, 18%, 18% and 17% of the Partnership’s total revenue, respectively. For the year ended December 31, 2016 HMM, Petrobras, CMA CGM and CMTC accounted for 19%, 18%, 17% and 15% of the Partnership’s total revenue, respectively. For the year ended December 31, 2015 CMTC and HMM accounted for 29% and 21% of the Partnership’s total revenue, respectively.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loan interest and loan fees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operating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5,199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voyage expenses and commissions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15,111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7,861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Voyage Expenses and Vessel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Voyage expenses and vessel operating expenses consist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9"/>
              </w:rPr>
              <w:t>For the years ended December 31,</w:t>
            </w:r>
          </w:p>
        </w:tc>
      </w:tr>
      <w:tr>
        <w:trPr>
          <w:trHeight w:val="171"/>
        </w:trPr>
        <w:tc>
          <w:tcPr>
            <w:tcW w:w="51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Voyage expenses:</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Commissions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4,440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4,816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4,421</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Port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r>
      <w:tr>
        <w:trPr>
          <w:trHeight w:val="230"/>
        </w:trPr>
        <w:tc>
          <w:tcPr>
            <w:tcW w:w="5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15,165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10,280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6,890</w:t>
            </w:r>
          </w:p>
        </w:tc>
        <w:tc>
          <w:tcPr>
            <w:tcW w:w="60" w:type="dxa"/>
            <w:vAlign w:val="bottom"/>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43,699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37,342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31,788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Spares, repairs, maintenance and other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12,731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11,688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11,521</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Management fees (Note 4)</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11,491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11,219</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Vetting, insurances, spares and repairs (Note 4)</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2,522</w:t>
            </w:r>
          </w:p>
        </w:tc>
      </w:tr>
      <w:tr>
        <w:trPr>
          <w:trHeight w:val="27"/>
        </w:trPr>
        <w:tc>
          <w:tcPr>
            <w:tcW w:w="5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7"/>
              </w:rPr>
              <w:t>86,145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77,503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70,333</w:t>
            </w:r>
          </w:p>
        </w:tc>
      </w:tr>
      <w:tr>
        <w:trPr>
          <w:trHeight w:val="20"/>
        </w:trPr>
        <w:tc>
          <w:tcPr>
            <w:tcW w:w="5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laws of the Marshall Islands and Liberia, the country in which the vessel-owning subsidiaries were incorporated, these companies are not subject to tax on international shipping income. However, they are subject to registration and tonnage taxes in the country in which the vessels are registered and managed from, which have been included in vessel operating expenses in the accompanying consolidated statements of comprehensive income.</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time, bareboat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jurisdictions where the Partnership’s vessel-owning subsidiaries are incorporated each grants an “equivalent exemption” to United States corporations with respect to each type of shipping income earned by the Partnership’s vessel-owning subsidiaries. Additionally, our units are only traded on the Nasdaq Global Market, which is considered to be established securities market. The Partnership has satisfied the Publicly-Traded Test for the years ended December 31, 2017, 2016 and 2015 and the ship-owning subsidiaries are exempt from United States federal income taxation with respect to U.S.-source shipping income.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45 days after the end of each quarter, beginning with the quarter ending June 30, 2007,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available cash will be distributed to unitholders.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131"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provide for the proper conduct of the Partnership’s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comply with applicable law, any of the Partnership’s debt instruments, or other agreements;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provide funds for distributions to the Partnership’s unitholders and to the general partner for any one or more of the next four quarters;</w:t>
      </w:r>
    </w:p>
    <w:p>
      <w:pPr>
        <w:spacing w:after="0" w:line="153" w:lineRule="exact"/>
        <w:rPr>
          <w:rFonts w:ascii="Arial" w:cs="Arial" w:eastAsia="Arial" w:hAnsi="Arial"/>
          <w:sz w:val="16"/>
          <w:szCs w:val="16"/>
          <w:color w:val="auto"/>
        </w:rPr>
      </w:pPr>
    </w:p>
    <w:p>
      <w:pPr>
        <w:ind w:left="900" w:hanging="446"/>
        <w:spacing w:after="0" w:line="312" w:lineRule="auto"/>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plus all cash on hand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 subject to certain exceptions set forth in the limited partnership agreement.</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General Partner Interest and IDRs: </w:t>
      </w:r>
      <w:r>
        <w:rPr>
          <w:rFonts w:ascii="Arial" w:cs="Arial" w:eastAsia="Arial" w:hAnsi="Arial"/>
          <w:sz w:val="18"/>
          <w:szCs w:val="18"/>
          <w:color w:val="auto"/>
        </w:rPr>
        <w:t>The general partner has a 1.71% interest in the Partnership and holds the IDRs. In accordance with Section 5.2(b)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agreement, upon the issuance of additional units by the Partnership, the general partner may elect to make a contribution to the Partnership to maintain its general partner interest.</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IDRs represent the right to receive an increasing percentage of quarterly distributions of available cash from operating surplus after the minimum quarterly distribution and the target distribution levels have been achieved. The Partnership’s general partner as of December 31, 2017, 2016 and 2015 holds the IDRs.</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According to the partnership agreement, as amended in 2014, 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per Unit,” until available cash from operating surplus the Partnership distributes reaches the next target distribution level, if any. The percentage interests shown for the unitholders and general partner for the minimum quarterly distribution are also applicable to quarterly distribution amounts that are less than the minimum quarterly distribution. The percentage interests shown below assume that the Partnership’s general partner maintains a 2% general partner interest and that it has not transferred its incentive distribution rights.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Marginal Percentage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7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6"/>
              </w:rPr>
              <w:t>Total Quarterly</w:t>
            </w:r>
          </w:p>
        </w:tc>
        <w:tc>
          <w:tcPr>
            <w:tcW w:w="72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15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7"/>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27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Distribution Target Amount per</w:t>
            </w: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Unitholders</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6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$0.2325</w:t>
            </w:r>
          </w:p>
        </w:tc>
        <w:tc>
          <w:tcPr>
            <w:tcW w:w="6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76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up to $0.2425</w:t>
            </w:r>
          </w:p>
        </w:tc>
        <w:tc>
          <w:tcPr>
            <w:tcW w:w="1580" w:type="dxa"/>
            <w:vAlign w:val="bottom"/>
            <w:gridSpan w:val="2"/>
          </w:tcPr>
          <w:p>
            <w:pPr>
              <w:ind w:left="54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7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9"/>
              </w:rPr>
              <w:t>above $0.2425 up to $0.2675</w:t>
            </w: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76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above $0.2675 up to $0.2925</w:t>
            </w:r>
          </w:p>
        </w:tc>
        <w:tc>
          <w:tcPr>
            <w:tcW w:w="1580" w:type="dxa"/>
            <w:vAlign w:val="bottom"/>
            <w:gridSpan w:val="2"/>
          </w:tcPr>
          <w:p>
            <w:pPr>
              <w:ind w:left="54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7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above $0.2925</w:t>
            </w: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Following the 2014’s annual general meeting, CMTC unilaterally notified the Partnership that it has decided to waive its rights to receive quarterly incentive distributions between $0.2425 and $0.25. This waiver effectively increases the First Threshold and the lower band of the Second Threshold (as referenced in the table above) from $0.2425 to $0.25.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w:t>
      </w:r>
      <w:r>
        <w:rPr>
          <w:rFonts w:ascii="Arial" w:cs="Arial" w:eastAsia="Arial" w:hAnsi="Arial"/>
          <w:sz w:val="18"/>
          <w:szCs w:val="18"/>
          <w:color w:val="auto"/>
        </w:rPr>
        <w:t>Our partnership agreement requires that we will make distributions of available cash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surplus for any quarter after the subordination period in the following manner:</w:t>
      </w:r>
    </w:p>
    <w:p>
      <w:pPr>
        <w:spacing w:after="0" w:line="76" w:lineRule="exact"/>
        <w:rPr>
          <w:sz w:val="20"/>
          <w:szCs w:val="20"/>
          <w:color w:val="auto"/>
        </w:rPr>
      </w:pPr>
    </w:p>
    <w:p>
      <w:pPr>
        <w:ind w:left="900" w:right="62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Convertible Preferred Units</w:t>
      </w:r>
    </w:p>
    <w:p>
      <w:pPr>
        <w:spacing w:after="0" w:line="11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During 2012 and 2013 the Partnership issued in total 24,655,554 Class B Convertible Preferred Units to a group of investors including CMTC according to two separate Class B Convertible Preferred Unit Subscription Agreements (the “Agreements”) that the Partnership had entered with this group of investors in 2012 and 2013. The holders of the Class B Convertible Preferred Units have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shall be adjusted upon the occurrence of certain events described in the limited partnership agreement. 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shall have the right to convert the Class B Convertible Preferred Units then outstanding in whole or in part into Common Units at the then-applicable Conversion Ratio. The holders of the outstanding Class B Convertible Preferred Units as of an applicable record date shall be entitled to receive, when, as and if authorized by the Partnership’s board of directors or any duly authorized committee, out of legally available funds for such purpose,</w:t>
      </w:r>
    </w:p>
    <w:p>
      <w:pPr>
        <w:spacing w:after="0" w:line="4" w:lineRule="exact"/>
        <w:rPr>
          <w:sz w:val="20"/>
          <w:szCs w:val="20"/>
          <w:color w:val="auto"/>
        </w:rPr>
      </w:pPr>
    </w:p>
    <w:p>
      <w:pPr>
        <w:ind w:firstLine="8"/>
        <w:spacing w:after="0" w:line="266" w:lineRule="auto"/>
        <w:tabs>
          <w:tab w:leader="none" w:pos="24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first, the minimum quarterly Class B Convertible Preferred Unit Distribution Rate on each Class B Convertible Preferred Unit and (b) second, any cumulative Class B Convertible Preferred Unit Arrearage then outstanding, prior to any other distributions made in respect of any other Partnership Interests pursuant to the Agreements in cash. The minimum quarterly Class B Convertible Preferred Unit Distribution Rate shall be payable quarterly which is generally expected to be February 10, May 10, August 10 and November 10, or, if any such date is not a business day, the next succeeding business day. No distribution on the Class B Convertible Preferred Units shall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become payable whether or not any of the foregoing restrictions exist, whether or not there is sufficient Available Cash for the payment thereof and whether or not such distributions are authorized. A cumulative Class B Convertible Preferred Unit arrearage shall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 With respect to Class B Convertible Preferred Units that are converted into Common Units, the holder thereof shall not be entitled to a Class B Convertible Preferred Unit distribution and a Common Unit distribution with respect to the same period, but shall be entitled only to the distribution to be paid based upon the class of Units held as of the close of business on the record date for the distribution in respect of such period; provided, however, that the holder of a converted Class B Convertible Preferred Unit shall remain entitled to receive any accrued but unpaid distributions due with respect to such Unit on or as of the prior Class B Convertible Preferred Unit distribution payment date; and provided, further, that if the Partnership exercises the Partnership Mandatory Conversion Right to convert the Class B Convertible Preferred Units pursuant to this Agreements then the holders’ rights with respect to the distribution for the Quarter in which the Partnership Mandatory Conversion Notice is received is as set forth in the limited partnership agreement.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2015 various holders of Class B Convertible Preferred Units including CMTC converted 1,240,404 Class B Convertible Preferred Units into common units. As a result in the Partnership’s Consolidated Statements of Changes in Partners’ Capital, the Partnership’s Limited Partners-Preferred Unitholders decreased by $10,642 and Partnership’s Limited Partners-Common Unitholders, increased by $10,642 for the year ended December 31, 2015. The conversion rate was one common unit per one Class B Convertible Preferred Unit. During 2017 and 2016 no such conversion occurred.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October 24, 2016, the Partnership issued 283,696 common units according to the terms of the share purchase agreement that the Partnership entered into with CMTC in order to partly finance the acquisition of the shares of the vessel owning company of M/T Amor (Notes 3, 5).</w:t>
      </w:r>
    </w:p>
    <w:p>
      <w:pPr>
        <w:spacing w:after="0" w:line="14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September 2016, the Partnership entered into an equity distribution agreement with UBS Securities LLC (“UBS”) under which the Partnership may sell, from time to time, through UBS, as its sales agent, new common units having an aggregate offering amount of up to $50,000 (the “ATM offering”). The equity distribution agreement provides that UBS, when it is acting as the Partnership’s sales agent, will be entitled to compensation of up to 2% of the gross sales price of the common units sold through UBS from time to time. During 2017 the Partnership issued 5,152,059 new common units under the ATM offering resulting in net proceeds of $17,815 after the payment of commission to the sales agent, but before offering expenses. For the year ended December 31, 2017, the Partnership recognized offering expenses of $176 in connection with the ATM offering. Since the launch of the ATM offering until December 31, 2016, the Partnership issued 1,401,481 new common units resulting in net proceeds of $4,546 after the payment of commission to the sales agent, but before offering expenses. For the year ended December 31, 2016, the Partnership recognized offering expenses of $890 in connection with the ATM offering.</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2015 CMTC converted 315,908 common units into general partner units respectively, in order for CGP to maintain its 2% interest in the Partnership. As a result in the Partnership’s Consolidated Statements of Changes in Partners’ Capital the Partnership’s Limited Partners-Common Unitholders decreased by $2,742 and General Partner increased by $2,742 for the years ended December 31, 2015. During 2017 and 2016 CMTC did not convert any common units into general partners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2015, the Partnership issued 850,000 common units under its Omnibus Incentive Compensation Plan (Note 13).</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April 2015, the Partnership completed successfully a follow-on equity offering of 14,555,000 common units, including 1,100,000 common units sold to CMTC and 1,755,000 common units representing the overallotment option at a net price of $9.53 per common unit, receiving proceeds of $133,327 after the deduction of the underwriters’ commissions. After the deduction of expenses relating to this equity offering, the net proceeds amounted to $132,588.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our partners’ capital included the following units:</w:t>
      </w:r>
    </w:p>
    <w:p>
      <w:pPr>
        <w:spacing w:after="0" w:line="2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8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860" w:type="dxa"/>
            <w:vAlign w:val="bottom"/>
            <w:gridSpan w:val="3"/>
          </w:tcPr>
          <w:p>
            <w:pPr>
              <w:ind w:left="600"/>
              <w:spacing w:after="0"/>
              <w:rPr>
                <w:sz w:val="20"/>
                <w:szCs w:val="20"/>
                <w:color w:val="auto"/>
              </w:rPr>
            </w:pPr>
            <w:r>
              <w:rPr>
                <w:rFonts w:ascii="Arial" w:cs="Arial" w:eastAsia="Arial" w:hAnsi="Arial"/>
                <w:sz w:val="14"/>
                <w:szCs w:val="14"/>
                <w:b w:val="1"/>
                <w:bCs w:val="1"/>
                <w:color w:val="auto"/>
                <w:w w:val="95"/>
              </w:rPr>
              <w:t>As of December 31,</w:t>
            </w:r>
          </w:p>
        </w:tc>
      </w:tr>
      <w:tr>
        <w:trPr>
          <w:trHeight w:val="176"/>
        </w:trPr>
        <w:tc>
          <w:tcPr>
            <w:tcW w:w="2960" w:type="dxa"/>
            <w:vAlign w:val="bottom"/>
          </w:tcPr>
          <w:p>
            <w:pPr>
              <w:spacing w:after="0"/>
              <w:rPr>
                <w:sz w:val="15"/>
                <w:szCs w:val="15"/>
                <w:color w:val="auto"/>
              </w:rPr>
            </w:pPr>
          </w:p>
        </w:tc>
        <w:tc>
          <w:tcPr>
            <w:tcW w:w="38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8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127,246,692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122,094,633</w:t>
            </w:r>
          </w:p>
        </w:tc>
        <w:tc>
          <w:tcPr>
            <w:tcW w:w="6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General partner units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2,439,989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2,439,989</w:t>
            </w:r>
          </w:p>
        </w:tc>
        <w:tc>
          <w:tcPr>
            <w:tcW w:w="6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12,983,333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12,983,333</w:t>
            </w:r>
          </w:p>
        </w:tc>
        <w:tc>
          <w:tcPr>
            <w:tcW w:w="60" w:type="dxa"/>
            <w:vAlign w:val="bottom"/>
            <w:shd w:val="clear" w:color="auto" w:fill="CCEEFF"/>
          </w:tcPr>
          <w:p>
            <w:pPr>
              <w:spacing w:after="0"/>
              <w:rPr>
                <w:sz w:val="18"/>
                <w:szCs w:val="18"/>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b w:val="1"/>
                <w:bCs w:val="1"/>
                <w:color w:val="auto"/>
              </w:rPr>
              <w:t>Total partnership units</w:t>
            </w:r>
          </w:p>
        </w:tc>
        <w:tc>
          <w:tcPr>
            <w:tcW w:w="26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142,670,014</w:t>
            </w:r>
          </w:p>
        </w:tc>
        <w:tc>
          <w:tcPr>
            <w:tcW w:w="6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137,517,955</w:t>
            </w:r>
          </w:p>
        </w:tc>
        <w:tc>
          <w:tcPr>
            <w:tcW w:w="60" w:type="dxa"/>
            <w:vAlign w:val="bottom"/>
          </w:tcPr>
          <w:p>
            <w:pPr>
              <w:spacing w:after="0"/>
              <w:rPr>
                <w:sz w:val="19"/>
                <w:szCs w:val="19"/>
                <w:color w:val="auto"/>
              </w:rPr>
            </w:pPr>
          </w:p>
        </w:tc>
      </w:tr>
      <w:tr>
        <w:trPr>
          <w:trHeight w:val="372"/>
        </w:trPr>
        <w:tc>
          <w:tcPr>
            <w:tcW w:w="2960" w:type="dxa"/>
            <w:vAlign w:val="bottom"/>
          </w:tcPr>
          <w:p>
            <w:pPr>
              <w:spacing w:after="0"/>
              <w:rPr>
                <w:sz w:val="24"/>
                <w:szCs w:val="24"/>
                <w:color w:val="auto"/>
              </w:rPr>
            </w:pPr>
          </w:p>
        </w:tc>
        <w:tc>
          <w:tcPr>
            <w:tcW w:w="3860" w:type="dxa"/>
            <w:vAlign w:val="bottom"/>
            <w:gridSpan w:val="2"/>
          </w:tcPr>
          <w:p>
            <w:pPr>
              <w:jc w:val="right"/>
              <w:ind w:right="2230"/>
              <w:spacing w:after="0"/>
              <w:rPr>
                <w:sz w:val="20"/>
                <w:szCs w:val="20"/>
                <w:color w:val="auto"/>
              </w:rPr>
            </w:pPr>
            <w:r>
              <w:rPr>
                <w:rFonts w:ascii="Arial" w:cs="Arial" w:eastAsia="Arial" w:hAnsi="Arial"/>
                <w:sz w:val="18"/>
                <w:szCs w:val="18"/>
                <w:color w:val="auto"/>
              </w:rPr>
              <w:t>F-26</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Compensation Plan</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April 29, 2008, the board of directors approved the Partnership’s Plan according to which the Partnership may issue a limited number of awards, not to exceed 500,000 units. The Plan was amended on July 22, 2010 increasing the aggregate number of restricted units issuable under the Plan to 800,000 which was then increased to 1,650,000 common units on August 21, 2014, at the annual general meeting of the Partnership’s unit holders. The Plan is administered by the general partner as authorized by the board of directors. The persons eligible to receive awards under the Plan are officers, directors, and executive, managerial, administrative and professional employees of the Manager, or CMTC, or other eligible persons (collectively, “key persons”) as the general partner, in its sole discretion, shall select based upon such factors as it deems relevant. Members of the board of directors and officers of the general partner are considered to be employees of the Partnership (“Employees”) for the purposes of recognition of equity compensation expense, while employees of the Manager, CMTC and other eligible persons under the plan are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On December 23, 2015 the Partnership awarded 240,000 and 610,000 unvested units to Employees and Non-Employees, respectively. Awards granted to certain Employees and Non Employees will vest in three annual instalments. The remaining awards will vest on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All unvested units are conditional upon the grantee’s continued service as Employee and/or Non-Employee until the applicable vesting date.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unvested units accrue distributions as declared and paid which are retained by the custodian of the Plan until the vesting date at which time they are payable to the grantee. As unvested unit grantees accrue distributions on awards that are expected to vest, such distributions are charged to Partner’s capital. As of December 31, 2017 the unvested units accrued $427 of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details of our plan: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Employee equity compensation</w:t>
            </w:r>
          </w:p>
        </w:tc>
        <w:tc>
          <w:tcPr>
            <w:tcW w:w="2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Non-Employee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9"/>
              </w:rPr>
              <w:t>Grant-date fair</w:t>
            </w: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Award-</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Unvested Units</w:t>
            </w:r>
          </w:p>
        </w:tc>
        <w:tc>
          <w:tcPr>
            <w:tcW w:w="12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Units</w:t>
            </w:r>
          </w:p>
        </w:tc>
        <w:tc>
          <w:tcPr>
            <w:tcW w:w="1620" w:type="dxa"/>
            <w:vAlign w:val="bottom"/>
            <w:gridSpan w:val="3"/>
            <w:vMerge w:val="continue"/>
          </w:tcPr>
          <w:p>
            <w:pPr>
              <w:spacing w:after="0"/>
              <w:rPr>
                <w:sz w:val="12"/>
                <w:szCs w:val="12"/>
                <w:color w:val="auto"/>
              </w:rPr>
            </w:pPr>
          </w:p>
        </w:tc>
        <w:tc>
          <w:tcPr>
            <w:tcW w:w="16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91"/>
        </w:trPr>
        <w:tc>
          <w:tcPr>
            <w:tcW w:w="504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value</w:t>
            </w: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3"/>
              </w:rPr>
              <w:t>Unvested on</w:t>
            </w:r>
          </w:p>
        </w:tc>
        <w:tc>
          <w:tcPr>
            <w:tcW w:w="410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b w:val="1"/>
                <w:bCs w:val="1"/>
                <w:color w:val="auto"/>
              </w:rPr>
              <w:t>January 1, 2016</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240,000</w:t>
            </w: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4"/>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1,325</w:t>
            </w:r>
          </w:p>
        </w:tc>
        <w:tc>
          <w:tcPr>
            <w:tcW w:w="5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610,000</w:t>
            </w: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3,367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33,332</w:t>
            </w:r>
          </w:p>
        </w:tc>
        <w:tc>
          <w:tcPr>
            <w:tcW w:w="24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184</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117,500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2016</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206,668</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1,141</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492,500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2,993</w:t>
            </w:r>
          </w:p>
        </w:tc>
        <w:tc>
          <w:tcPr>
            <w:tcW w:w="0" w:type="dxa"/>
            <w:vAlign w:val="bottom"/>
          </w:tcPr>
          <w:p>
            <w:pPr>
              <w:spacing w:after="0"/>
              <w:rPr>
                <w:sz w:val="1"/>
                <w:szCs w:val="1"/>
                <w:color w:val="auto"/>
              </w:rPr>
            </w:pP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Vested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36,666</w:t>
            </w:r>
          </w:p>
        </w:tc>
        <w:tc>
          <w:tcPr>
            <w:tcW w:w="5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54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2017</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170,002</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939</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375,000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For the years ended December 31, 2017, 2016, and 2015 the equity compensation expense that has been charged in the consolidated statements of comprehensive income was $438, $439 and $10 for the Employee awards and $718, $635 and $24 for the Non-Employee awards, respectively. This expense has been included in general and administrative expenses in the consolidated statements of comprehensive income for each respective year.</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the total compensation cost related to non vested awards is $1,111 and is expected to be recognized over a weighted average period of one year. The Partnership uses the straight-line method to recognize the cost of the awards.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Unit</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general partner’s and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12), which is a contractually-defined term that generally means all cash on hand at the end of each quarter after establishment of cash reserves determined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Partnership also considers whether the Partnership Agreement contains any contractual limitations concerning distributions to the IDRs that would impact the amount of earnings to allocate to the IDRs for each reporting period.</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partnership agreement, the holder of the IDRs in the Partnership, which is currently CGP, assuming that there are no cumulative arrearages on common unit distributions, has the right to receive an increasing percentage of cash distributions (Note 12). The Partnership excluded the effect of the 12,983,333 Class B Convertible Preferred Units in calculating dilutive EPU as of December 31, 2017, 2016 and 2015, for each year as they were anti-dilutive.</w:t>
      </w:r>
    </w:p>
    <w:p>
      <w:pPr>
        <w:spacing w:after="0" w:line="14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As of December 31, 2017, 2016 and 2015 the Partnership excluded the effect of 545,002, 699,168 and 850,000, respectively, non-vested unit awards in calculating dilutive EPU for its common unitholders as they were anti-dilutive. The non-vested units are participating securities because they received distributions from the Partnership and these distributions do not have to be returned to the Partnership if the non-vested units are forfeited by the grantee.</w:t>
      </w:r>
    </w:p>
    <w:p>
      <w:pPr>
        <w:spacing w:after="0" w:line="14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Partnership’s net income for the years ended December 31, 2017, 2016 and 2015 did not exceed the First Target Distribution Level, and as a result, the assumed distribution of net income did not result in the use of increasing percentages to calculate CGP’s interest in net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two class method used to calculate EPU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BASIC AND DILUTED</w:t>
            </w:r>
          </w:p>
        </w:tc>
        <w:tc>
          <w:tcPr>
            <w:tcW w:w="100" w:type="dxa"/>
            <w:vAlign w:val="bottom"/>
          </w:tcPr>
          <w:p>
            <w:pPr>
              <w:spacing w:after="0"/>
              <w:rPr>
                <w:sz w:val="15"/>
                <w:szCs w:val="15"/>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5"/>
                <w:szCs w:val="15"/>
                <w:color w:val="auto"/>
              </w:rPr>
            </w:pPr>
          </w:p>
        </w:tc>
      </w:tr>
      <w:tr>
        <w:trPr>
          <w:trHeight w:val="169"/>
        </w:trPr>
        <w:tc>
          <w:tcPr>
            <w:tcW w:w="9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b w:val="1"/>
                <w:bCs w:val="1"/>
                <w:color w:val="auto"/>
                <w:w w:val="96"/>
              </w:rPr>
              <w:t>Numerators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40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Partnership’s 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38,483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52,489</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55,410</w:t>
            </w: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11,334</w:t>
            </w: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w:t>
            </w: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Partnership’s net income allocable to unvested units</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unit holders’ interest in Partnership’s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26,725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40,285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43,189</w:t>
            </w: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Denominators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55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common units outstanding, basic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123,845,345</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119,803,329</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115,030,879</w:t>
            </w: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Net income per common unit: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0.38</w:t>
            </w:r>
          </w:p>
        </w:tc>
      </w:tr>
      <w:tr>
        <w:trPr>
          <w:trHeight w:val="372"/>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ind w:left="3140"/>
              <w:spacing w:after="0"/>
              <w:rPr>
                <w:sz w:val="20"/>
                <w:szCs w:val="20"/>
                <w:color w:val="auto"/>
              </w:rPr>
            </w:pPr>
            <w:r>
              <w:rPr>
                <w:rFonts w:ascii="Arial" w:cs="Arial" w:eastAsia="Arial" w:hAnsi="Arial"/>
                <w:sz w:val="18"/>
                <w:szCs w:val="18"/>
                <w:color w:val="auto"/>
              </w:rPr>
              <w:t>F-28</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HMM charters restructuring</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HMM, the charterer of five of the Partnership’s vessels, namely Hyundai Prestige, Hyundai Premium, Hyundai Paramount, Hyundai Privilege and Hyundai Platinum (the “HMM Vessels”), each under time charter expiring for Hyundai Prestige in 2024 and for the remaining four vessels in 2025, experienced financial difficulties and pursued a financial restructuring involving various creditors and vessel owners.</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part of the various agreements that HMM reached with its creditors and vessel owners under its voluntary debt restructuring, the owning companies of the HMM Vessels entered into a Charter Restructuring Agreement on July 15, 2016. This agreement provides for the reduction of the gross charter rate payable under the respective charter parties by 20% to $23.5 per day from $29.4, for a three and a half year period starting in July 2016 and ending in December 2019 (the “Charter Reduction Period”). As compensation the Partnership received 4,398,910 HMM common shares on August 4, 2016, which the Partnership recognized as a “Trading asset” at the amount of $29,706 being the fair value of the shares with a corresponding “Deferred revenue, current” and “Deferred revenue” to be amortized within revenue over the remaining duration of each time charter. The shares were immediately sold on the Stock Market Division of the Korean Exchange for aggregate cash consideration of $29,706. The Charter Restructuring Agreement further provides that at the end of the Charter Reduction Period, the charter rate under the respective charter parties will be restored to the original daily rate of $29.4 until the expiry of each charter in 2024 and 2025.</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financial statements.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An estimated loss from a contingency should be accrued by a charge to expense and a liability recorded only if all of the following conditions are met:</w:t>
      </w:r>
    </w:p>
    <w:p>
      <w:pPr>
        <w:spacing w:after="0" w:line="264" w:lineRule="exact"/>
        <w:rPr>
          <w:sz w:val="20"/>
          <w:szCs w:val="20"/>
          <w:color w:val="auto"/>
        </w:rPr>
      </w:pPr>
    </w:p>
    <w:p>
      <w:pPr>
        <w:ind w:left="90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252" w:lineRule="exact"/>
        <w:rPr>
          <w:sz w:val="20"/>
          <w:szCs w:val="20"/>
          <w:color w:val="auto"/>
        </w:rPr>
      </w:pPr>
    </w:p>
    <w:p>
      <w:pPr>
        <w:ind w:left="900" w:right="240" w:hanging="446"/>
        <w:spacing w:after="0" w:line="277" w:lineRule="auto"/>
        <w:tabs>
          <w:tab w:leader="none" w:pos="900" w:val="left"/>
        </w:tabs>
        <w:numPr>
          <w:ilvl w:val="0"/>
          <w:numId w:val="1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Future minimum charter hire receipts, excluding any profit share revenue that may arise, based on non-cancellable long-term time and bareboat charter contracts, as of December 31, 2017 were:</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74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190"/>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272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$156,343</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2019</w:t>
            </w:r>
          </w:p>
        </w:tc>
        <w:tc>
          <w:tcPr>
            <w:tcW w:w="2720" w:type="dxa"/>
            <w:vAlign w:val="bottom"/>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106,422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2021</w:t>
            </w:r>
          </w:p>
        </w:tc>
        <w:tc>
          <w:tcPr>
            <w:tcW w:w="2720" w:type="dxa"/>
            <w:vAlign w:val="bottom"/>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54,584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53,564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570,177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56" w:lineRule="exact"/>
        <w:rPr>
          <w:sz w:val="20"/>
          <w:szCs w:val="20"/>
          <w:color w:val="auto"/>
        </w:rPr>
      </w:pPr>
    </w:p>
    <w:p>
      <w:pPr>
        <w:ind w:left="460" w:right="160" w:hanging="452"/>
        <w:spacing w:after="0" w:line="342" w:lineRule="auto"/>
        <w:tabs>
          <w:tab w:leader="none" w:pos="460" w:val="left"/>
        </w:tabs>
        <w:numPr>
          <w:ilvl w:val="0"/>
          <w:numId w:val="1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On January 17, 2018, the board of directors of the Partnership declared a cash distribution of $0.08 per common unit for the fourth quarter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2017. The fourth quarter common unit cash distribution was paid on February 13, 2018, to unit holders of record on February 2, 2018.</w:t>
      </w:r>
    </w:p>
    <w:p>
      <w:pPr>
        <w:spacing w:after="0" w:line="29" w:lineRule="exact"/>
        <w:rPr>
          <w:rFonts w:ascii="Arial" w:cs="Arial" w:eastAsia="Arial" w:hAnsi="Arial"/>
          <w:sz w:val="16"/>
          <w:szCs w:val="16"/>
          <w:b w:val="1"/>
          <w:bCs w:val="1"/>
          <w:i w:val="1"/>
          <w:iCs w:val="1"/>
          <w:color w:val="auto"/>
        </w:rPr>
      </w:pPr>
    </w:p>
    <w:p>
      <w:pPr>
        <w:ind w:left="460" w:right="520" w:hanging="452"/>
        <w:spacing w:after="0" w:line="308" w:lineRule="auto"/>
        <w:tabs>
          <w:tab w:leader="none" w:pos="460" w:val="left"/>
        </w:tabs>
        <w:numPr>
          <w:ilvl w:val="0"/>
          <w:numId w:val="18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On January 17, 2018, the board of directors of the Partnership declared a cash distribution of $0.21375 per Class B unit for the fourth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2017. The cash distribution was paid on February 9, 2018, to Class B unit holders of record on February 2, 2018.</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 – Continued</w:t>
      </w:r>
    </w:p>
    <w:p>
      <w:pPr>
        <w:spacing w:after="0" w:line="162"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of vessels:</w:t>
      </w:r>
    </w:p>
    <w:p>
      <w:pPr>
        <w:spacing w:after="0" w:line="117" w:lineRule="exact"/>
        <w:rPr>
          <w:rFonts w:ascii="Arial" w:cs="Arial" w:eastAsia="Arial" w:hAnsi="Arial"/>
          <w:sz w:val="18"/>
          <w:szCs w:val="18"/>
          <w:b w:val="1"/>
          <w:bCs w:val="1"/>
          <w:i w:val="1"/>
          <w:iCs w:val="1"/>
          <w:color w:val="auto"/>
        </w:rPr>
      </w:pPr>
    </w:p>
    <w:p>
      <w:pPr>
        <w:ind w:left="460" w:right="10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On January 17, 2018 the Partnership acquired the eco-type crude tanker Aristaios (113,689 dwt, Ice Class 1C, built 2017, Daehan Shipbuilding Co. Ltd., S.Korea) for a total consideration of $52,500 from CMTC. The M/T Aristaios is currently employed under a time charter to Tesoro Far East Maritime Company (‘Tesoro’) at a gross daily rate of $26.4. The Tesoro charter commenced in January 2017 with duration of five years +/-45 days. The Partnership financed the acquisition with $24,167 in cash and the assumption of a $28,333 term loan under a credit facility previously arranged by CMTC with Credit Agricole Corporate and Investment Bank and ING Bank NV. The term loan bears interest at LIBOR plus a margin of 2.85% and is payable in twelve consecutive semi-annual instalments of approximately $917 beginning in July 2018, plus a balloon payment payable together with the last semi-annual instalment due in January 2024. The term loan is subject to ship finance covenants similar to the covenants applicable under our existing facilities.</w:t>
      </w:r>
    </w:p>
    <w:p>
      <w:pPr>
        <w:spacing w:after="0" w:line="84" w:lineRule="exact"/>
        <w:rPr>
          <w:rFonts w:ascii="Arial" w:cs="Arial" w:eastAsia="Arial" w:hAnsi="Arial"/>
          <w:sz w:val="18"/>
          <w:szCs w:val="18"/>
          <w:b w:val="1"/>
          <w:bCs w:val="1"/>
          <w:i w:val="1"/>
          <w:iCs w:val="1"/>
          <w:color w:val="auto"/>
        </w:rPr>
      </w:pPr>
    </w:p>
    <w:p>
      <w:pPr>
        <w:ind w:left="46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January 22, 2018, the Partnership agreed to acquire, conditional upon the successful completion of the sale of the M/T Aristotelis, the M/T Anikitos an eco-type MR product tanker (50,082 dwt IMO II/III Chemical Product Tanker built 2016, Samsung Heavy Industries (Ningbo) Co., Ltd.) for a total consideration of $31,500, from CMTC. The M/T Anikitos is currently employed under a time charter, at a gross daily rate of $15.3 with earliest charter expiry in June 2020. The charterer has the option to extend the time charter for eighteen months (+/-30 days) at the same gross daily rate. The Partnership intents to fund the acquisition through the net proceeds to be received from the sale of M/T Aristotelis, available cash and the assumption of a term loan under our “2015 credit facility” (see Note 7), previously arranged by CMTC with ING Bank NV at an amount representing approximately 50% of the vessel’s charter free market value at the time of the dropdown. The term loan is non-amortizing for a period of two years from the anniversary of the dropdown with an expected final maturity date in June 2023 and bears interest at LIBOR plus a margin of 2.50%. The Partnership expects to take delivery of M/T Anikitos in March 2018, following the delivery of the M/T Aristotelis to its new owner.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4.25</w:t>
      </w:r>
    </w:p>
    <w:p>
      <w:pPr>
        <w:spacing w:after="0" w:line="200" w:lineRule="exact"/>
        <w:rPr>
          <w:sz w:val="20"/>
          <w:szCs w:val="20"/>
          <w:color w:val="auto"/>
        </w:rPr>
      </w:pPr>
    </w:p>
    <w:p>
      <w:pPr>
        <w:spacing w:after="0" w:line="24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Dated 2 January 2017</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ASTERIAS CRUDE CARRIER S.A. </w:t>
      </w:r>
      <w:r>
        <w:rPr>
          <w:rFonts w:ascii="Arial" w:cs="Arial" w:eastAsia="Arial" w:hAnsi="Arial"/>
          <w:sz w:val="18"/>
          <w:szCs w:val="18"/>
          <w:color w:val="auto"/>
        </w:rPr>
        <w:t>and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SCORPIO CRUDE CARRIER 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and several Borrowers</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listed in Schedule 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CRÉDIT AGRICOLE CORPORATE AND INVESTMENT BANK</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Facility Agent, Security Trustee and Account Bank</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ING BANK N.V. </w:t>
      </w:r>
      <w:r>
        <w:rPr>
          <w:rFonts w:ascii="Arial" w:cs="Arial" w:eastAsia="Arial" w:hAnsi="Arial"/>
          <w:sz w:val="18"/>
          <w:szCs w:val="18"/>
          <w:color w:val="auto"/>
        </w:rPr>
        <w:t>and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CRÉDIT AGRICOLE CORPORATE AND INVESTMENT BANK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Bookrunners and Mandated Lead Arrangers</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ING BANK N.V.</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Swap Bank</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LOAN AGREEMENT</w:t>
      </w:r>
    </w:p>
    <w:p>
      <w:pPr>
        <w:spacing w:after="0" w:line="229" w:lineRule="exact"/>
        <w:rPr>
          <w:sz w:val="20"/>
          <w:szCs w:val="20"/>
          <w:color w:val="auto"/>
        </w:rPr>
      </w:pPr>
    </w:p>
    <w:p>
      <w:pPr>
        <w:jc w:val="center"/>
        <w:ind w:left="1600" w:right="2800"/>
        <w:spacing w:after="0" w:line="279" w:lineRule="auto"/>
        <w:rPr>
          <w:sz w:val="20"/>
          <w:szCs w:val="20"/>
          <w:color w:val="auto"/>
        </w:rPr>
      </w:pPr>
      <w:r>
        <w:rPr>
          <w:rFonts w:ascii="Arial" w:cs="Arial" w:eastAsia="Arial" w:hAnsi="Arial"/>
          <w:sz w:val="17"/>
          <w:szCs w:val="17"/>
          <w:color w:val="auto"/>
        </w:rPr>
        <w:t>relating to a post- delivery secured term loan facility of up to US$70,200,000 to refinance in part and to finance part of the construction and acquisition cost of two Aframax tankers being constructed by Daehan Shipbuilding Co., Ltd. in the Republic of South Korea</w:t>
      </w:r>
    </w:p>
    <w:p>
      <w:pPr>
        <w:sectPr>
          <w:pgSz w:w="11900" w:h="16838" w:orient="portrait"/>
          <w:cols w:equalWidth="0" w:num="1">
            <w:col w:w="10220"/>
          </w:cols>
          <w:pgMar w:left="1440" w:top="121"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920" w:type="dxa"/>
            <w:vAlign w:val="bottom"/>
          </w:tcPr>
          <w:p>
            <w:pPr>
              <w:jc w:val="right"/>
              <w:ind w:right="5330"/>
              <w:spacing w:after="0"/>
              <w:rPr>
                <w:sz w:val="20"/>
                <w:szCs w:val="20"/>
                <w:color w:val="auto"/>
              </w:rPr>
            </w:pPr>
            <w:r>
              <w:rPr>
                <w:rFonts w:ascii="Arial" w:cs="Arial" w:eastAsia="Arial" w:hAnsi="Arial"/>
                <w:sz w:val="18"/>
                <w:szCs w:val="18"/>
                <w:b w:val="1"/>
                <w:bCs w:val="1"/>
                <w:color w:val="auto"/>
              </w:rPr>
              <w:t>Index</w:t>
            </w:r>
          </w:p>
        </w:tc>
      </w:tr>
      <w:tr>
        <w:trPr>
          <w:trHeight w:val="407"/>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Clause</w:t>
            </w:r>
          </w:p>
        </w:tc>
        <w:tc>
          <w:tcPr>
            <w:tcW w:w="490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03"/>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490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5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4900" w:type="dxa"/>
            <w:vAlign w:val="bottom"/>
          </w:tcPr>
          <w:p>
            <w:pPr>
              <w:ind w:left="120"/>
              <w:spacing w:after="0"/>
              <w:rPr>
                <w:sz w:val="20"/>
                <w:szCs w:val="20"/>
                <w:color w:val="auto"/>
              </w:rPr>
            </w:pPr>
            <w:r>
              <w:rPr>
                <w:rFonts w:ascii="Arial" w:cs="Arial" w:eastAsia="Arial" w:hAnsi="Arial"/>
                <w:sz w:val="18"/>
                <w:szCs w:val="18"/>
                <w:color w:val="auto"/>
              </w:rPr>
              <w:t>Facility</w:t>
            </w:r>
          </w:p>
        </w:tc>
        <w:tc>
          <w:tcPr>
            <w:tcW w:w="5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4900" w:type="dxa"/>
            <w:vAlign w:val="bottom"/>
          </w:tcPr>
          <w:p>
            <w:pPr>
              <w:ind w:left="120"/>
              <w:spacing w:after="0"/>
              <w:rPr>
                <w:sz w:val="20"/>
                <w:szCs w:val="20"/>
                <w:color w:val="auto"/>
              </w:rPr>
            </w:pPr>
            <w:r>
              <w:rPr>
                <w:rFonts w:ascii="Arial" w:cs="Arial" w:eastAsia="Arial" w:hAnsi="Arial"/>
                <w:sz w:val="18"/>
                <w:szCs w:val="18"/>
                <w:color w:val="auto"/>
                <w:w w:val="91"/>
              </w:rPr>
              <w:t>Position of the Lenders, the Swap Bank and the Majority Lenders</w:t>
            </w:r>
          </w:p>
        </w:tc>
        <w:tc>
          <w:tcPr>
            <w:tcW w:w="5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4900" w:type="dxa"/>
            <w:vAlign w:val="bottom"/>
          </w:tcPr>
          <w:p>
            <w:pPr>
              <w:ind w:left="120"/>
              <w:spacing w:after="0"/>
              <w:rPr>
                <w:sz w:val="20"/>
                <w:szCs w:val="20"/>
                <w:color w:val="auto"/>
              </w:rPr>
            </w:pPr>
            <w:r>
              <w:rPr>
                <w:rFonts w:ascii="Arial" w:cs="Arial" w:eastAsia="Arial" w:hAnsi="Arial"/>
                <w:sz w:val="18"/>
                <w:szCs w:val="18"/>
                <w:color w:val="auto"/>
              </w:rPr>
              <w:t>Drawdown and Dropdown Option</w:t>
            </w:r>
          </w:p>
        </w:tc>
        <w:tc>
          <w:tcPr>
            <w:tcW w:w="5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4900" w:type="dxa"/>
            <w:vAlign w:val="bottom"/>
          </w:tcPr>
          <w:p>
            <w:pPr>
              <w:ind w:left="120"/>
              <w:spacing w:after="0"/>
              <w:rPr>
                <w:sz w:val="20"/>
                <w:szCs w:val="20"/>
                <w:color w:val="auto"/>
              </w:rPr>
            </w:pPr>
            <w:r>
              <w:rPr>
                <w:rFonts w:ascii="Arial" w:cs="Arial" w:eastAsia="Arial" w:hAnsi="Arial"/>
                <w:sz w:val="18"/>
                <w:szCs w:val="18"/>
                <w:color w:val="auto"/>
              </w:rPr>
              <w:t>Interest</w:t>
            </w:r>
          </w:p>
        </w:tc>
        <w:tc>
          <w:tcPr>
            <w:tcW w:w="5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4900" w:type="dxa"/>
            <w:vAlign w:val="bottom"/>
          </w:tcPr>
          <w:p>
            <w:pPr>
              <w:ind w:left="120"/>
              <w:spacing w:after="0"/>
              <w:rPr>
                <w:sz w:val="20"/>
                <w:szCs w:val="20"/>
                <w:color w:val="auto"/>
              </w:rPr>
            </w:pPr>
            <w:r>
              <w:rPr>
                <w:rFonts w:ascii="Arial" w:cs="Arial" w:eastAsia="Arial" w:hAnsi="Arial"/>
                <w:sz w:val="18"/>
                <w:szCs w:val="18"/>
                <w:color w:val="auto"/>
              </w:rPr>
              <w:t>Interest Periods</w:t>
            </w:r>
          </w:p>
        </w:tc>
        <w:tc>
          <w:tcPr>
            <w:tcW w:w="5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w:t>
            </w:r>
          </w:p>
        </w:tc>
        <w:tc>
          <w:tcPr>
            <w:tcW w:w="4900" w:type="dxa"/>
            <w:vAlign w:val="bottom"/>
          </w:tcPr>
          <w:p>
            <w:pPr>
              <w:ind w:left="120"/>
              <w:spacing w:after="0"/>
              <w:rPr>
                <w:sz w:val="20"/>
                <w:szCs w:val="20"/>
                <w:color w:val="auto"/>
              </w:rPr>
            </w:pPr>
            <w:r>
              <w:rPr>
                <w:rFonts w:ascii="Arial" w:cs="Arial" w:eastAsia="Arial" w:hAnsi="Arial"/>
                <w:sz w:val="18"/>
                <w:szCs w:val="18"/>
                <w:color w:val="auto"/>
              </w:rPr>
              <w:t>Default Interest</w:t>
            </w:r>
          </w:p>
        </w:tc>
        <w:tc>
          <w:tcPr>
            <w:tcW w:w="5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4900" w:type="dxa"/>
            <w:vAlign w:val="bottom"/>
          </w:tcPr>
          <w:p>
            <w:pPr>
              <w:ind w:left="120"/>
              <w:spacing w:after="0"/>
              <w:rPr>
                <w:sz w:val="20"/>
                <w:szCs w:val="20"/>
                <w:color w:val="auto"/>
              </w:rPr>
            </w:pPr>
            <w:r>
              <w:rPr>
                <w:rFonts w:ascii="Arial" w:cs="Arial" w:eastAsia="Arial" w:hAnsi="Arial"/>
                <w:sz w:val="18"/>
                <w:szCs w:val="18"/>
                <w:color w:val="auto"/>
              </w:rPr>
              <w:t>Repayment and Prepayment</w:t>
            </w:r>
          </w:p>
        </w:tc>
        <w:tc>
          <w:tcPr>
            <w:tcW w:w="5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w:t>
            </w:r>
          </w:p>
        </w:tc>
        <w:tc>
          <w:tcPr>
            <w:tcW w:w="4900" w:type="dxa"/>
            <w:vAlign w:val="bottom"/>
          </w:tcPr>
          <w:p>
            <w:pPr>
              <w:ind w:left="120"/>
              <w:spacing w:after="0"/>
              <w:rPr>
                <w:sz w:val="20"/>
                <w:szCs w:val="20"/>
                <w:color w:val="auto"/>
              </w:rPr>
            </w:pPr>
            <w:r>
              <w:rPr>
                <w:rFonts w:ascii="Arial" w:cs="Arial" w:eastAsia="Arial" w:hAnsi="Arial"/>
                <w:sz w:val="18"/>
                <w:szCs w:val="18"/>
                <w:color w:val="auto"/>
              </w:rPr>
              <w:t>Conditions Precedent</w:t>
            </w:r>
          </w:p>
        </w:tc>
        <w:tc>
          <w:tcPr>
            <w:tcW w:w="5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w:t>
            </w:r>
          </w:p>
        </w:tc>
        <w:tc>
          <w:tcPr>
            <w:tcW w:w="490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5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4900" w:type="dxa"/>
            <w:vAlign w:val="bottom"/>
          </w:tcPr>
          <w:p>
            <w:pPr>
              <w:ind w:left="120"/>
              <w:spacing w:after="0"/>
              <w:rPr>
                <w:sz w:val="20"/>
                <w:szCs w:val="20"/>
                <w:color w:val="auto"/>
              </w:rPr>
            </w:pPr>
            <w:r>
              <w:rPr>
                <w:rFonts w:ascii="Arial" w:cs="Arial" w:eastAsia="Arial" w:hAnsi="Arial"/>
                <w:sz w:val="18"/>
                <w:szCs w:val="18"/>
                <w:color w:val="auto"/>
              </w:rPr>
              <w:t>General Undertakings</w:t>
            </w:r>
          </w:p>
        </w:tc>
        <w:tc>
          <w:tcPr>
            <w:tcW w:w="5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w:t>
            </w:r>
          </w:p>
        </w:tc>
        <w:tc>
          <w:tcPr>
            <w:tcW w:w="4900" w:type="dxa"/>
            <w:vAlign w:val="bottom"/>
          </w:tcPr>
          <w:p>
            <w:pPr>
              <w:ind w:left="120"/>
              <w:spacing w:after="0"/>
              <w:rPr>
                <w:sz w:val="20"/>
                <w:szCs w:val="20"/>
                <w:color w:val="auto"/>
              </w:rPr>
            </w:pPr>
            <w:r>
              <w:rPr>
                <w:rFonts w:ascii="Arial" w:cs="Arial" w:eastAsia="Arial" w:hAnsi="Arial"/>
                <w:sz w:val="18"/>
                <w:szCs w:val="18"/>
                <w:color w:val="auto"/>
              </w:rPr>
              <w:t>Corporate Undertakings</w:t>
            </w:r>
          </w:p>
        </w:tc>
        <w:tc>
          <w:tcPr>
            <w:tcW w:w="5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13</w:t>
            </w:r>
          </w:p>
        </w:tc>
        <w:tc>
          <w:tcPr>
            <w:tcW w:w="490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14</w:t>
            </w:r>
          </w:p>
        </w:tc>
        <w:tc>
          <w:tcPr>
            <w:tcW w:w="4900" w:type="dxa"/>
            <w:vAlign w:val="bottom"/>
          </w:tcPr>
          <w:p>
            <w:pPr>
              <w:ind w:left="120"/>
              <w:spacing w:after="0"/>
              <w:rPr>
                <w:sz w:val="20"/>
                <w:szCs w:val="20"/>
                <w:color w:val="auto"/>
              </w:rPr>
            </w:pPr>
            <w:r>
              <w:rPr>
                <w:rFonts w:ascii="Arial" w:cs="Arial" w:eastAsia="Arial" w:hAnsi="Arial"/>
                <w:sz w:val="18"/>
                <w:szCs w:val="18"/>
                <w:color w:val="auto"/>
              </w:rPr>
              <w:t>Ship covenants</w:t>
            </w:r>
          </w:p>
        </w:tc>
        <w:tc>
          <w:tcPr>
            <w:tcW w:w="5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15</w:t>
            </w:r>
          </w:p>
        </w:tc>
        <w:tc>
          <w:tcPr>
            <w:tcW w:w="4900" w:type="dxa"/>
            <w:vAlign w:val="bottom"/>
          </w:tcPr>
          <w:p>
            <w:pPr>
              <w:ind w:left="120"/>
              <w:spacing w:after="0"/>
              <w:rPr>
                <w:sz w:val="20"/>
                <w:szCs w:val="20"/>
                <w:color w:val="auto"/>
              </w:rPr>
            </w:pPr>
            <w:r>
              <w:rPr>
                <w:rFonts w:ascii="Arial" w:cs="Arial" w:eastAsia="Arial" w:hAnsi="Arial"/>
                <w:sz w:val="18"/>
                <w:szCs w:val="18"/>
                <w:color w:val="auto"/>
              </w:rPr>
              <w:t>Security Cover</w:t>
            </w:r>
          </w:p>
        </w:tc>
        <w:tc>
          <w:tcPr>
            <w:tcW w:w="5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16</w:t>
            </w:r>
          </w:p>
        </w:tc>
        <w:tc>
          <w:tcPr>
            <w:tcW w:w="4900" w:type="dxa"/>
            <w:vAlign w:val="bottom"/>
          </w:tcPr>
          <w:p>
            <w:pPr>
              <w:ind w:left="120"/>
              <w:spacing w:after="0"/>
              <w:rPr>
                <w:sz w:val="20"/>
                <w:szCs w:val="20"/>
                <w:color w:val="auto"/>
              </w:rPr>
            </w:pPr>
            <w:r>
              <w:rPr>
                <w:rFonts w:ascii="Arial" w:cs="Arial" w:eastAsia="Arial" w:hAnsi="Arial"/>
                <w:sz w:val="18"/>
                <w:szCs w:val="18"/>
                <w:color w:val="auto"/>
              </w:rPr>
              <w:t>Payments and Calculations</w:t>
            </w:r>
          </w:p>
        </w:tc>
        <w:tc>
          <w:tcPr>
            <w:tcW w:w="5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17</w:t>
            </w:r>
          </w:p>
        </w:tc>
        <w:tc>
          <w:tcPr>
            <w:tcW w:w="4900" w:type="dxa"/>
            <w:vAlign w:val="bottom"/>
          </w:tcPr>
          <w:p>
            <w:pPr>
              <w:ind w:left="120"/>
              <w:spacing w:after="0"/>
              <w:rPr>
                <w:sz w:val="20"/>
                <w:szCs w:val="20"/>
                <w:color w:val="auto"/>
              </w:rPr>
            </w:pPr>
            <w:r>
              <w:rPr>
                <w:rFonts w:ascii="Arial" w:cs="Arial" w:eastAsia="Arial" w:hAnsi="Arial"/>
                <w:sz w:val="18"/>
                <w:szCs w:val="18"/>
                <w:color w:val="auto"/>
              </w:rPr>
              <w:t>Application of Receipts</w:t>
            </w:r>
          </w:p>
        </w:tc>
        <w:tc>
          <w:tcPr>
            <w:tcW w:w="59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18</w:t>
            </w:r>
          </w:p>
        </w:tc>
        <w:tc>
          <w:tcPr>
            <w:tcW w:w="4900" w:type="dxa"/>
            <w:vAlign w:val="bottom"/>
          </w:tcPr>
          <w:p>
            <w:pPr>
              <w:ind w:left="120"/>
              <w:spacing w:after="0"/>
              <w:rPr>
                <w:sz w:val="20"/>
                <w:szCs w:val="20"/>
                <w:color w:val="auto"/>
              </w:rPr>
            </w:pPr>
            <w:r>
              <w:rPr>
                <w:rFonts w:ascii="Arial" w:cs="Arial" w:eastAsia="Arial" w:hAnsi="Arial"/>
                <w:sz w:val="18"/>
                <w:szCs w:val="18"/>
                <w:color w:val="auto"/>
              </w:rPr>
              <w:t>Application of Earnings</w:t>
            </w:r>
          </w:p>
        </w:tc>
        <w:tc>
          <w:tcPr>
            <w:tcW w:w="5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19</w:t>
            </w:r>
          </w:p>
        </w:tc>
        <w:tc>
          <w:tcPr>
            <w:tcW w:w="4900" w:type="dxa"/>
            <w:vAlign w:val="bottom"/>
          </w:tcPr>
          <w:p>
            <w:pPr>
              <w:ind w:left="120"/>
              <w:spacing w:after="0"/>
              <w:rPr>
                <w:sz w:val="20"/>
                <w:szCs w:val="20"/>
                <w:color w:val="auto"/>
              </w:rPr>
            </w:pPr>
            <w:r>
              <w:rPr>
                <w:rFonts w:ascii="Arial" w:cs="Arial" w:eastAsia="Arial" w:hAnsi="Arial"/>
                <w:sz w:val="18"/>
                <w:szCs w:val="18"/>
                <w:color w:val="auto"/>
              </w:rPr>
              <w:t>Event of Default</w:t>
            </w:r>
          </w:p>
        </w:tc>
        <w:tc>
          <w:tcPr>
            <w:tcW w:w="59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w:t>
            </w:r>
          </w:p>
        </w:tc>
        <w:tc>
          <w:tcPr>
            <w:tcW w:w="490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5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4900" w:type="dxa"/>
            <w:vAlign w:val="bottom"/>
          </w:tcPr>
          <w:p>
            <w:pPr>
              <w:ind w:left="120"/>
              <w:spacing w:after="0"/>
              <w:rPr>
                <w:sz w:val="20"/>
                <w:szCs w:val="20"/>
                <w:color w:val="auto"/>
              </w:rPr>
            </w:pPr>
            <w:r>
              <w:rPr>
                <w:rFonts w:ascii="Arial" w:cs="Arial" w:eastAsia="Arial" w:hAnsi="Arial"/>
                <w:sz w:val="18"/>
                <w:szCs w:val="18"/>
                <w:color w:val="auto"/>
              </w:rPr>
              <w:t>Indemnities</w:t>
            </w:r>
          </w:p>
        </w:tc>
        <w:tc>
          <w:tcPr>
            <w:tcW w:w="5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4900" w:type="dxa"/>
            <w:vAlign w:val="bottom"/>
          </w:tcPr>
          <w:p>
            <w:pPr>
              <w:ind w:left="120"/>
              <w:spacing w:after="0"/>
              <w:rPr>
                <w:sz w:val="20"/>
                <w:szCs w:val="20"/>
                <w:color w:val="auto"/>
              </w:rPr>
            </w:pPr>
            <w:r>
              <w:rPr>
                <w:rFonts w:ascii="Arial" w:cs="Arial" w:eastAsia="Arial" w:hAnsi="Arial"/>
                <w:sz w:val="18"/>
                <w:szCs w:val="18"/>
                <w:color w:val="auto"/>
              </w:rPr>
              <w:t>No Set-Off or Tax Deduction</w:t>
            </w:r>
          </w:p>
        </w:tc>
        <w:tc>
          <w:tcPr>
            <w:tcW w:w="5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23</w:t>
            </w:r>
          </w:p>
        </w:tc>
        <w:tc>
          <w:tcPr>
            <w:tcW w:w="4900" w:type="dxa"/>
            <w:vAlign w:val="bottom"/>
          </w:tcPr>
          <w:p>
            <w:pPr>
              <w:ind w:left="120"/>
              <w:spacing w:after="0"/>
              <w:rPr>
                <w:sz w:val="20"/>
                <w:szCs w:val="20"/>
                <w:color w:val="auto"/>
              </w:rPr>
            </w:pPr>
            <w:r>
              <w:rPr>
                <w:rFonts w:ascii="Arial" w:cs="Arial" w:eastAsia="Arial" w:hAnsi="Arial"/>
                <w:sz w:val="18"/>
                <w:szCs w:val="18"/>
                <w:color w:val="auto"/>
              </w:rPr>
              <w:t>Illegality, etc</w:t>
            </w:r>
          </w:p>
        </w:tc>
        <w:tc>
          <w:tcPr>
            <w:tcW w:w="5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24</w:t>
            </w:r>
          </w:p>
        </w:tc>
        <w:tc>
          <w:tcPr>
            <w:tcW w:w="490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5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25</w:t>
            </w:r>
          </w:p>
        </w:tc>
        <w:tc>
          <w:tcPr>
            <w:tcW w:w="4900" w:type="dxa"/>
            <w:vAlign w:val="bottom"/>
          </w:tcPr>
          <w:p>
            <w:pPr>
              <w:ind w:left="120"/>
              <w:spacing w:after="0"/>
              <w:rPr>
                <w:sz w:val="20"/>
                <w:szCs w:val="20"/>
                <w:color w:val="auto"/>
              </w:rPr>
            </w:pPr>
            <w:r>
              <w:rPr>
                <w:rFonts w:ascii="Arial" w:cs="Arial" w:eastAsia="Arial" w:hAnsi="Arial"/>
                <w:sz w:val="18"/>
                <w:szCs w:val="18"/>
                <w:color w:val="auto"/>
              </w:rPr>
              <w:t>Set-Off</w:t>
            </w:r>
          </w:p>
        </w:tc>
        <w:tc>
          <w:tcPr>
            <w:tcW w:w="59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26</w:t>
            </w:r>
          </w:p>
        </w:tc>
        <w:tc>
          <w:tcPr>
            <w:tcW w:w="4900" w:type="dxa"/>
            <w:vAlign w:val="bottom"/>
          </w:tcPr>
          <w:p>
            <w:pPr>
              <w:ind w:left="120"/>
              <w:spacing w:after="0"/>
              <w:rPr>
                <w:sz w:val="20"/>
                <w:szCs w:val="20"/>
                <w:color w:val="auto"/>
              </w:rPr>
            </w:pPr>
            <w:r>
              <w:rPr>
                <w:rFonts w:ascii="Arial" w:cs="Arial" w:eastAsia="Arial" w:hAnsi="Arial"/>
                <w:sz w:val="18"/>
                <w:szCs w:val="18"/>
                <w:color w:val="auto"/>
              </w:rPr>
              <w:t>Transfers and Changes in Lending Offices</w:t>
            </w:r>
          </w:p>
        </w:tc>
        <w:tc>
          <w:tcPr>
            <w:tcW w:w="5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27</w:t>
            </w:r>
          </w:p>
        </w:tc>
        <w:tc>
          <w:tcPr>
            <w:tcW w:w="4900" w:type="dxa"/>
            <w:vAlign w:val="bottom"/>
          </w:tcPr>
          <w:p>
            <w:pPr>
              <w:ind w:left="120"/>
              <w:spacing w:after="0"/>
              <w:rPr>
                <w:sz w:val="20"/>
                <w:szCs w:val="20"/>
                <w:color w:val="auto"/>
              </w:rPr>
            </w:pPr>
            <w:r>
              <w:rPr>
                <w:rFonts w:ascii="Arial" w:cs="Arial" w:eastAsia="Arial" w:hAnsi="Arial"/>
                <w:sz w:val="18"/>
                <w:szCs w:val="18"/>
                <w:color w:val="auto"/>
              </w:rPr>
              <w:t>Variations and Waivers</w:t>
            </w:r>
          </w:p>
        </w:tc>
        <w:tc>
          <w:tcPr>
            <w:tcW w:w="5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28</w:t>
            </w:r>
          </w:p>
        </w:tc>
        <w:tc>
          <w:tcPr>
            <w:tcW w:w="4900" w:type="dxa"/>
            <w:vAlign w:val="bottom"/>
          </w:tcPr>
          <w:p>
            <w:pPr>
              <w:ind w:left="120"/>
              <w:spacing w:after="0"/>
              <w:rPr>
                <w:sz w:val="20"/>
                <w:szCs w:val="20"/>
                <w:color w:val="auto"/>
              </w:rPr>
            </w:pPr>
            <w:r>
              <w:rPr>
                <w:rFonts w:ascii="Arial" w:cs="Arial" w:eastAsia="Arial" w:hAnsi="Arial"/>
                <w:sz w:val="18"/>
                <w:szCs w:val="18"/>
                <w:color w:val="auto"/>
              </w:rPr>
              <w:t>Notices</w:t>
            </w:r>
          </w:p>
        </w:tc>
        <w:tc>
          <w:tcPr>
            <w:tcW w:w="5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29</w:t>
            </w:r>
          </w:p>
        </w:tc>
        <w:tc>
          <w:tcPr>
            <w:tcW w:w="4900" w:type="dxa"/>
            <w:vAlign w:val="bottom"/>
          </w:tcPr>
          <w:p>
            <w:pPr>
              <w:ind w:left="120"/>
              <w:spacing w:after="0"/>
              <w:rPr>
                <w:sz w:val="20"/>
                <w:szCs w:val="20"/>
                <w:color w:val="auto"/>
              </w:rPr>
            </w:pPr>
            <w:r>
              <w:rPr>
                <w:rFonts w:ascii="Arial" w:cs="Arial" w:eastAsia="Arial" w:hAnsi="Arial"/>
                <w:sz w:val="18"/>
                <w:szCs w:val="18"/>
                <w:color w:val="auto"/>
              </w:rPr>
              <w:t>Joint and Several Liability</w:t>
            </w:r>
          </w:p>
        </w:tc>
        <w:tc>
          <w:tcPr>
            <w:tcW w:w="59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30</w:t>
            </w:r>
          </w:p>
        </w:tc>
        <w:tc>
          <w:tcPr>
            <w:tcW w:w="490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5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4900" w:type="dxa"/>
            <w:vAlign w:val="bottom"/>
          </w:tcPr>
          <w:p>
            <w:pPr>
              <w:ind w:left="120"/>
              <w:spacing w:after="0"/>
              <w:rPr>
                <w:sz w:val="20"/>
                <w:szCs w:val="20"/>
                <w:color w:val="auto"/>
              </w:rPr>
            </w:pPr>
            <w:r>
              <w:rPr>
                <w:rFonts w:ascii="Arial" w:cs="Arial" w:eastAsia="Arial" w:hAnsi="Arial"/>
                <w:sz w:val="18"/>
                <w:szCs w:val="18"/>
                <w:color w:val="auto"/>
              </w:rPr>
              <w:t>Supplemental</w:t>
            </w:r>
          </w:p>
        </w:tc>
        <w:tc>
          <w:tcPr>
            <w:tcW w:w="5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4900" w:type="dxa"/>
            <w:vAlign w:val="bottom"/>
          </w:tcPr>
          <w:p>
            <w:pPr>
              <w:ind w:left="120"/>
              <w:spacing w:after="0"/>
              <w:rPr>
                <w:sz w:val="20"/>
                <w:szCs w:val="20"/>
                <w:color w:val="auto"/>
              </w:rPr>
            </w:pPr>
            <w:r>
              <w:rPr>
                <w:rFonts w:ascii="Arial" w:cs="Arial" w:eastAsia="Arial" w:hAnsi="Arial"/>
                <w:sz w:val="18"/>
                <w:szCs w:val="18"/>
                <w:color w:val="auto"/>
              </w:rPr>
              <w:t>Law and Jurisdiction</w:t>
            </w:r>
          </w:p>
        </w:tc>
        <w:tc>
          <w:tcPr>
            <w:tcW w:w="5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4900" w:type="dxa"/>
            <w:vAlign w:val="bottom"/>
          </w:tcPr>
          <w:p>
            <w:pPr>
              <w:ind w:left="120"/>
              <w:spacing w:after="0"/>
              <w:rPr>
                <w:sz w:val="20"/>
                <w:szCs w:val="20"/>
                <w:color w:val="auto"/>
              </w:rPr>
            </w:pPr>
            <w:r>
              <w:rPr>
                <w:rFonts w:ascii="Arial" w:cs="Arial" w:eastAsia="Arial" w:hAnsi="Arial"/>
                <w:sz w:val="18"/>
                <w:szCs w:val="18"/>
                <w:color w:val="auto"/>
              </w:rPr>
              <w:t>Bail-In</w:t>
            </w:r>
          </w:p>
        </w:tc>
        <w:tc>
          <w:tcPr>
            <w:tcW w:w="5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Schedule 1 Lenders and Commitments</w:t>
            </w:r>
          </w:p>
        </w:tc>
        <w:tc>
          <w:tcPr>
            <w:tcW w:w="5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Schedule 2 Drawdown Notice</w:t>
            </w:r>
          </w:p>
        </w:tc>
        <w:tc>
          <w:tcPr>
            <w:tcW w:w="59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Schedule 3 Conditions Precedent Documents</w:t>
            </w:r>
          </w:p>
        </w:tc>
        <w:tc>
          <w:tcPr>
            <w:tcW w:w="59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Schedule 4 Transfer Certificate</w:t>
            </w:r>
          </w:p>
        </w:tc>
        <w:tc>
          <w:tcPr>
            <w:tcW w:w="59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Schedule 5 Designation Notice</w:t>
            </w:r>
          </w:p>
        </w:tc>
        <w:tc>
          <w:tcPr>
            <w:tcW w:w="59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Schedule 6 Power of Attorney</w:t>
            </w:r>
          </w:p>
        </w:tc>
        <w:tc>
          <w:tcPr>
            <w:tcW w:w="59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Execution Pages</w:t>
            </w:r>
          </w:p>
        </w:tc>
        <w:tc>
          <w:tcPr>
            <w:tcW w:w="5920" w:type="dxa"/>
            <w:vAlign w:val="bottom"/>
          </w:tcPr>
          <w:p>
            <w:pPr>
              <w:jc w:val="right"/>
              <w:spacing w:after="0"/>
              <w:rPr>
                <w:sz w:val="20"/>
                <w:szCs w:val="20"/>
                <w:color w:val="auto"/>
              </w:rPr>
            </w:pPr>
            <w:r>
              <w:rPr>
                <w:rFonts w:ascii="Arial" w:cs="Arial" w:eastAsia="Arial" w:hAnsi="Arial"/>
                <w:sz w:val="18"/>
                <w:szCs w:val="18"/>
                <w:color w:val="auto"/>
              </w:rPr>
              <w:t>115</w:t>
            </w:r>
          </w:p>
        </w:tc>
      </w:tr>
    </w:tbl>
    <w:p>
      <w:pPr>
        <w:jc w:val="right"/>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0" w:name="page191"/>
    <w:bookmarkEnd w:id="19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LOAN AGREEMENT </w:t>
      </w:r>
      <w:r>
        <w:rPr>
          <w:rFonts w:ascii="Arial" w:cs="Arial" w:eastAsia="Arial" w:hAnsi="Arial"/>
          <w:sz w:val="20"/>
          <w:szCs w:val="20"/>
          <w:color w:val="auto"/>
        </w:rPr>
        <w:t>is made on 2 January 2017</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920" w:right="120" w:hanging="912"/>
        <w:spacing w:after="0" w:line="266" w:lineRule="auto"/>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ASTERIAS CRUDE CARRIER S.A. </w:t>
      </w:r>
      <w:r>
        <w:rPr>
          <w:rFonts w:ascii="Arial" w:cs="Arial" w:eastAsia="Arial" w:hAnsi="Arial"/>
          <w:sz w:val="18"/>
          <w:szCs w:val="18"/>
          <w:color w:val="auto"/>
        </w:rPr>
        <w:t>and</w:t>
      </w:r>
      <w:r>
        <w:rPr>
          <w:rFonts w:ascii="Arial" w:cs="Arial" w:eastAsia="Arial" w:hAnsi="Arial"/>
          <w:sz w:val="18"/>
          <w:szCs w:val="18"/>
          <w:b w:val="1"/>
          <w:bCs w:val="1"/>
          <w:color w:val="auto"/>
        </w:rPr>
        <w:t xml:space="preserve"> SCORPIO CRUDE CARRIER S.A.</w:t>
      </w:r>
      <w:r>
        <w:rPr>
          <w:rFonts w:ascii="Arial" w:cs="Arial" w:eastAsia="Arial" w:hAnsi="Arial"/>
          <w:sz w:val="18"/>
          <w:szCs w:val="18"/>
          <w:color w:val="auto"/>
        </w:rPr>
        <w:t>, each being a corporation incorporated in the Republic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Marshall Islands whose registered office is at Trust Company Complex, Ajeltake Road, Ajeltake Island, Majuro, Marshall Islands MH96960 (together, the “</w:t>
      </w:r>
      <w:r>
        <w:rPr>
          <w:rFonts w:ascii="Arial" w:cs="Arial" w:eastAsia="Arial" w:hAnsi="Arial"/>
          <w:sz w:val="18"/>
          <w:szCs w:val="18"/>
          <w:b w:val="1"/>
          <w:bCs w:val="1"/>
          <w:color w:val="auto"/>
        </w:rPr>
        <w:t>Borrowers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920" w:hanging="912"/>
        <w:spacing w:after="0"/>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as</w:t>
      </w:r>
      <w:r>
        <w:rPr>
          <w:rFonts w:ascii="Arial" w:cs="Arial" w:eastAsia="Arial" w:hAnsi="Arial"/>
          <w:sz w:val="18"/>
          <w:szCs w:val="18"/>
          <w:b w:val="1"/>
          <w:bCs w:val="1"/>
          <w:color w:val="auto"/>
        </w:rPr>
        <w:t xml:space="preserve">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ING BANK N.V. </w:t>
      </w:r>
      <w:r>
        <w:rPr>
          <w:rFonts w:ascii="Arial" w:cs="Arial" w:eastAsia="Arial" w:hAnsi="Arial"/>
          <w:sz w:val="18"/>
          <w:szCs w:val="18"/>
          <w:color w:val="auto"/>
        </w:rPr>
        <w:t>as</w:t>
      </w:r>
      <w:r>
        <w:rPr>
          <w:rFonts w:ascii="Arial" w:cs="Arial" w:eastAsia="Arial" w:hAnsi="Arial"/>
          <w:sz w:val="18"/>
          <w:szCs w:val="18"/>
          <w:b w:val="1"/>
          <w:bCs w:val="1"/>
          <w:color w:val="auto"/>
        </w:rPr>
        <w:t xml:space="preserve"> Swap Bank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right="520" w:hanging="912"/>
        <w:spacing w:after="0" w:line="282" w:lineRule="auto"/>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ING BANK N.V., LONDON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CRÉDIT AGRICOLE CORPORATE AND INVESTMENT BANK </w:t>
      </w:r>
      <w:r>
        <w:rPr>
          <w:rFonts w:ascii="Arial" w:cs="Arial" w:eastAsia="Arial" w:hAnsi="Arial"/>
          <w:sz w:val="18"/>
          <w:szCs w:val="18"/>
          <w:color w:val="auto"/>
        </w:rPr>
        <w:t>as</w:t>
      </w:r>
      <w:r>
        <w:rPr>
          <w:rFonts w:ascii="Arial" w:cs="Arial" w:eastAsia="Arial" w:hAnsi="Arial"/>
          <w:sz w:val="18"/>
          <w:szCs w:val="18"/>
          <w:b w:val="1"/>
          <w:bCs w:val="1"/>
          <w:color w:val="auto"/>
        </w:rPr>
        <w:t xml:space="preserve"> Mandated Lead Arrangers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20" w:hanging="912"/>
        <w:spacing w:after="0"/>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ING BANK N.V., LONDON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CRÉDIT AGRICOLE CORPORATE AND INVESTMENT BANK </w:t>
      </w:r>
      <w:r>
        <w:rPr>
          <w:rFonts w:ascii="Arial" w:cs="Arial" w:eastAsia="Arial" w:hAnsi="Arial"/>
          <w:sz w:val="18"/>
          <w:szCs w:val="18"/>
          <w:color w:val="auto"/>
        </w:rPr>
        <w:t>as</w:t>
      </w:r>
      <w:r>
        <w:rPr>
          <w:rFonts w:ascii="Arial" w:cs="Arial" w:eastAsia="Arial" w:hAnsi="Arial"/>
          <w:sz w:val="18"/>
          <w:szCs w:val="18"/>
          <w:b w:val="1"/>
          <w:bCs w:val="1"/>
          <w:color w:val="auto"/>
        </w:rPr>
        <w:t xml:space="preserve"> Bookrunners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CRÉDIT AGRICOLE CORPORATE AND INVESTMENT BANK </w:t>
      </w:r>
      <w:r>
        <w:rPr>
          <w:rFonts w:ascii="Arial" w:cs="Arial" w:eastAsia="Arial" w:hAnsi="Arial"/>
          <w:sz w:val="18"/>
          <w:szCs w:val="18"/>
          <w:color w:val="auto"/>
        </w:rPr>
        <w:t>as</w:t>
      </w:r>
      <w:r>
        <w:rPr>
          <w:rFonts w:ascii="Arial" w:cs="Arial" w:eastAsia="Arial" w:hAnsi="Arial"/>
          <w:sz w:val="18"/>
          <w:szCs w:val="18"/>
          <w:b w:val="1"/>
          <w:bCs w:val="1"/>
          <w:color w:val="auto"/>
        </w:rPr>
        <w:t xml:space="preserve"> Facility Agent, Security Trustee </w:t>
      </w:r>
      <w:r>
        <w:rPr>
          <w:rFonts w:ascii="Arial" w:cs="Arial" w:eastAsia="Arial" w:hAnsi="Arial"/>
          <w:sz w:val="18"/>
          <w:szCs w:val="18"/>
          <w:color w:val="auto"/>
        </w:rPr>
        <w:t>and</w:t>
      </w:r>
      <w:r>
        <w:rPr>
          <w:rFonts w:ascii="Arial" w:cs="Arial" w:eastAsia="Arial" w:hAnsi="Arial"/>
          <w:sz w:val="18"/>
          <w:szCs w:val="18"/>
          <w:b w:val="1"/>
          <w:bCs w:val="1"/>
          <w:color w:val="auto"/>
        </w:rPr>
        <w:t xml:space="preserve"> Account Bank</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920" w:hanging="912"/>
        <w:spacing w:after="0" w:line="264" w:lineRule="auto"/>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Lenders have agreed to make available to the Borrowers, or, following a Dropdown (as defined below), to the Borrowers that are members of the relevant Group, a post-delivery secured term loan facility (divided into two advances) of up to US$70,200,000 in aggregate for the purpose of:</w:t>
      </w:r>
    </w:p>
    <w:p>
      <w:pPr>
        <w:spacing w:after="0" w:line="86" w:lineRule="exact"/>
        <w:rPr>
          <w:rFonts w:ascii="Arial" w:cs="Arial" w:eastAsia="Arial" w:hAnsi="Arial"/>
          <w:sz w:val="18"/>
          <w:szCs w:val="18"/>
          <w:color w:val="auto"/>
        </w:rPr>
      </w:pPr>
    </w:p>
    <w:p>
      <w:pPr>
        <w:ind w:left="1700" w:right="20" w:hanging="787"/>
        <w:spacing w:after="0" w:line="302" w:lineRule="auto"/>
        <w:tabs>
          <w:tab w:leader="none" w:pos="17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in the case of Advance A (as defined below), being in an amount of up to the lower of (i) US$35,100,000 and (ii) 65 per cent. of the market value (determined in accordance with the valuations of that Ship referred to in paragraph 4 of Schedule 3) of one Aframax tanker with Builder’s Hull No. 5011 and to be made available in one advance to finance the delivery instalment in connection with the acquisition cost of such ship or, as the case may be, refinance certain pre-delivery instalments or the delivery instalment; and</w:t>
      </w:r>
    </w:p>
    <w:p>
      <w:pPr>
        <w:spacing w:after="0" w:line="59" w:lineRule="exact"/>
        <w:rPr>
          <w:rFonts w:ascii="Arial" w:cs="Arial" w:eastAsia="Arial" w:hAnsi="Arial"/>
          <w:sz w:val="16"/>
          <w:szCs w:val="16"/>
          <w:color w:val="auto"/>
        </w:rPr>
      </w:pPr>
    </w:p>
    <w:p>
      <w:pPr>
        <w:ind w:left="1700" w:right="20" w:hanging="787"/>
        <w:spacing w:after="0" w:line="302" w:lineRule="auto"/>
        <w:tabs>
          <w:tab w:leader="none" w:pos="17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in the case of Advance B (as defined below), being in an amount of up to the lower of (i) US$35,100,000 and (ii) 65 per cent. of the market value (determined in accordance with the valuations of that Ship referred to in paragraph 4 of Schedule 3) of one Aframax tanker with Builder’s Hull No. 5012 and to be made available in one advance to finance the delivery instalment in connection with the acquisition cost of such ship or, as the case may be, refinance certain pre-delivery instalments or the delivery instalment;</w:t>
      </w:r>
    </w:p>
    <w:p>
      <w:pPr>
        <w:spacing w:after="0" w:line="59" w:lineRule="exact"/>
        <w:rPr>
          <w:rFonts w:ascii="Arial" w:cs="Arial" w:eastAsia="Arial" w:hAnsi="Arial"/>
          <w:sz w:val="16"/>
          <w:szCs w:val="16"/>
          <w:color w:val="auto"/>
        </w:rPr>
      </w:pPr>
    </w:p>
    <w:p>
      <w:pPr>
        <w:ind w:left="920" w:right="100" w:hanging="912"/>
        <w:spacing w:after="0" w:line="277" w:lineRule="auto"/>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Swap Bank may agree to enter into interest rate swap transactions with each Borrower from time to time to hedge that Borrower’s exposure under this Agreement to interest rate fluctuations.</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Lenders and the Swap Bank have agreed to share pari passu in the security to be granted to the Security Trustee pursuant to this Agreement.</w:t>
      </w:r>
    </w:p>
    <w:p>
      <w:pPr>
        <w:sectPr>
          <w:pgSz w:w="11900" w:h="16838" w:orient="portrait"/>
          <w:cols w:equalWidth="0" w:num="1">
            <w:col w:w="11400"/>
          </w:cols>
          <w:pgMar w:left="240" w:top="265" w:right="2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left="920" w:hanging="912"/>
        <w:spacing w:after="0"/>
        <w:tabs>
          <w:tab w:leader="none" w:pos="92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 1.5, in this Agreement:</w:t>
      </w:r>
    </w:p>
    <w:p>
      <w:pPr>
        <w:spacing w:after="0" w:line="113" w:lineRule="exact"/>
        <w:rPr>
          <w:sz w:val="20"/>
          <w:szCs w:val="20"/>
          <w:color w:val="auto"/>
        </w:rPr>
      </w:pPr>
    </w:p>
    <w:p>
      <w:pPr>
        <w:ind w:left="920" w:right="5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Acceptable Bank</w:t>
      </w:r>
      <w:r>
        <w:rPr>
          <w:rFonts w:ascii="Arial" w:cs="Arial" w:eastAsia="Arial" w:hAnsi="Arial"/>
          <w:sz w:val="16"/>
          <w:szCs w:val="16"/>
          <w:color w:val="auto"/>
        </w:rPr>
        <w:t>” means a bank or financial institution which has a rating for its long-term unsecured and non credit-enhanced debt obligations of BBB+ or higher by Standard &amp; Poor’s Rating Services or Fitch Ratings Ltd or Baa1 or higher by Moody’s Investor Service Limited or a comparable rating from an internationally recognised credit rating agency which is approved by the Majority Lenders;</w:t>
      </w:r>
    </w:p>
    <w:p>
      <w:pPr>
        <w:spacing w:after="0" w:line="34" w:lineRule="exact"/>
        <w:rPr>
          <w:sz w:val="20"/>
          <w:szCs w:val="20"/>
          <w:color w:val="auto"/>
        </w:rPr>
      </w:pPr>
    </w:p>
    <w:p>
      <w:pPr>
        <w:ind w:left="92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each of the Operating Accounts, the Minimum Working Capital Accounts and the Retention Accounts, and in the plural, means all of them;</w:t>
      </w:r>
    </w:p>
    <w:p>
      <w:pPr>
        <w:spacing w:after="0" w:line="54" w:lineRule="exact"/>
        <w:rPr>
          <w:sz w:val="20"/>
          <w:szCs w:val="20"/>
          <w:color w:val="auto"/>
        </w:rPr>
      </w:pPr>
    </w:p>
    <w:p>
      <w:pPr>
        <w:ind w:left="9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Crédit Agricole Corporate and Investment Bank acting through its office at 12, place des Etats-Unis, CS 70052, 92547 Montrouge Cedex, France;</w:t>
      </w:r>
    </w:p>
    <w:p>
      <w:pPr>
        <w:spacing w:after="0" w:line="54"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Pledge</w:t>
      </w:r>
      <w:r>
        <w:rPr>
          <w:rFonts w:ascii="Arial" w:cs="Arial" w:eastAsia="Arial" w:hAnsi="Arial"/>
          <w:sz w:val="18"/>
          <w:szCs w:val="18"/>
          <w:color w:val="auto"/>
        </w:rPr>
        <w:t>” means, in respect of each Account, a pledge agreement creating security in respect of that Account, in the Agreed Form, and in the plural means all of them;</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each of Advance A or Advance B and in the plural means all of them;</w:t>
      </w:r>
    </w:p>
    <w:p>
      <w:pPr>
        <w:spacing w:after="0" w:line="117" w:lineRule="exact"/>
        <w:rPr>
          <w:sz w:val="20"/>
          <w:szCs w:val="20"/>
          <w:color w:val="auto"/>
        </w:rPr>
      </w:pPr>
    </w:p>
    <w:p>
      <w:pPr>
        <w:jc w:val="both"/>
        <w:ind w:left="920" w:right="1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Advance A</w:t>
      </w:r>
      <w:r>
        <w:rPr>
          <w:rFonts w:ascii="Arial" w:cs="Arial" w:eastAsia="Arial" w:hAnsi="Arial"/>
          <w:sz w:val="16"/>
          <w:szCs w:val="16"/>
          <w:color w:val="auto"/>
        </w:rPr>
        <w:t>” means that part of the Loan made or to be made available to the Borrowers, or, following a Dropdown, to the Borrower that is a member of the relevant Group, to finance or, as the case may be, refinance in part the acquisition cost of Ship A in a principal amount as at the relevant Drawdown Date not exceeding the lower of (i) $35,100,000 and (ii) 65 per cent. of the Initial Market Value of Ship A;</w:t>
      </w:r>
    </w:p>
    <w:p>
      <w:pPr>
        <w:spacing w:after="0" w:line="34" w:lineRule="exact"/>
        <w:rPr>
          <w:sz w:val="20"/>
          <w:szCs w:val="20"/>
          <w:color w:val="auto"/>
        </w:rPr>
      </w:pPr>
    </w:p>
    <w:p>
      <w:pPr>
        <w:jc w:val="both"/>
        <w:ind w:left="920" w:right="1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Advance B</w:t>
      </w:r>
      <w:r>
        <w:rPr>
          <w:rFonts w:ascii="Arial" w:cs="Arial" w:eastAsia="Arial" w:hAnsi="Arial"/>
          <w:sz w:val="16"/>
          <w:szCs w:val="16"/>
          <w:color w:val="auto"/>
        </w:rPr>
        <w:t>” means that part of the Loan made or to be made available to the Borrowers, or, following a Dropdown, to the Borrower that is a member of the relevant Group, to finance or, as the case may be, refinance in part the acquisition cost of Ship B in a principal amount as at the relevant Drawdown Date not exceeding the lower of (i) $35,100,000 and (ii) 65 per cent. of the Initial Market Value of Ship B;</w:t>
      </w:r>
    </w:p>
    <w:p>
      <w:pPr>
        <w:spacing w:after="0" w:line="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Advances</w:t>
      </w:r>
      <w:r>
        <w:rPr>
          <w:rFonts w:ascii="Arial" w:cs="Arial" w:eastAsia="Arial" w:hAnsi="Arial"/>
          <w:sz w:val="18"/>
          <w:szCs w:val="18"/>
          <w:color w:val="auto"/>
        </w:rPr>
        <w:t>” means, together, Advance A and Advance, B and, in the singular, means any of them;</w:t>
      </w:r>
    </w:p>
    <w:p>
      <w:pPr>
        <w:spacing w:after="0" w:line="117" w:lineRule="exact"/>
        <w:rPr>
          <w:sz w:val="20"/>
          <w:szCs w:val="20"/>
          <w:color w:val="auto"/>
        </w:rPr>
      </w:pPr>
    </w:p>
    <w:p>
      <w:pPr>
        <w:ind w:left="9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Borrower</w:t>
      </w:r>
      <w:r>
        <w:rPr>
          <w:rFonts w:ascii="Arial" w:cs="Arial" w:eastAsia="Arial" w:hAnsi="Arial"/>
          <w:sz w:val="18"/>
          <w:szCs w:val="18"/>
          <w:color w:val="auto"/>
        </w:rPr>
        <w:t>” means a Borrower that is the subject of a Dropdown and in respect of which the conditions stated in paragraphs (a) to (e) of Clause 4.9 have been satisfied and in the plural means all of them;</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Clauses</w:t>
      </w:r>
      <w:r>
        <w:rPr>
          <w:rFonts w:ascii="Arial" w:cs="Arial" w:eastAsia="Arial" w:hAnsi="Arial"/>
          <w:sz w:val="18"/>
          <w:szCs w:val="18"/>
          <w:color w:val="auto"/>
        </w:rPr>
        <w:t>” has the meaning given in Clause 29.2;</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has the meaning given in Clause 5.6;</w:t>
      </w:r>
    </w:p>
    <w:p>
      <w:pPr>
        <w:spacing w:after="0" w:line="117" w:lineRule="exact"/>
        <w:rPr>
          <w:sz w:val="20"/>
          <w:szCs w:val="20"/>
          <w:color w:val="auto"/>
        </w:rPr>
      </w:pPr>
    </w:p>
    <w:p>
      <w:pPr>
        <w:ind w:left="92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4" w:lineRule="exact"/>
        <w:rPr>
          <w:sz w:val="20"/>
          <w:szCs w:val="20"/>
          <w:color w:val="auto"/>
        </w:rPr>
      </w:pPr>
    </w:p>
    <w:p>
      <w:pPr>
        <w:ind w:left="920" w:right="180"/>
        <w:spacing w:after="0" w:line="282" w:lineRule="auto"/>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means, in relation to a Ship at any time, the number of whole years having elapsed from the year in which the construction of that Ship</w:t>
      </w:r>
      <w:r>
        <w:rPr>
          <w:rFonts w:ascii="Arial" w:cs="Arial" w:eastAsia="Arial" w:hAnsi="Arial"/>
          <w:sz w:val="18"/>
          <w:szCs w:val="18"/>
          <w:b w:val="1"/>
          <w:bCs w:val="1"/>
          <w:color w:val="auto"/>
        </w:rPr>
        <w:t xml:space="preserve"> </w:t>
      </w:r>
      <w:r>
        <w:rPr>
          <w:rFonts w:ascii="Arial" w:cs="Arial" w:eastAsia="Arial" w:hAnsi="Arial"/>
          <w:sz w:val="18"/>
          <w:szCs w:val="18"/>
          <w:color w:val="auto"/>
        </w:rPr>
        <w:t>was completed;</w:t>
      </w:r>
    </w:p>
    <w:p>
      <w:pPr>
        <w:spacing w:after="0" w:line="54" w:lineRule="exact"/>
        <w:rPr>
          <w:sz w:val="20"/>
          <w:szCs w:val="20"/>
          <w:color w:val="auto"/>
        </w:rPr>
      </w:pPr>
    </w:p>
    <w:p>
      <w:pPr>
        <w:ind w:left="920"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and Trust Agreement</w:t>
      </w:r>
      <w:r>
        <w:rPr>
          <w:rFonts w:ascii="Arial" w:cs="Arial" w:eastAsia="Arial" w:hAnsi="Arial"/>
          <w:sz w:val="18"/>
          <w:szCs w:val="18"/>
          <w:color w:val="auto"/>
        </w:rPr>
        <w:t>” means the agency and trust agreement executed or to be executed between the Borrowers, the Lenders, the Swap Bank and the Security Trustee in the Agreed Form;</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192" w:name="page193"/>
    <w:bookmarkEnd w:id="192"/>
    <w:p>
      <w:pPr>
        <w:ind w:left="7" w:right="1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that document in the form approved in writing by the Facility Agent acting reasonably (acting on the instructions of the Majority Lenders) or as otherwise approved in accordance with any other approval procedure specified in any relevant provision of any Finance Document;</w:t>
      </w:r>
    </w:p>
    <w:p>
      <w:pPr>
        <w:spacing w:after="0" w:line="68" w:lineRule="exact"/>
        <w:rPr>
          <w:sz w:val="20"/>
          <w:szCs w:val="20"/>
          <w:color w:val="auto"/>
        </w:rPr>
      </w:pPr>
    </w:p>
    <w:p>
      <w:pPr>
        <w:ind w:left="7"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Broker</w:t>
      </w:r>
      <w:r>
        <w:rPr>
          <w:rFonts w:ascii="Arial" w:cs="Arial" w:eastAsia="Arial" w:hAnsi="Arial"/>
          <w:sz w:val="18"/>
          <w:szCs w:val="18"/>
          <w:color w:val="auto"/>
        </w:rPr>
        <w:t>” means each of Arrow Valuations (London), H. Clarksons &amp; Co. Ltd., Maersk Brokers K/S, Barry Rogliano Salles, Howe Robinson &amp; Co. Ltd Shipbrokers and Poten &amp; Galbraiths or any other brokers approved by the Majority Lenders (such approval not to be unreasonably withheld or delayed) and in the plural means all of them;</w:t>
      </w:r>
    </w:p>
    <w:p>
      <w:pPr>
        <w:spacing w:after="0" w:line="68" w:lineRule="exact"/>
        <w:rPr>
          <w:sz w:val="20"/>
          <w:szCs w:val="20"/>
          <w:color w:val="auto"/>
        </w:rPr>
      </w:pPr>
    </w:p>
    <w:p>
      <w:pPr>
        <w:ind w:left="7"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Charterer</w:t>
      </w:r>
      <w:r>
        <w:rPr>
          <w:rFonts w:ascii="Arial" w:cs="Arial" w:eastAsia="Arial" w:hAnsi="Arial"/>
          <w:sz w:val="18"/>
          <w:szCs w:val="18"/>
          <w:color w:val="auto"/>
        </w:rPr>
        <w:t>” means the Tesoro Charterer and any other charterer acceptable in all respects to the Lenders such acceptance not to be unreasonably withheld or delayed;</w:t>
      </w:r>
    </w:p>
    <w:p>
      <w:pPr>
        <w:spacing w:after="0" w:line="54" w:lineRule="exact"/>
        <w:rPr>
          <w:sz w:val="20"/>
          <w:szCs w:val="20"/>
          <w:color w:val="auto"/>
        </w:rPr>
      </w:pPr>
    </w:p>
    <w:p>
      <w:pPr>
        <w:ind w:left="7" w:right="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Flag</w:t>
      </w:r>
      <w:r>
        <w:rPr>
          <w:rFonts w:ascii="Arial" w:cs="Arial" w:eastAsia="Arial" w:hAnsi="Arial"/>
          <w:sz w:val="18"/>
          <w:szCs w:val="18"/>
          <w:color w:val="auto"/>
        </w:rPr>
        <w:t>” means the Republic of the Marshall Islands flag or such flag as the Facility Agent may, with the authorisation of all the Lenders, approve as the flag on which a Ship shall be registered, such approval not to be unreasonably withheld or delayed (Liberia, Malta, Panama and Singapore shall be considered acceptable);</w:t>
      </w:r>
    </w:p>
    <w:p>
      <w:pPr>
        <w:spacing w:after="0" w:line="68" w:lineRule="exact"/>
        <w:rPr>
          <w:sz w:val="20"/>
          <w:szCs w:val="20"/>
          <w:color w:val="auto"/>
        </w:rPr>
      </w:pPr>
    </w:p>
    <w:p>
      <w:pPr>
        <w:ind w:left="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Flag State</w:t>
      </w:r>
      <w:r>
        <w:rPr>
          <w:rFonts w:ascii="Arial" w:cs="Arial" w:eastAsia="Arial" w:hAnsi="Arial"/>
          <w:sz w:val="18"/>
          <w:szCs w:val="18"/>
          <w:color w:val="auto"/>
        </w:rPr>
        <w:t>” means the Republic of the Marshall Islands or any other country in which the Facility Agent may with the authorisation of all the Lenders, approve that a Ship be registered, such approval not to be unreasonably withheld or delayed);</w:t>
      </w:r>
    </w:p>
    <w:p>
      <w:pPr>
        <w:spacing w:after="0" w:line="54" w:lineRule="exact"/>
        <w:rPr>
          <w:sz w:val="20"/>
          <w:szCs w:val="20"/>
          <w:color w:val="auto"/>
        </w:rPr>
      </w:pPr>
    </w:p>
    <w:p>
      <w:pPr>
        <w:ind w:left="7" w:right="2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Manager</w:t>
      </w:r>
      <w:r>
        <w:rPr>
          <w:rFonts w:ascii="Arial" w:cs="Arial" w:eastAsia="Arial" w:hAnsi="Arial"/>
          <w:sz w:val="18"/>
          <w:szCs w:val="18"/>
          <w:color w:val="auto"/>
        </w:rPr>
        <w:t>” means, in relation to a Ship, Capital Ship Management Corp., a company incorporated in Panama having its registered office at Hong Kong Bank Building, 6th floor, Samuel Lewis Avenue, Panama, Republic of Panama, or any other company which the Lenders may approve (such approval not to be unreasonably withheld or delayed) from time to time as the commercial, technical and/or operational manager of that Ship;</w:t>
      </w:r>
    </w:p>
    <w:p>
      <w:pPr>
        <w:spacing w:after="0" w:line="72" w:lineRule="exact"/>
        <w:rPr>
          <w:sz w:val="20"/>
          <w:szCs w:val="20"/>
          <w:color w:val="auto"/>
        </w:rPr>
      </w:pPr>
    </w:p>
    <w:p>
      <w:pPr>
        <w:ind w:left="7" w:right="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Manager’s Undertaking</w:t>
      </w:r>
      <w:r>
        <w:rPr>
          <w:rFonts w:ascii="Arial" w:cs="Arial" w:eastAsia="Arial" w:hAnsi="Arial"/>
          <w:sz w:val="16"/>
          <w:szCs w:val="16"/>
          <w:color w:val="auto"/>
        </w:rPr>
        <w:t>” means, in relation to each Ship, a letter of undertaking executed or to be executed by the Approved Manager in favour of the Security Trustee in the terms required by the Security Trustee agreeing certain matters in relation to the Approved Manager serving as the manager of the Ship and subordinating the rights of the Approved Manager against such Ship and the Borrower which is the owner thereof to the rights of the Creditor Parties under the Finance Documents, in the Agreed Form and in the plural means all of them;</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commencing on the date of this Agreement and ending on the earlier of:</w:t>
      </w:r>
    </w:p>
    <w:p>
      <w:pPr>
        <w:spacing w:after="0" w:line="135" w:lineRule="exact"/>
        <w:rPr>
          <w:sz w:val="20"/>
          <w:szCs w:val="20"/>
          <w:color w:val="auto"/>
        </w:rPr>
      </w:pPr>
    </w:p>
    <w:p>
      <w:pPr>
        <w:ind w:left="787" w:right="120" w:hanging="787"/>
        <w:spacing w:after="0" w:line="342" w:lineRule="auto"/>
        <w:tabs>
          <w:tab w:leader="none" w:pos="78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latest delivery date permitted under the Shipbuilding Contract to which that Advance relates (being the earliest date on which the Borrower which is a party to that Shipbuilding Contract may cancel, rescind or terminate the Shipbuilding Contract for delay);</w:t>
      </w:r>
    </w:p>
    <w:p>
      <w:pPr>
        <w:spacing w:after="0" w:line="29" w:lineRule="exact"/>
        <w:rPr>
          <w:rFonts w:ascii="Arial" w:cs="Arial" w:eastAsia="Arial" w:hAnsi="Arial"/>
          <w:sz w:val="16"/>
          <w:szCs w:val="16"/>
          <w:color w:val="auto"/>
        </w:rPr>
      </w:pPr>
    </w:p>
    <w:p>
      <w:pPr>
        <w:ind w:left="787" w:hanging="787"/>
        <w:spacing w:after="0" w:line="264" w:lineRule="auto"/>
        <w:tabs>
          <w:tab w:leader="none" w:pos="78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date on which the Tesoro Charterer is entitled to cancel the applicable Tesoro Charter if the relevant Ship has not been delivered to the Tesoro Charterer for operation under the applicable Tesoro Charter by that date (unless the Tesoro Charterer has agreed to extend such date); and</w:t>
      </w:r>
    </w:p>
    <w:p>
      <w:pPr>
        <w:spacing w:after="0" w:line="86" w:lineRule="exact"/>
        <w:rPr>
          <w:rFonts w:ascii="Arial" w:cs="Arial" w:eastAsia="Arial" w:hAnsi="Arial"/>
          <w:sz w:val="18"/>
          <w:szCs w:val="18"/>
          <w:color w:val="auto"/>
        </w:rPr>
      </w:pPr>
    </w:p>
    <w:p>
      <w:pPr>
        <w:ind w:left="787" w:hanging="787"/>
        <w:spacing w:after="0"/>
        <w:tabs>
          <w:tab w:leader="none" w:pos="78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30 September 2017;</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w:t>
      </w:r>
    </w:p>
    <w:p>
      <w:pPr>
        <w:spacing w:after="0" w:line="117" w:lineRule="exact"/>
        <w:rPr>
          <w:sz w:val="20"/>
          <w:szCs w:val="20"/>
          <w:color w:val="auto"/>
        </w:rPr>
      </w:pPr>
    </w:p>
    <w:p>
      <w:pPr>
        <w:ind w:left="7"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w:t>
      </w:r>
    </w:p>
    <w:p>
      <w:pPr>
        <w:spacing w:after="0" w:line="113"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7"/>
          </w:cols>
          <w:pgMar w:left="1153" w:top="270" w:right="279" w:bottom="1440" w:gutter="0" w:footer="0" w:header="0"/>
        </w:sectPr>
      </w:pPr>
    </w:p>
    <w:bookmarkStart w:id="193" w:name="page194"/>
    <w:bookmarkEnd w:id="193"/>
    <w:p>
      <w:pPr>
        <w:ind w:left="7" w:right="5060"/>
        <w:spacing w:after="0" w:line="38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Balloon Instalment</w:t>
      </w:r>
      <w:r>
        <w:rPr>
          <w:rFonts w:ascii="Arial" w:cs="Arial" w:eastAsia="Arial" w:hAnsi="Arial"/>
          <w:sz w:val="18"/>
          <w:szCs w:val="18"/>
          <w:color w:val="auto"/>
        </w:rPr>
        <w:t>” has the meaning given to that term in Clause 8.1(b); “</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2" w:lineRule="exact"/>
        <w:rPr>
          <w:sz w:val="20"/>
          <w:szCs w:val="20"/>
          <w:color w:val="auto"/>
        </w:rPr>
      </w:pPr>
    </w:p>
    <w:p>
      <w:pPr>
        <w:ind w:left="787" w:hanging="787"/>
        <w:spacing w:after="0"/>
        <w:tabs>
          <w:tab w:leader="none" w:pos="78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agreements on capital requirements, a leverage ratio and liquidity standards contained in “Basel III: A global regulatory</w:t>
      </w:r>
    </w:p>
    <w:p>
      <w:pPr>
        <w:spacing w:after="0" w:line="34" w:lineRule="exact"/>
        <w:rPr>
          <w:rFonts w:ascii="Arial" w:cs="Arial" w:eastAsia="Arial" w:hAnsi="Arial"/>
          <w:sz w:val="17"/>
          <w:szCs w:val="17"/>
          <w:color w:val="auto"/>
        </w:rPr>
      </w:pPr>
    </w:p>
    <w:p>
      <w:pPr>
        <w:ind w:left="787" w:right="60"/>
        <w:spacing w:after="0" w:line="277" w:lineRule="auto"/>
        <w:rPr>
          <w:rFonts w:ascii="Arial" w:cs="Arial" w:eastAsia="Arial" w:hAnsi="Arial"/>
          <w:sz w:val="17"/>
          <w:szCs w:val="17"/>
          <w:color w:val="auto"/>
        </w:rPr>
      </w:pPr>
      <w:r>
        <w:rPr>
          <w:rFonts w:ascii="Arial" w:cs="Arial" w:eastAsia="Arial" w:hAnsi="Arial"/>
          <w:sz w:val="17"/>
          <w:szCs w:val="17"/>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78" w:lineRule="exact"/>
        <w:rPr>
          <w:rFonts w:ascii="Arial" w:cs="Arial" w:eastAsia="Arial" w:hAnsi="Arial"/>
          <w:sz w:val="17"/>
          <w:szCs w:val="17"/>
          <w:color w:val="auto"/>
        </w:rPr>
      </w:pPr>
    </w:p>
    <w:p>
      <w:pPr>
        <w:ind w:left="787" w:hanging="787"/>
        <w:spacing w:after="0" w:line="264" w:lineRule="auto"/>
        <w:tabs>
          <w:tab w:leader="none" w:pos="78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6" w:lineRule="exact"/>
        <w:rPr>
          <w:rFonts w:ascii="Arial" w:cs="Arial" w:eastAsia="Arial" w:hAnsi="Arial"/>
          <w:sz w:val="18"/>
          <w:szCs w:val="18"/>
          <w:color w:val="auto"/>
        </w:rPr>
      </w:pPr>
    </w:p>
    <w:p>
      <w:pPr>
        <w:ind w:left="787" w:hanging="787"/>
        <w:spacing w:after="0"/>
        <w:tabs>
          <w:tab w:leader="none" w:pos="78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each of Borrower A and Borrower B and in the plural, means both of them;</w:t>
      </w:r>
    </w:p>
    <w:p>
      <w:pPr>
        <w:spacing w:after="0" w:line="117" w:lineRule="exact"/>
        <w:rPr>
          <w:sz w:val="20"/>
          <w:szCs w:val="20"/>
          <w:color w:val="auto"/>
        </w:rPr>
      </w:pPr>
    </w:p>
    <w:p>
      <w:pPr>
        <w:ind w:left="7"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w:t>
      </w:r>
      <w:r>
        <w:rPr>
          <w:rFonts w:ascii="Arial" w:cs="Arial" w:eastAsia="Arial" w:hAnsi="Arial"/>
          <w:sz w:val="18"/>
          <w:szCs w:val="18"/>
          <w:color w:val="auto"/>
        </w:rPr>
        <w:t>” means Asterias Crude Carrier S.A., a corporation incorporated in the Marshall Islands, whose registered office is at Trust Company Complex, Ajeltake Road, Ajeltake Island, Majuro, Marshall Islands MH96960;</w:t>
      </w:r>
    </w:p>
    <w:p>
      <w:pPr>
        <w:spacing w:after="0" w:line="54" w:lineRule="exact"/>
        <w:rPr>
          <w:sz w:val="20"/>
          <w:szCs w:val="20"/>
          <w:color w:val="auto"/>
        </w:rPr>
      </w:pPr>
    </w:p>
    <w:p>
      <w:pPr>
        <w:ind w:left="7"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B</w:t>
      </w:r>
      <w:r>
        <w:rPr>
          <w:rFonts w:ascii="Arial" w:cs="Arial" w:eastAsia="Arial" w:hAnsi="Arial"/>
          <w:sz w:val="18"/>
          <w:szCs w:val="18"/>
          <w:color w:val="auto"/>
        </w:rPr>
        <w:t>” means Scorpio Crude Carrier S.A., a corporation incorporated in the Marshall Islands, whose registered office is at Trust Company Complex, Ajeltake Road, Ajeltake Island, Majuro, Marshall Islands MH96960;</w:t>
      </w:r>
    </w:p>
    <w:p>
      <w:pPr>
        <w:spacing w:after="0" w:line="54" w:lineRule="exact"/>
        <w:rPr>
          <w:sz w:val="20"/>
          <w:szCs w:val="20"/>
          <w:color w:val="auto"/>
        </w:rPr>
      </w:pPr>
    </w:p>
    <w:p>
      <w:pPr>
        <w:ind w:left="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Builder</w:t>
      </w:r>
      <w:r>
        <w:rPr>
          <w:rFonts w:ascii="Arial" w:cs="Arial" w:eastAsia="Arial" w:hAnsi="Arial"/>
          <w:sz w:val="18"/>
          <w:szCs w:val="18"/>
          <w:color w:val="auto"/>
        </w:rPr>
        <w:t>” means Daehan Shipbuilding Co., a corporation organised and existing under the laws of the Republic of South Korea whose principal office is at 887 Gurimri Hwawonmyun Haenam-Gun, Gurimri, 536-881, the Republic of South Korea;</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has the meaning given in Clause 21.2;</w:t>
      </w:r>
    </w:p>
    <w:p>
      <w:pPr>
        <w:spacing w:after="0" w:line="117" w:lineRule="exact"/>
        <w:rPr>
          <w:sz w:val="20"/>
          <w:szCs w:val="20"/>
          <w:color w:val="auto"/>
        </w:rPr>
      </w:pPr>
    </w:p>
    <w:p>
      <w:pPr>
        <w:ind w:left="7"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in London, Paris, Athens and Piraeus and in respect of a day on which a payment is required to be made under a Finance Document, also in New York City;</w:t>
      </w:r>
    </w:p>
    <w:p>
      <w:pPr>
        <w:spacing w:after="0" w:line="54" w:lineRule="exact"/>
        <w:rPr>
          <w:sz w:val="20"/>
          <w:szCs w:val="20"/>
          <w:color w:val="auto"/>
        </w:rPr>
      </w:pPr>
    </w:p>
    <w:p>
      <w:pPr>
        <w:ind w:left="7" w:right="1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Charterparty</w:t>
      </w:r>
      <w:r>
        <w:rPr>
          <w:rFonts w:ascii="Arial" w:cs="Arial" w:eastAsia="Arial" w:hAnsi="Arial"/>
          <w:sz w:val="17"/>
          <w:szCs w:val="17"/>
          <w:color w:val="auto"/>
        </w:rPr>
        <w:t xml:space="preserve">” means each Tesoro Charter and any bareboat charterparty or any time charterparty in respect of a Ship having a duration of at least 12 months or more (excluding options to extend contained therein), made with an Approved Charterer and in all other respects on terms acceptable in all respects to the Lenders, such acceptance not to be unreasonably withheld or delayed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if any such charterparty requires entry into a letter of quiet enjoyment with the financiers of a Ship, such letter of quiet enjoyment shall be in a form acceptable to the Facility Agent and include, without limitation, step-in rights for the Creditor Parties;</w:t>
      </w:r>
    </w:p>
    <w:p>
      <w:pPr>
        <w:spacing w:after="0" w:line="60" w:lineRule="exact"/>
        <w:rPr>
          <w:sz w:val="20"/>
          <w:szCs w:val="20"/>
          <w:color w:val="auto"/>
        </w:rPr>
      </w:pPr>
    </w:p>
    <w:p>
      <w:pPr>
        <w:ind w:left="7"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Charterparty Assignment</w:t>
      </w:r>
      <w:r>
        <w:rPr>
          <w:rFonts w:ascii="Arial" w:cs="Arial" w:eastAsia="Arial" w:hAnsi="Arial"/>
          <w:sz w:val="17"/>
          <w:szCs w:val="17"/>
          <w:color w:val="auto"/>
        </w:rPr>
        <w:t>” means, in relation to a Ship, an assignment of the rights of the Borrower which is the owner of that Ship under the Charterparty relative to that Ship executed or to be executed by the relevant Borrower in favour of the Security Trustee and notified to and acknowledged (on a best efforts basis) by an Approved Charterer in the Agreed Form and, in the plural, means all of them;</w:t>
      </w:r>
    </w:p>
    <w:p>
      <w:pPr>
        <w:spacing w:after="0" w:line="50" w:lineRule="exact"/>
        <w:rPr>
          <w:sz w:val="20"/>
          <w:szCs w:val="20"/>
          <w:color w:val="auto"/>
        </w:rPr>
      </w:pPr>
    </w:p>
    <w:p>
      <w:pPr>
        <w:ind w:left="7"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CMTC Group</w:t>
      </w:r>
      <w:r>
        <w:rPr>
          <w:rFonts w:ascii="Arial" w:cs="Arial" w:eastAsia="Arial" w:hAnsi="Arial"/>
          <w:sz w:val="18"/>
          <w:szCs w:val="18"/>
          <w:color w:val="auto"/>
        </w:rPr>
        <w:t>” means the Guarantor and its consolidated or wholly owned subsidiaries (whether direct or indirect and including but not limited to, each Borrower (other than an Affected Borrower)) from time to time during the Security Period.</w:t>
      </w:r>
    </w:p>
    <w:p>
      <w:pPr>
        <w:spacing w:after="0" w:line="9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7"/>
          </w:cols>
          <w:pgMar w:left="1153" w:top="270" w:right="279" w:bottom="1440" w:gutter="0" w:footer="0" w:header="0"/>
        </w:sectPr>
      </w:pPr>
    </w:p>
    <w:bookmarkStart w:id="194" w:name="page195"/>
    <w:bookmarkEnd w:id="194"/>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ind w:left="7"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in relation to a Lender, the amount set opposite its name in Schedule 1, or, as the case may require, the amount specified in the relevant Transfer Certificate as that amount may be reduced, cancelled or terminated in accordance with this Agreement (and “</w:t>
      </w:r>
      <w:r>
        <w:rPr>
          <w:rFonts w:ascii="Arial" w:cs="Arial" w:eastAsia="Arial" w:hAnsi="Arial"/>
          <w:sz w:val="18"/>
          <w:szCs w:val="18"/>
          <w:b w:val="1"/>
          <w:bCs w:val="1"/>
          <w:color w:val="auto"/>
        </w:rPr>
        <w:t>Total</w:t>
      </w:r>
      <w:r>
        <w:rPr>
          <w:rFonts w:ascii="Arial" w:cs="Arial" w:eastAsia="Arial" w:hAnsi="Arial"/>
          <w:sz w:val="18"/>
          <w:szCs w:val="18"/>
          <w:color w:val="auto"/>
        </w:rPr>
        <w:t xml:space="preserve"> </w:t>
      </w:r>
      <w:r>
        <w:rPr>
          <w:rFonts w:ascii="Arial" w:cs="Arial" w:eastAsia="Arial" w:hAnsi="Arial"/>
          <w:sz w:val="18"/>
          <w:szCs w:val="18"/>
          <w:b w:val="1"/>
          <w:bCs w:val="1"/>
          <w:color w:val="auto"/>
        </w:rPr>
        <w:t>Commitments</w:t>
      </w:r>
      <w:r>
        <w:rPr>
          <w:rFonts w:ascii="Arial" w:cs="Arial" w:eastAsia="Arial" w:hAnsi="Arial"/>
          <w:sz w:val="18"/>
          <w:szCs w:val="18"/>
          <w:color w:val="auto"/>
        </w:rPr>
        <w:t>” means the aggregate of the Commitments of all the Lenders);</w:t>
      </w:r>
    </w:p>
    <w:p>
      <w:pPr>
        <w:spacing w:after="0" w:line="68" w:lineRule="exact"/>
        <w:rPr>
          <w:sz w:val="20"/>
          <w:szCs w:val="20"/>
          <w:color w:val="auto"/>
        </w:rPr>
      </w:pPr>
    </w:p>
    <w:p>
      <w:pPr>
        <w:ind w:left="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a Borrower, any Security Party, any Group, the Finance Documents or the Loan of which a Creditor Party becomes aware in its capacity as, or for the purpose of becoming, a Creditor Party or which is received by a Creditor Party in relation to, or for the purpose of becoming a Creditor Party under, the Finance Documents or the Loan from either:</w:t>
      </w:r>
    </w:p>
    <w:p>
      <w:pPr>
        <w:spacing w:after="0" w:line="68" w:lineRule="exact"/>
        <w:rPr>
          <w:sz w:val="20"/>
          <w:szCs w:val="20"/>
          <w:color w:val="auto"/>
        </w:rPr>
      </w:pPr>
    </w:p>
    <w:p>
      <w:pPr>
        <w:ind w:left="787" w:hanging="787"/>
        <w:spacing w:after="0"/>
        <w:tabs>
          <w:tab w:leader="none" w:pos="78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member of any Group or any of its advisers; or</w:t>
      </w:r>
    </w:p>
    <w:p>
      <w:pPr>
        <w:spacing w:after="0" w:line="130" w:lineRule="exact"/>
        <w:rPr>
          <w:rFonts w:ascii="Arial" w:cs="Arial" w:eastAsia="Arial" w:hAnsi="Arial"/>
          <w:sz w:val="18"/>
          <w:szCs w:val="18"/>
          <w:color w:val="auto"/>
        </w:rPr>
      </w:pPr>
    </w:p>
    <w:p>
      <w:pPr>
        <w:ind w:left="787" w:right="80" w:hanging="787"/>
        <w:spacing w:after="0" w:line="277" w:lineRule="auto"/>
        <w:tabs>
          <w:tab w:leader="none" w:pos="78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another Creditor Party, if the information was obtained by that Creditor Party directly or indirectly from any member of any Group or any of its advisers,</w:t>
      </w:r>
    </w:p>
    <w:p>
      <w:pPr>
        <w:spacing w:after="0" w:line="62" w:lineRule="exact"/>
        <w:rPr>
          <w:rFonts w:ascii="Arial" w:cs="Arial" w:eastAsia="Arial" w:hAnsi="Arial"/>
          <w:sz w:val="18"/>
          <w:szCs w:val="18"/>
          <w:color w:val="auto"/>
        </w:rPr>
      </w:pPr>
    </w:p>
    <w:p>
      <w:pPr>
        <w:ind w:left="807" w:right="600"/>
        <w:spacing w:after="0" w:line="277" w:lineRule="auto"/>
        <w:rPr>
          <w:rFonts w:ascii="Arial" w:cs="Arial" w:eastAsia="Arial" w:hAnsi="Arial"/>
          <w:sz w:val="18"/>
          <w:szCs w:val="18"/>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75" w:lineRule="exact"/>
        <w:rPr>
          <w:rFonts w:ascii="Arial" w:cs="Arial" w:eastAsia="Arial" w:hAnsi="Arial"/>
          <w:sz w:val="18"/>
          <w:szCs w:val="18"/>
          <w:color w:val="auto"/>
        </w:rPr>
      </w:pPr>
    </w:p>
    <w:p>
      <w:pPr>
        <w:ind w:left="1467" w:hanging="670"/>
        <w:spacing w:after="0"/>
        <w:tabs>
          <w:tab w:leader="none" w:pos="146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130" w:lineRule="exact"/>
        <w:rPr>
          <w:rFonts w:ascii="Arial" w:cs="Arial" w:eastAsia="Arial" w:hAnsi="Arial"/>
          <w:sz w:val="18"/>
          <w:szCs w:val="18"/>
          <w:color w:val="auto"/>
        </w:rPr>
      </w:pPr>
    </w:p>
    <w:p>
      <w:pPr>
        <w:ind w:left="2287" w:right="220" w:hanging="802"/>
        <w:spacing w:after="0" w:line="277" w:lineRule="auto"/>
        <w:tabs>
          <w:tab w:leader="none" w:pos="2287" w:val="left"/>
        </w:tabs>
        <w:numPr>
          <w:ilvl w:val="2"/>
          <w:numId w:val="190"/>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Creditor Party of Clause 30; or</w:t>
      </w:r>
    </w:p>
    <w:p>
      <w:pPr>
        <w:spacing w:after="0" w:line="75" w:lineRule="exact"/>
        <w:rPr>
          <w:rFonts w:ascii="Arial" w:cs="Arial" w:eastAsia="Arial" w:hAnsi="Arial"/>
          <w:sz w:val="18"/>
          <w:szCs w:val="18"/>
          <w:color w:val="auto"/>
        </w:rPr>
      </w:pPr>
    </w:p>
    <w:p>
      <w:pPr>
        <w:ind w:left="2287" w:right="640" w:hanging="802"/>
        <w:spacing w:after="0" w:line="277" w:lineRule="auto"/>
        <w:tabs>
          <w:tab w:leader="none" w:pos="2287" w:val="left"/>
        </w:tabs>
        <w:numPr>
          <w:ilvl w:val="2"/>
          <w:numId w:val="190"/>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member of a Group or any of its advisers; or</w:t>
      </w:r>
    </w:p>
    <w:p>
      <w:pPr>
        <w:spacing w:after="0" w:line="75" w:lineRule="exact"/>
        <w:rPr>
          <w:rFonts w:ascii="Arial" w:cs="Arial" w:eastAsia="Arial" w:hAnsi="Arial"/>
          <w:sz w:val="18"/>
          <w:szCs w:val="18"/>
          <w:color w:val="auto"/>
        </w:rPr>
      </w:pPr>
    </w:p>
    <w:p>
      <w:pPr>
        <w:ind w:left="2287" w:hanging="802"/>
        <w:spacing w:after="0"/>
        <w:tabs>
          <w:tab w:leader="none" w:pos="2287" w:val="left"/>
        </w:tabs>
        <w:numPr>
          <w:ilvl w:val="2"/>
          <w:numId w:val="190"/>
        </w:numPr>
        <w:rPr>
          <w:rFonts w:ascii="Arial" w:cs="Arial" w:eastAsia="Arial" w:hAnsi="Arial"/>
          <w:sz w:val="16"/>
          <w:szCs w:val="16"/>
          <w:color w:val="auto"/>
        </w:rPr>
      </w:pPr>
      <w:r>
        <w:rPr>
          <w:rFonts w:ascii="Arial" w:cs="Arial" w:eastAsia="Arial" w:hAnsi="Arial"/>
          <w:sz w:val="16"/>
          <w:szCs w:val="16"/>
          <w:color w:val="auto"/>
        </w:rPr>
        <w:t>is known by that Creditor Party before the date the information is disclosed to it in accordance with paragraphs</w:t>
      </w:r>
    </w:p>
    <w:p>
      <w:pPr>
        <w:spacing w:after="0" w:line="46" w:lineRule="exact"/>
        <w:rPr>
          <w:rFonts w:ascii="Arial" w:cs="Arial" w:eastAsia="Arial" w:hAnsi="Arial"/>
          <w:sz w:val="16"/>
          <w:szCs w:val="16"/>
          <w:color w:val="auto"/>
        </w:rPr>
      </w:pPr>
    </w:p>
    <w:p>
      <w:pPr>
        <w:ind w:left="2287" w:right="40"/>
        <w:spacing w:after="0" w:line="302" w:lineRule="auto"/>
        <w:rPr>
          <w:rFonts w:ascii="Arial" w:cs="Arial" w:eastAsia="Arial" w:hAnsi="Arial"/>
          <w:sz w:val="16"/>
          <w:szCs w:val="16"/>
          <w:color w:val="auto"/>
        </w:rPr>
      </w:pPr>
      <w:r>
        <w:rPr>
          <w:rFonts w:ascii="Arial" w:cs="Arial" w:eastAsia="Arial" w:hAnsi="Arial"/>
          <w:sz w:val="16"/>
          <w:szCs w:val="16"/>
          <w:color w:val="auto"/>
        </w:rPr>
        <w:t>(a) or (b) above or is lawfully obtained by that Creditor Party after that date, from a source which is, as far as that Creditor Party is aware, unconnected with the Group(s) and which, in either case, as far as that Creditor Party is aware, has not been obtained in breach of, and is not otherwise subject to, any obligation of confidentiality; and</w:t>
      </w:r>
    </w:p>
    <w:p>
      <w:pPr>
        <w:spacing w:after="0" w:line="61" w:lineRule="exact"/>
        <w:rPr>
          <w:sz w:val="20"/>
          <w:szCs w:val="20"/>
          <w:color w:val="auto"/>
        </w:rPr>
      </w:pPr>
    </w:p>
    <w:p>
      <w:pPr>
        <w:ind w:left="1467" w:hanging="670"/>
        <w:spacing w:after="0"/>
        <w:tabs>
          <w:tab w:leader="none" w:pos="146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Reference Bank Rate or any rate determined pursuant to Clauses 5.10 and 5.12;</w:t>
      </w:r>
    </w:p>
    <w:p>
      <w:pPr>
        <w:spacing w:after="0" w:line="113" w:lineRule="exact"/>
        <w:rPr>
          <w:sz w:val="20"/>
          <w:szCs w:val="20"/>
          <w:color w:val="auto"/>
        </w:rPr>
      </w:pPr>
    </w:p>
    <w:p>
      <w:pPr>
        <w:ind w:left="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Confirmation</w:t>
      </w:r>
      <w:r>
        <w:rPr>
          <w:rFonts w:ascii="Arial" w:cs="Arial" w:eastAsia="Arial" w:hAnsi="Arial"/>
          <w:sz w:val="18"/>
          <w:szCs w:val="18"/>
          <w:color w:val="auto"/>
        </w:rPr>
        <w:t>” and “</w:t>
      </w:r>
      <w:r>
        <w:rPr>
          <w:rFonts w:ascii="Arial" w:cs="Arial" w:eastAsia="Arial" w:hAnsi="Arial"/>
          <w:sz w:val="18"/>
          <w:szCs w:val="18"/>
          <w:b w:val="1"/>
          <w:bCs w:val="1"/>
          <w:color w:val="auto"/>
        </w:rPr>
        <w:t>Early Termination Date</w:t>
      </w:r>
      <w:r>
        <w:rPr>
          <w:rFonts w:ascii="Arial" w:cs="Arial" w:eastAsia="Arial" w:hAnsi="Arial"/>
          <w:sz w:val="18"/>
          <w:szCs w:val="18"/>
          <w:color w:val="auto"/>
        </w:rPr>
        <w:t>”, in relation to any continuing Designated Transaction, have the meanings given in the relevant Master Agreement;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has the meaning given in Clause 21.5;</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in relation to a Lender, the part of the Loan which is owing to that Lender;</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(whether by way of ownership of shares, proxy, contract, agency or otherwise) to:</w:t>
      </w:r>
    </w:p>
    <w:p>
      <w:pPr>
        <w:spacing w:after="0" w:line="135" w:lineRule="exact"/>
        <w:rPr>
          <w:sz w:val="20"/>
          <w:szCs w:val="20"/>
          <w:color w:val="auto"/>
        </w:rPr>
      </w:pPr>
    </w:p>
    <w:p>
      <w:pPr>
        <w:ind w:left="787" w:right="160" w:hanging="787"/>
        <w:spacing w:after="0" w:line="277" w:lineRule="auto"/>
        <w:tabs>
          <w:tab w:leader="none" w:pos="78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cast, or control the casting of, more than 50 per cent. of the maximum number of votes that might be cast at a general meeting of the Guarantor and/or following a Dropdown, the Substitute Guarantor; or</w:t>
      </w:r>
    </w:p>
    <w:p>
      <w:pPr>
        <w:spacing w:after="0" w:line="103"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7"/>
          </w:cols>
          <w:pgMar w:left="1153" w:top="270" w:right="259" w:bottom="1440" w:gutter="0" w:footer="0" w:header="0"/>
        </w:sectPr>
      </w:pPr>
    </w:p>
    <w:bookmarkStart w:id="195" w:name="page196"/>
    <w:bookmarkEnd w:id="195"/>
    <w:p>
      <w:pPr>
        <w:ind w:left="787" w:right="540" w:hanging="787"/>
        <w:spacing w:after="0" w:line="277" w:lineRule="auto"/>
        <w:tabs>
          <w:tab w:leader="none" w:pos="787"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 or remove all of the directors or other equivalent officers of the Guarantor and/or following a Dropdown, the Substitute Guarantor; or</w:t>
      </w:r>
    </w:p>
    <w:p>
      <w:pPr>
        <w:spacing w:after="0" w:line="75" w:lineRule="exact"/>
        <w:rPr>
          <w:rFonts w:ascii="Arial" w:cs="Arial" w:eastAsia="Arial" w:hAnsi="Arial"/>
          <w:sz w:val="18"/>
          <w:szCs w:val="18"/>
          <w:color w:val="auto"/>
        </w:rPr>
      </w:pPr>
    </w:p>
    <w:p>
      <w:pPr>
        <w:ind w:left="787" w:right="460" w:hanging="787"/>
        <w:spacing w:after="0" w:line="264" w:lineRule="auto"/>
        <w:tabs>
          <w:tab w:leader="none" w:pos="78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the Guarantor and/or following a Dropdown, the Substitute Guarantor with which the directors or other equivalent officers of the Guarantor and/or following a Dropdown, the Substitute Guarantor are obliged to comply.</w:t>
      </w:r>
    </w:p>
    <w:p>
      <w:pPr>
        <w:spacing w:after="0" w:line="69" w:lineRule="exact"/>
        <w:rPr>
          <w:sz w:val="20"/>
          <w:szCs w:val="20"/>
          <w:color w:val="auto"/>
        </w:rPr>
      </w:pPr>
    </w:p>
    <w:p>
      <w:pPr>
        <w:ind w:left="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CPLP Group</w:t>
      </w:r>
      <w:r>
        <w:rPr>
          <w:rFonts w:ascii="Arial" w:cs="Arial" w:eastAsia="Arial" w:hAnsi="Arial"/>
          <w:sz w:val="18"/>
          <w:szCs w:val="18"/>
          <w:color w:val="auto"/>
        </w:rPr>
        <w:t>” means the Substitute Guarantor and its subsidiaries (whether direct or indirect and including any Affected Borrower) from time to time during the Security Period;</w:t>
      </w:r>
    </w:p>
    <w:p>
      <w:pPr>
        <w:spacing w:after="0" w:line="54" w:lineRule="exact"/>
        <w:rPr>
          <w:sz w:val="20"/>
          <w:szCs w:val="20"/>
          <w:color w:val="auto"/>
        </w:rPr>
      </w:pPr>
    </w:p>
    <w:p>
      <w:pPr>
        <w:ind w:left="7" w:right="2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CRD IV</w:t>
      </w:r>
      <w:r>
        <w:rPr>
          <w:rFonts w:ascii="Arial" w:cs="Arial" w:eastAsia="Arial" w:hAnsi="Arial"/>
          <w:sz w:val="17"/>
          <w:szCs w:val="17"/>
          <w:color w:val="auto"/>
        </w:rPr>
        <w:t>” means Directive 2013/36/EU of 26 June 2013 on access to the activity of credit institutions and the prudential supervision of credit institutions and investment firms, amending Directive 2002/87/EC and repealing Directive 2006/48/EC and 2006/29/EC.</w:t>
      </w:r>
    </w:p>
    <w:p>
      <w:pPr>
        <w:spacing w:after="0" w:line="30" w:lineRule="exact"/>
        <w:rPr>
          <w:sz w:val="20"/>
          <w:szCs w:val="20"/>
          <w:color w:val="auto"/>
        </w:rPr>
      </w:pPr>
    </w:p>
    <w:p>
      <w:pPr>
        <w:ind w:left="7"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 Party</w:t>
      </w:r>
      <w:r>
        <w:rPr>
          <w:rFonts w:ascii="Arial" w:cs="Arial" w:eastAsia="Arial" w:hAnsi="Arial"/>
          <w:sz w:val="18"/>
          <w:szCs w:val="18"/>
          <w:color w:val="auto"/>
        </w:rPr>
        <w:t>” means the Facility Agent, the Security Trustee, the Mandated Lead Arrangers, the Swap Bank, the Account Bank or any Lender, whether as at the date of this Agreement or at any later time;</w:t>
      </w:r>
    </w:p>
    <w:p>
      <w:pPr>
        <w:spacing w:after="0" w:line="54" w:lineRule="exact"/>
        <w:rPr>
          <w:sz w:val="20"/>
          <w:szCs w:val="20"/>
          <w:color w:val="auto"/>
        </w:rPr>
      </w:pPr>
    </w:p>
    <w:p>
      <w:pPr>
        <w:ind w:left="7" w:righ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CRR</w:t>
      </w:r>
      <w:r>
        <w:rPr>
          <w:rFonts w:ascii="Arial" w:cs="Arial" w:eastAsia="Arial" w:hAnsi="Arial"/>
          <w:sz w:val="18"/>
          <w:szCs w:val="18"/>
          <w:color w:val="auto"/>
        </w:rPr>
        <w:t>” means Regulation (EU) No. 575/2013 of 26 June 2013 on prudential requirements for credit institutions and investment firms and amending regulation (EU) No. 648/2012.</w:t>
      </w:r>
    </w:p>
    <w:p>
      <w:pPr>
        <w:spacing w:after="0" w:line="54"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Covenant</w:t>
      </w:r>
      <w:r>
        <w:rPr>
          <w:rFonts w:ascii="Arial" w:cs="Arial" w:eastAsia="Arial" w:hAnsi="Arial"/>
          <w:sz w:val="18"/>
          <w:szCs w:val="18"/>
          <w:color w:val="auto"/>
        </w:rPr>
        <w:t>” means, in relation to a Ship registered or to be registered under Cyprus or Malta flag, a deed of covenant collateral to the Mortgage of that Ship creating charges over the Ship, executed or to be executed by the Borrower which is the owner of that Ship in favour of the Security Trustee, in the Agreed Form, and in the plural means all of them;</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w:t>
      </w:r>
    </w:p>
    <w:p>
      <w:pPr>
        <w:spacing w:after="0" w:line="135" w:lineRule="exact"/>
        <w:rPr>
          <w:sz w:val="20"/>
          <w:szCs w:val="20"/>
          <w:color w:val="auto"/>
        </w:rPr>
      </w:pPr>
    </w:p>
    <w:p>
      <w:pPr>
        <w:ind w:left="787" w:right="120" w:hanging="787"/>
        <w:spacing w:after="0" w:line="277" w:lineRule="auto"/>
        <w:tabs>
          <w:tab w:leader="none" w:pos="78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which has failed to make available the relevant proportion of its Commitment or has given notice to the Facility Agent that it will not make such amount available by the relevant Drawdown Date pursuant to Clause 4.6; or</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130" w:lineRule="exact"/>
        <w:rPr>
          <w:rFonts w:ascii="Arial" w:cs="Arial" w:eastAsia="Arial" w:hAnsi="Arial"/>
          <w:sz w:val="18"/>
          <w:szCs w:val="18"/>
          <w:color w:val="auto"/>
        </w:rPr>
      </w:pPr>
    </w:p>
    <w:p>
      <w:pPr>
        <w:ind w:left="807" w:right="4360" w:hanging="807"/>
        <w:spacing w:after="0" w:line="383" w:lineRule="auto"/>
        <w:tabs>
          <w:tab w:leader="none" w:pos="79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 unless, in the case of paragraph (a) above:</w:t>
      </w:r>
    </w:p>
    <w:p>
      <w:pPr>
        <w:spacing w:after="0" w:line="1" w:lineRule="exact"/>
        <w:rPr>
          <w:rFonts w:ascii="Arial" w:cs="Arial" w:eastAsia="Arial" w:hAnsi="Arial"/>
          <w:sz w:val="18"/>
          <w:szCs w:val="18"/>
          <w:color w:val="auto"/>
        </w:rPr>
      </w:pPr>
    </w:p>
    <w:p>
      <w:pPr>
        <w:ind w:left="1467" w:hanging="670"/>
        <w:spacing w:after="0"/>
        <w:tabs>
          <w:tab w:leader="none" w:pos="146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2287" w:hanging="802"/>
        <w:spacing w:after="0"/>
        <w:tabs>
          <w:tab w:leader="none" w:pos="228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an administrative or technical error; or</w:t>
      </w:r>
    </w:p>
    <w:p>
      <w:pPr>
        <w:spacing w:after="0" w:line="130" w:lineRule="exact"/>
        <w:rPr>
          <w:rFonts w:ascii="Arial" w:cs="Arial" w:eastAsia="Arial" w:hAnsi="Arial"/>
          <w:sz w:val="18"/>
          <w:szCs w:val="18"/>
          <w:color w:val="auto"/>
        </w:rPr>
      </w:pPr>
    </w:p>
    <w:p>
      <w:pPr>
        <w:ind w:left="2287" w:hanging="802"/>
        <w:spacing w:after="0"/>
        <w:tabs>
          <w:tab w:leader="none" w:pos="228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17" w:lineRule="exact"/>
        <w:rPr>
          <w:sz w:val="20"/>
          <w:szCs w:val="20"/>
          <w:color w:val="auto"/>
        </w:rPr>
      </w:pPr>
    </w:p>
    <w:p>
      <w:pPr>
        <w:ind w:left="807"/>
        <w:spacing w:after="0"/>
        <w:rPr>
          <w:sz w:val="20"/>
          <w:szCs w:val="20"/>
          <w:color w:val="auto"/>
        </w:rPr>
      </w:pPr>
      <w:r>
        <w:rPr>
          <w:rFonts w:ascii="Arial" w:cs="Arial" w:eastAsia="Arial" w:hAnsi="Arial"/>
          <w:sz w:val="18"/>
          <w:szCs w:val="18"/>
          <w:color w:val="auto"/>
        </w:rPr>
        <w:t>payment is made within 5 Business Days of its due date; or</w:t>
      </w:r>
    </w:p>
    <w:p>
      <w:pPr>
        <w:spacing w:after="0" w:line="131" w:lineRule="exact"/>
        <w:rPr>
          <w:sz w:val="20"/>
          <w:szCs w:val="20"/>
          <w:color w:val="auto"/>
        </w:rPr>
      </w:pPr>
    </w:p>
    <w:p>
      <w:pPr>
        <w:ind w:left="1467" w:hanging="670"/>
        <w:spacing w:after="0"/>
        <w:tabs>
          <w:tab w:leader="none" w:pos="146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relevant payment;</w:t>
      </w:r>
    </w:p>
    <w:p>
      <w:pPr>
        <w:spacing w:after="0" w:line="113" w:lineRule="exact"/>
        <w:rPr>
          <w:sz w:val="20"/>
          <w:szCs w:val="20"/>
          <w:color w:val="auto"/>
        </w:rPr>
      </w:pPr>
    </w:p>
    <w:p>
      <w:pPr>
        <w:ind w:left="7"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Date</w:t>
      </w:r>
      <w:r>
        <w:rPr>
          <w:rFonts w:ascii="Arial" w:cs="Arial" w:eastAsia="Arial" w:hAnsi="Arial"/>
          <w:sz w:val="18"/>
          <w:szCs w:val="18"/>
          <w:color w:val="auto"/>
        </w:rPr>
        <w:t>” means, in relation to each Ship, the date on which title to and possession of that Ship is transferred from the Builder to the relevant Borrower pursuant to the Shipbuilding Contract to which that Borrower is a party;</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Person</w:t>
      </w:r>
      <w:r>
        <w:rPr>
          <w:rFonts w:ascii="Arial" w:cs="Arial" w:eastAsia="Arial" w:hAnsi="Arial"/>
          <w:sz w:val="18"/>
          <w:szCs w:val="18"/>
          <w:color w:val="auto"/>
        </w:rPr>
        <w:t>” means a person:</w:t>
      </w:r>
    </w:p>
    <w:p>
      <w:pPr>
        <w:spacing w:after="0" w:line="135" w:lineRule="exact"/>
        <w:rPr>
          <w:sz w:val="20"/>
          <w:szCs w:val="20"/>
          <w:color w:val="auto"/>
        </w:rPr>
      </w:pPr>
    </w:p>
    <w:p>
      <w:pPr>
        <w:ind w:left="4747" w:right="40" w:hanging="4747"/>
        <w:spacing w:after="0" w:line="449" w:lineRule="auto"/>
        <w:tabs>
          <w:tab w:leader="none" w:pos="78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is, or is owned or controlled by one or more persons that are listed on a Sanctions List, or is otherwise the target of any Sanctions; 6</w:t>
      </w:r>
    </w:p>
    <w:p>
      <w:pPr>
        <w:sectPr>
          <w:pgSz w:w="11900" w:h="16838" w:orient="portrait"/>
          <w:cols w:equalWidth="0" w:num="1">
            <w:col w:w="10507"/>
          </w:cols>
          <w:pgMar w:left="1153" w:top="274" w:right="239" w:bottom="1440" w:gutter="0" w:footer="0" w:header="0"/>
        </w:sectPr>
      </w:pPr>
    </w:p>
    <w:bookmarkStart w:id="196" w:name="page197"/>
    <w:bookmarkEnd w:id="196"/>
    <w:p>
      <w:pPr>
        <w:ind w:left="787" w:right="120" w:hanging="787"/>
        <w:spacing w:after="0" w:line="308" w:lineRule="auto"/>
        <w:tabs>
          <w:tab w:leader="none" w:pos="787" w:val="left"/>
        </w:tabs>
        <w:numPr>
          <w:ilvl w:val="0"/>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located in or organized under the laws of any jurisdiction that is, or whose government is, targeted by Sanctions, including, as of the date of this Agreement, Cuba, the Crimea Region of the Ukraine, Iran, North Korea, Sudan and Syria;</w:t>
      </w:r>
    </w:p>
    <w:p>
      <w:pPr>
        <w:spacing w:after="0" w:line="51" w:lineRule="exact"/>
        <w:rPr>
          <w:rFonts w:ascii="Arial" w:cs="Arial" w:eastAsia="Arial" w:hAnsi="Arial"/>
          <w:sz w:val="17"/>
          <w:szCs w:val="17"/>
          <w:color w:val="auto"/>
        </w:rPr>
      </w:pPr>
    </w:p>
    <w:p>
      <w:pPr>
        <w:ind w:left="787" w:hanging="787"/>
        <w:spacing w:after="0"/>
        <w:tabs>
          <w:tab w:leader="none" w:pos="78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acting or purporting to act on behalf of any of the persons listed in paragraphs (a) and (b) above; or</w:t>
      </w:r>
    </w:p>
    <w:p>
      <w:pPr>
        <w:spacing w:after="0" w:line="130" w:lineRule="exact"/>
        <w:rPr>
          <w:rFonts w:ascii="Arial" w:cs="Arial" w:eastAsia="Arial" w:hAnsi="Arial"/>
          <w:sz w:val="18"/>
          <w:szCs w:val="18"/>
          <w:color w:val="auto"/>
        </w:rPr>
      </w:pPr>
    </w:p>
    <w:p>
      <w:pPr>
        <w:ind w:left="787" w:right="300" w:hanging="787"/>
        <w:spacing w:after="0" w:line="277" w:lineRule="auto"/>
        <w:tabs>
          <w:tab w:leader="none" w:pos="78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 which any relevant Creditor Party is prohibited from (i) dealing or (ii) otherwise engaging in any transaction pursuant to any Sanctions;</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Transaction</w:t>
      </w:r>
      <w:r>
        <w:rPr>
          <w:rFonts w:ascii="Arial" w:cs="Arial" w:eastAsia="Arial" w:hAnsi="Arial"/>
          <w:sz w:val="18"/>
          <w:szCs w:val="18"/>
          <w:color w:val="auto"/>
        </w:rPr>
        <w:t>” means a Transaction which fulfils the following requirements:</w:t>
      </w:r>
    </w:p>
    <w:p>
      <w:pPr>
        <w:spacing w:after="0" w:line="135" w:lineRule="exact"/>
        <w:rPr>
          <w:sz w:val="20"/>
          <w:szCs w:val="20"/>
          <w:color w:val="auto"/>
        </w:rPr>
      </w:pPr>
    </w:p>
    <w:p>
      <w:pPr>
        <w:ind w:left="787" w:right="260" w:hanging="787"/>
        <w:spacing w:after="0" w:line="277" w:lineRule="auto"/>
        <w:tabs>
          <w:tab w:leader="none" w:pos="78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it is entered into by a Borrower pursuant to the Master Agreement to which it is a party with the Swap Bank which, at the time the Transaction is entered into, is also a Lender (or an affiliate of a Lender);</w:t>
      </w:r>
    </w:p>
    <w:p>
      <w:pPr>
        <w:spacing w:after="0" w:line="75" w:lineRule="exact"/>
        <w:rPr>
          <w:rFonts w:ascii="Arial" w:cs="Arial" w:eastAsia="Arial" w:hAnsi="Arial"/>
          <w:sz w:val="18"/>
          <w:szCs w:val="18"/>
          <w:color w:val="auto"/>
        </w:rPr>
      </w:pPr>
    </w:p>
    <w:p>
      <w:pPr>
        <w:ind w:left="787" w:right="20" w:hanging="787"/>
        <w:spacing w:after="0" w:line="277" w:lineRule="auto"/>
        <w:tabs>
          <w:tab w:leader="none" w:pos="78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its purpose is the hedging of that Borrower’s exposure under this Agreement to fluctuations in LIBOR arising from the funding of the Loan (or any part thereof) for a period expiring no later than the final Repayment Date; and</w:t>
      </w:r>
    </w:p>
    <w:p>
      <w:pPr>
        <w:spacing w:after="0" w:line="75" w:lineRule="exact"/>
        <w:rPr>
          <w:rFonts w:ascii="Arial" w:cs="Arial" w:eastAsia="Arial" w:hAnsi="Arial"/>
          <w:sz w:val="18"/>
          <w:szCs w:val="18"/>
          <w:color w:val="auto"/>
        </w:rPr>
      </w:pPr>
    </w:p>
    <w:p>
      <w:pPr>
        <w:ind w:left="787" w:hanging="787"/>
        <w:spacing w:after="0" w:line="277" w:lineRule="auto"/>
        <w:tabs>
          <w:tab w:leader="none" w:pos="78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it is designated by delivery by the Swap Bank to the Facility Agent and the Borrowers of a notice of designation in the form set out in Schedule 5, as a Designated Transaction for the purposes of the Finance Documents;</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787" w:right="60" w:hanging="787"/>
        <w:spacing w:after="0" w:line="259" w:lineRule="auto"/>
        <w:tabs>
          <w:tab w:leader="none" w:pos="7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Loan (or otherwise in order for the transactions contemplated by the Finance Documents to be carried out) which disruption is not caused by, and is beyond the control of, a party to this Agreement (a “</w:t>
      </w:r>
      <w:r>
        <w:rPr>
          <w:rFonts w:ascii="Arial" w:cs="Arial" w:eastAsia="Arial" w:hAnsi="Arial"/>
          <w:sz w:val="18"/>
          <w:szCs w:val="18"/>
          <w:b w:val="1"/>
          <w:bCs w:val="1"/>
          <w:color w:val="auto"/>
        </w:rPr>
        <w:t>Party</w:t>
      </w:r>
      <w:r>
        <w:rPr>
          <w:rFonts w:ascii="Arial" w:cs="Arial" w:eastAsia="Arial" w:hAnsi="Arial"/>
          <w:sz w:val="18"/>
          <w:szCs w:val="18"/>
          <w:color w:val="auto"/>
        </w:rPr>
        <w:t>”); or</w:t>
      </w:r>
    </w:p>
    <w:p>
      <w:pPr>
        <w:spacing w:after="0" w:line="92" w:lineRule="exact"/>
        <w:rPr>
          <w:rFonts w:ascii="Arial" w:cs="Arial" w:eastAsia="Arial" w:hAnsi="Arial"/>
          <w:sz w:val="18"/>
          <w:szCs w:val="18"/>
          <w:color w:val="auto"/>
        </w:rPr>
      </w:pPr>
    </w:p>
    <w:p>
      <w:pPr>
        <w:ind w:left="787" w:right="140" w:hanging="787"/>
        <w:spacing w:after="0" w:line="277" w:lineRule="auto"/>
        <w:tabs>
          <w:tab w:leader="none" w:pos="7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467" w:hanging="670"/>
        <w:spacing w:after="0"/>
        <w:tabs>
          <w:tab w:leader="none" w:pos="146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17" w:lineRule="exact"/>
        <w:rPr>
          <w:sz w:val="20"/>
          <w:szCs w:val="20"/>
          <w:color w:val="auto"/>
        </w:rPr>
      </w:pPr>
    </w:p>
    <w:p>
      <w:pPr>
        <w:ind w:left="7" w:right="1820"/>
        <w:spacing w:after="0" w:line="395" w:lineRule="auto"/>
        <w:rPr>
          <w:sz w:val="20"/>
          <w:szCs w:val="20"/>
          <w:color w:val="auto"/>
        </w:rPr>
      </w:pPr>
      <w:r>
        <w:rPr>
          <w:rFonts w:ascii="Arial" w:cs="Arial" w:eastAsia="Arial" w:hAnsi="Arial"/>
          <w:sz w:val="17"/>
          <w:szCs w:val="17"/>
          <w:color w:val="auto"/>
        </w:rPr>
        <w:t>and which (in either such case) is not caused by, and is beyond the control of, the Party whose operations are disrupted; “</w:t>
      </w:r>
      <w:r>
        <w:rPr>
          <w:rFonts w:ascii="Arial" w:cs="Arial" w:eastAsia="Arial" w:hAnsi="Arial"/>
          <w:sz w:val="17"/>
          <w:szCs w:val="17"/>
          <w:b w:val="1"/>
          <w:bCs w:val="1"/>
          <w:color w:val="auto"/>
        </w:rPr>
        <w:t>Dollars</w:t>
      </w:r>
      <w:r>
        <w:rPr>
          <w:rFonts w:ascii="Arial" w:cs="Arial" w:eastAsia="Arial" w:hAnsi="Arial"/>
          <w:sz w:val="17"/>
          <w:szCs w:val="17"/>
          <w:color w:val="auto"/>
        </w:rPr>
        <w:t>” and “</w:t>
      </w:r>
      <w:r>
        <w:rPr>
          <w:rFonts w:ascii="Arial" w:cs="Arial" w:eastAsia="Arial" w:hAnsi="Arial"/>
          <w:sz w:val="17"/>
          <w:szCs w:val="17"/>
          <w:b w:val="1"/>
          <w:bCs w:val="1"/>
          <w:color w:val="auto"/>
        </w:rPr>
        <w:t>$</w:t>
      </w:r>
      <w:r>
        <w:rPr>
          <w:rFonts w:ascii="Arial" w:cs="Arial" w:eastAsia="Arial" w:hAnsi="Arial"/>
          <w:sz w:val="17"/>
          <w:szCs w:val="17"/>
          <w:color w:val="auto"/>
        </w:rPr>
        <w:t>” means the lawful currency for the time being of the United States of America;</w:t>
      </w:r>
    </w:p>
    <w:p>
      <w:pPr>
        <w:spacing w:after="0" w:line="1" w:lineRule="exact"/>
        <w:rPr>
          <w:sz w:val="20"/>
          <w:szCs w:val="20"/>
          <w:color w:val="auto"/>
        </w:rPr>
      </w:pPr>
    </w:p>
    <w:p>
      <w:pPr>
        <w:ind w:left="7"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in relation to either Advance, the date requested by the Borrowers for the Advance to be made, or (as the context requires) the date on which the Advance is actually made;</w:t>
      </w:r>
    </w:p>
    <w:p>
      <w:pPr>
        <w:spacing w:after="0" w:line="54" w:lineRule="exact"/>
        <w:rPr>
          <w:sz w:val="20"/>
          <w:szCs w:val="20"/>
          <w:color w:val="auto"/>
        </w:rPr>
      </w:pPr>
    </w:p>
    <w:p>
      <w:pPr>
        <w:ind w:left="7" w:right="8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Notice</w:t>
      </w:r>
      <w:r>
        <w:rPr>
          <w:rFonts w:ascii="Arial" w:cs="Arial" w:eastAsia="Arial" w:hAnsi="Arial"/>
          <w:sz w:val="18"/>
          <w:szCs w:val="18"/>
          <w:color w:val="auto"/>
        </w:rPr>
        <w:t>” means a notice in the form set out in Schedule 2 (or in any other form which the Facility Agent, acting with the authorisation of all the Lenders, approves or reasonably requires);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Dropdown</w:t>
      </w:r>
      <w:r>
        <w:rPr>
          <w:rFonts w:ascii="Arial" w:cs="Arial" w:eastAsia="Arial" w:hAnsi="Arial"/>
          <w:sz w:val="18"/>
          <w:szCs w:val="18"/>
          <w:color w:val="auto"/>
        </w:rPr>
        <w:t>” has the meaning given in Clause 4.9;</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Dropdown Date</w:t>
      </w:r>
      <w:r>
        <w:rPr>
          <w:rFonts w:ascii="Arial" w:cs="Arial" w:eastAsia="Arial" w:hAnsi="Arial"/>
          <w:sz w:val="18"/>
          <w:szCs w:val="18"/>
          <w:color w:val="auto"/>
        </w:rPr>
        <w:t>” means the date on which a Dropdown occurs;</w:t>
      </w:r>
    </w:p>
    <w:p>
      <w:pPr>
        <w:spacing w:after="0" w:line="162"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27"/>
          </w:cols>
          <w:pgMar w:left="1153" w:top="274" w:right="319" w:bottom="1440" w:gutter="0" w:footer="0" w:header="0"/>
        </w:sectPr>
      </w:pPr>
    </w:p>
    <w:bookmarkStart w:id="197" w:name="page198"/>
    <w:bookmarkEnd w:id="197"/>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117" w:lineRule="exact"/>
        <w:rPr>
          <w:sz w:val="20"/>
          <w:szCs w:val="20"/>
          <w:color w:val="auto"/>
        </w:rPr>
      </w:pPr>
    </w:p>
    <w:p>
      <w:pPr>
        <w:ind w:left="7" w:right="4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w:t>
      </w:r>
      <w:r>
        <w:rPr>
          <w:rFonts w:ascii="Arial" w:cs="Arial" w:eastAsia="Arial" w:hAnsi="Arial"/>
          <w:sz w:val="18"/>
          <w:szCs w:val="18"/>
          <w:color w:val="auto"/>
        </w:rPr>
        <w:t>” means, in relation to a Ship, all moneys whatsoever which are now, or later become, payable (actually or contingently) to the Borrower which is the owner of that Ship or the Security Trustee and which arise out of the use or operation of the Ship, including (but not limited to):</w:t>
      </w:r>
    </w:p>
    <w:p>
      <w:pPr>
        <w:spacing w:after="0" w:line="86" w:lineRule="exact"/>
        <w:rPr>
          <w:sz w:val="20"/>
          <w:szCs w:val="20"/>
          <w:color w:val="auto"/>
        </w:rPr>
      </w:pPr>
    </w:p>
    <w:p>
      <w:pPr>
        <w:jc w:val="both"/>
        <w:ind w:left="787" w:right="140" w:hanging="787"/>
        <w:spacing w:after="0" w:line="286" w:lineRule="auto"/>
        <w:tabs>
          <w:tab w:leader="none" w:pos="78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all freight, hire and passage moneys, compensation payable to that Borrower or the Security Trustee in the event of requisition of the Ship for hire, remuneration for salvage and towage services, demurrage and detention moneys and damages for breach (or payments for variation or termination) of any charterparty or other contract for the employment of the Ship;</w:t>
      </w:r>
    </w:p>
    <w:p>
      <w:pPr>
        <w:spacing w:after="0" w:line="70" w:lineRule="exact"/>
        <w:rPr>
          <w:rFonts w:ascii="Arial" w:cs="Arial" w:eastAsia="Arial" w:hAnsi="Arial"/>
          <w:sz w:val="17"/>
          <w:szCs w:val="17"/>
          <w:color w:val="auto"/>
        </w:rPr>
      </w:pPr>
    </w:p>
    <w:p>
      <w:pPr>
        <w:ind w:left="787" w:hanging="787"/>
        <w:spacing w:after="0"/>
        <w:tabs>
          <w:tab w:leader="none" w:pos="7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moneys which are at any time payable under any Insurances in respect of loss of hire; and</w:t>
      </w:r>
    </w:p>
    <w:p>
      <w:pPr>
        <w:spacing w:after="0" w:line="130" w:lineRule="exact"/>
        <w:rPr>
          <w:rFonts w:ascii="Arial" w:cs="Arial" w:eastAsia="Arial" w:hAnsi="Arial"/>
          <w:sz w:val="18"/>
          <w:szCs w:val="18"/>
          <w:color w:val="auto"/>
        </w:rPr>
      </w:pPr>
    </w:p>
    <w:p>
      <w:pPr>
        <w:ind w:left="787" w:right="200" w:hanging="787"/>
        <w:spacing w:after="0" w:line="264" w:lineRule="auto"/>
        <w:tabs>
          <w:tab w:leader="none" w:pos="7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and whenever the Ship is employed on terms whereby any moneys falling within paragraphs (a) or (b) above are pooled or shared with any other person, that proportion of the net receipts of the relevant pooling or sharing arrangement which is attributable to the Ship;</w:t>
      </w:r>
    </w:p>
    <w:p>
      <w:pPr>
        <w:spacing w:after="0" w:line="69" w:lineRule="exact"/>
        <w:rPr>
          <w:sz w:val="20"/>
          <w:szCs w:val="20"/>
          <w:color w:val="auto"/>
        </w:rPr>
      </w:pPr>
    </w:p>
    <w:p>
      <w:pPr>
        <w:ind w:left="7" w:right="5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Emma</w:t>
      </w:r>
      <w:r>
        <w:rPr>
          <w:rFonts w:ascii="Arial" w:cs="Arial" w:eastAsia="Arial" w:hAnsi="Arial"/>
          <w:sz w:val="16"/>
          <w:szCs w:val="16"/>
          <w:color w:val="auto"/>
        </w:rPr>
        <w:t>” means a corporation incorporated in the Republic of the Marshall Islands whose registered office is at Trust Company Complex, Ajeltake Road, Ajeltake Island, Majuro, Marshall Islands MH96960 which holds 25 shares out of a total of 100 shares in each Borrower;</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w:t>
      </w:r>
    </w:p>
    <w:p>
      <w:pPr>
        <w:spacing w:after="0" w:line="135" w:lineRule="exact"/>
        <w:rPr>
          <w:sz w:val="20"/>
          <w:szCs w:val="20"/>
          <w:color w:val="auto"/>
        </w:rPr>
      </w:pPr>
    </w:p>
    <w:p>
      <w:pPr>
        <w:ind w:left="787" w:right="760" w:hanging="787"/>
        <w:spacing w:after="0" w:line="277" w:lineRule="auto"/>
        <w:tabs>
          <w:tab w:leader="none" w:pos="7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claim by any governmental, judicial or regulatory authority which arises out of an Environmental Incident or an alleged Environmental Incident or which relates to any Environmental Law; or</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claim by any other person which relates to an Environmental Incident or to an alleged Environmental Incident,</w:t>
      </w:r>
    </w:p>
    <w:p>
      <w:pPr>
        <w:spacing w:after="0" w:line="113"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claim</w:t>
      </w:r>
      <w:r>
        <w:rPr>
          <w:rFonts w:ascii="Arial" w:cs="Arial" w:eastAsia="Arial" w:hAnsi="Arial"/>
          <w:sz w:val="18"/>
          <w:szCs w:val="18"/>
          <w:color w:val="auto"/>
        </w:rPr>
        <w:t>” means a claim for damages, compensation, fines, penalties or any other payment of any kind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Incident</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release of Environmentally Sensitive Material from a Ship; or</w:t>
      </w:r>
    </w:p>
    <w:p>
      <w:pPr>
        <w:spacing w:after="0" w:line="130" w:lineRule="exact"/>
        <w:rPr>
          <w:rFonts w:ascii="Arial" w:cs="Arial" w:eastAsia="Arial" w:hAnsi="Arial"/>
          <w:sz w:val="18"/>
          <w:szCs w:val="18"/>
          <w:color w:val="auto"/>
        </w:rPr>
      </w:pPr>
    </w:p>
    <w:p>
      <w:pPr>
        <w:ind w:left="787" w:right="100" w:hanging="787"/>
        <w:spacing w:after="0" w:line="279" w:lineRule="auto"/>
        <w:tabs>
          <w:tab w:leader="none" w:pos="78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incident in which Environmentally Sensitive Material is released from a vessel other than a Ship and which involves a collision between a Ship and such other vessel or some other incident of navigation or operation, in either case, in connection with which a Ship is actually or potentially liable to be arrested, attached, detained or injuncted and/or a Ship or a Borrower and/or any operator or manager is at fault or allegedly at fault or otherwise liable to any legal or administrative action; or</w:t>
      </w:r>
    </w:p>
    <w:p>
      <w:pPr>
        <w:spacing w:after="0" w:line="76" w:lineRule="exact"/>
        <w:rPr>
          <w:rFonts w:ascii="Arial" w:cs="Arial" w:eastAsia="Arial" w:hAnsi="Arial"/>
          <w:sz w:val="17"/>
          <w:szCs w:val="17"/>
          <w:color w:val="auto"/>
        </w:rPr>
      </w:pPr>
    </w:p>
    <w:p>
      <w:pPr>
        <w:ind w:left="787" w:right="20" w:hanging="787"/>
        <w:spacing w:after="0" w:line="264" w:lineRule="auto"/>
        <w:tabs>
          <w:tab w:leader="none" w:pos="78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other incident in which Environmentally Sensitive Material is released otherwise than from a Ship and in connection with which a Ship is actually or potentially liable to be arrested and/or where a Borrower and/or any operator or manager of a Ship is at fault or allegedly at fault or otherwise liable to any legal or administrative action;</w:t>
      </w:r>
    </w:p>
    <w:p>
      <w:pPr>
        <w:spacing w:after="0" w:line="114"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7"/>
          </w:cols>
          <w:pgMar w:left="1153" w:top="270" w:right="259" w:bottom="1440" w:gutter="0" w:footer="0" w:header="0"/>
        </w:sectPr>
      </w:pPr>
    </w:p>
    <w:bookmarkStart w:id="198" w:name="page199"/>
    <w:bookmarkEnd w:id="198"/>
    <w:p>
      <w:pPr>
        <w:ind w:left="7" w:right="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relating to pollution or protection of the environment, to the carriage of Environmentally Sensitive Material or to actual or threatened releases of Environmentally Sensitive Material;</w:t>
      </w:r>
    </w:p>
    <w:p>
      <w:pPr>
        <w:spacing w:after="0" w:line="54" w:lineRule="exact"/>
        <w:rPr>
          <w:sz w:val="20"/>
          <w:szCs w:val="20"/>
          <w:color w:val="auto"/>
        </w:rPr>
      </w:pPr>
    </w:p>
    <w:p>
      <w:pPr>
        <w:ind w:left="7"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Environmentally Sensitive Material</w:t>
      </w:r>
      <w:r>
        <w:rPr>
          <w:rFonts w:ascii="Arial" w:cs="Arial" w:eastAsia="Arial" w:hAnsi="Arial"/>
          <w:sz w:val="18"/>
          <w:szCs w:val="18"/>
          <w:color w:val="auto"/>
        </w:rPr>
        <w:t>” means oil, oil products and any other substance (including any chemical, gas or other hazardous or noxious substance) which is (or is capable of being or becoming) polluting, toxic or hazardous;</w:t>
      </w:r>
    </w:p>
    <w:p>
      <w:pPr>
        <w:spacing w:after="0" w:line="54" w:lineRule="exact"/>
        <w:rPr>
          <w:sz w:val="20"/>
          <w:szCs w:val="20"/>
          <w:color w:val="auto"/>
        </w:rPr>
      </w:pPr>
    </w:p>
    <w:p>
      <w:pPr>
        <w:ind w:left="7"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54" w:lineRule="exact"/>
        <w:rPr>
          <w:sz w:val="20"/>
          <w:szCs w:val="20"/>
          <w:color w:val="auto"/>
        </w:rPr>
      </w:pPr>
    </w:p>
    <w:p>
      <w:pPr>
        <w:ind w:left="7" w:right="408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19.1; “</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2" w:lineRule="exact"/>
        <w:rPr>
          <w:sz w:val="20"/>
          <w:szCs w:val="20"/>
          <w:color w:val="auto"/>
        </w:rPr>
      </w:pPr>
    </w:p>
    <w:p>
      <w:pPr>
        <w:ind w:left="787" w:hanging="787"/>
        <w:spacing w:after="0"/>
        <w:tabs>
          <w:tab w:leader="none" w:pos="78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sections 1471 to 1474 of the Code and any Treasury regulations thereunder:</w:t>
      </w:r>
    </w:p>
    <w:p>
      <w:pPr>
        <w:spacing w:after="0" w:line="130" w:lineRule="exact"/>
        <w:rPr>
          <w:rFonts w:ascii="Arial" w:cs="Arial" w:eastAsia="Arial" w:hAnsi="Arial"/>
          <w:sz w:val="18"/>
          <w:szCs w:val="18"/>
          <w:color w:val="auto"/>
        </w:rPr>
      </w:pPr>
    </w:p>
    <w:p>
      <w:pPr>
        <w:ind w:left="787" w:right="120" w:hanging="787"/>
        <w:spacing w:after="0" w:line="342" w:lineRule="auto"/>
        <w:tabs>
          <w:tab w:leader="none" w:pos="78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treaty, law, regulation or other official guidance enacted in any other jurisdiction, or relating to an intergovernmental agreement between the US and any other jurisdiction, which (in either case) facilitates the implementation of paragraph (a) above; or</w:t>
      </w:r>
    </w:p>
    <w:p>
      <w:pPr>
        <w:spacing w:after="0" w:line="29" w:lineRule="exact"/>
        <w:rPr>
          <w:rFonts w:ascii="Arial" w:cs="Arial" w:eastAsia="Arial" w:hAnsi="Arial"/>
          <w:sz w:val="16"/>
          <w:szCs w:val="16"/>
          <w:color w:val="auto"/>
        </w:rPr>
      </w:pPr>
    </w:p>
    <w:p>
      <w:pPr>
        <w:ind w:left="787" w:right="720" w:hanging="787"/>
        <w:spacing w:after="0" w:line="277" w:lineRule="auto"/>
        <w:tabs>
          <w:tab w:leader="none" w:pos="78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agreement pursuant to the implementation of paragraphs (a) or (b) above with the US Internal Revenue Service, the US government or any governmental or taxation authority in any other jurisdiction;</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787" w:right="300" w:hanging="787"/>
        <w:spacing w:after="0" w:line="277" w:lineRule="auto"/>
        <w:tabs>
          <w:tab w:leader="none" w:pos="78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75" w:lineRule="exact"/>
        <w:rPr>
          <w:rFonts w:ascii="Arial" w:cs="Arial" w:eastAsia="Arial" w:hAnsi="Arial"/>
          <w:sz w:val="18"/>
          <w:szCs w:val="18"/>
          <w:color w:val="auto"/>
        </w:rPr>
      </w:pPr>
    </w:p>
    <w:p>
      <w:pPr>
        <w:ind w:left="787" w:right="140" w:hanging="787"/>
        <w:spacing w:after="0" w:line="308" w:lineRule="auto"/>
        <w:tabs>
          <w:tab w:leader="none" w:pos="78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 relation to a “withholdable payment” described in section 1473(1)(A)(ii) of the Code (which relates to “gross proceeds” from the disposition of property of a type that can produce interest from sources within the US), 1 January 2019; or</w:t>
      </w:r>
    </w:p>
    <w:p>
      <w:pPr>
        <w:spacing w:after="0" w:line="51" w:lineRule="exact"/>
        <w:rPr>
          <w:rFonts w:ascii="Arial" w:cs="Arial" w:eastAsia="Arial" w:hAnsi="Arial"/>
          <w:sz w:val="17"/>
          <w:szCs w:val="17"/>
          <w:color w:val="auto"/>
        </w:rPr>
      </w:pPr>
    </w:p>
    <w:p>
      <w:pPr>
        <w:ind w:left="787" w:right="560" w:hanging="787"/>
        <w:spacing w:after="0" w:line="277" w:lineRule="auto"/>
        <w:tabs>
          <w:tab w:leader="none" w:pos="78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paragraphs (a) or (b) above, 1 January 2019,</w:t>
      </w:r>
    </w:p>
    <w:p>
      <w:pPr>
        <w:spacing w:after="0" w:line="62" w:lineRule="exact"/>
        <w:rPr>
          <w:sz w:val="20"/>
          <w:szCs w:val="20"/>
          <w:color w:val="auto"/>
        </w:rPr>
      </w:pPr>
    </w:p>
    <w:p>
      <w:pPr>
        <w:ind w:left="7" w:right="80"/>
        <w:spacing w:after="0" w:line="277"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date of this Agreement;</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 Deduction</w:t>
      </w:r>
      <w:r>
        <w:rPr>
          <w:rFonts w:ascii="Arial" w:cs="Arial" w:eastAsia="Arial" w:hAnsi="Arial"/>
          <w:sz w:val="17"/>
          <w:szCs w:val="17"/>
          <w:color w:val="auto"/>
        </w:rPr>
        <w:t>” means a deduction or withholding from a payment under any Finance Document required by or under FATCA;</w:t>
      </w:r>
    </w:p>
    <w:p>
      <w:pPr>
        <w:spacing w:after="0" w:line="129" w:lineRule="exact"/>
        <w:rPr>
          <w:sz w:val="20"/>
          <w:szCs w:val="20"/>
          <w:color w:val="auto"/>
        </w:rPr>
      </w:pPr>
    </w:p>
    <w:p>
      <w:pPr>
        <w:ind w:left="7"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to a Finance Document that is entitled under FATCA to receive payments free from any FATCA Deduction;</w:t>
      </w:r>
    </w:p>
    <w:p>
      <w:pPr>
        <w:spacing w:after="0" w:line="54"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 letter issued or to be issued by the Borrowers to the Facility Agent in which the Borrowers agree to pay certain fees to the Facility Agent in connection with this Agreement;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Master Agreements;</w:t>
      </w:r>
    </w:p>
    <w:p>
      <w:pPr>
        <w:spacing w:after="0" w:line="15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07"/>
          </w:cols>
          <w:pgMar w:left="1153" w:top="270" w:right="339" w:bottom="1440" w:gutter="0" w:footer="0" w:header="0"/>
        </w:sectPr>
      </w:pPr>
    </w:p>
    <w:bookmarkStart w:id="199" w:name="page200"/>
    <w:bookmarkEnd w:id="199"/>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Master Agreement Assignments;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Master Agreement Guarantees;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Agency and Trust Agreement;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Guarantee;</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Shares Pledges;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General Assignments;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Mortgages;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Deeds of Covenant;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Accounts Pledges;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Fee Letter;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Charterparty Assignments;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Approved Manager’s Undertakings;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New Shares Pledge; and</w:t>
      </w:r>
    </w:p>
    <w:p>
      <w:pPr>
        <w:spacing w:after="0" w:line="130" w:lineRule="exact"/>
        <w:rPr>
          <w:rFonts w:ascii="Arial" w:cs="Arial" w:eastAsia="Arial" w:hAnsi="Arial"/>
          <w:sz w:val="18"/>
          <w:szCs w:val="18"/>
          <w:color w:val="auto"/>
        </w:rPr>
      </w:pPr>
    </w:p>
    <w:p>
      <w:pPr>
        <w:ind w:left="787" w:hanging="787"/>
        <w:spacing w:after="0" w:line="312" w:lineRule="auto"/>
        <w:tabs>
          <w:tab w:leader="none" w:pos="78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other document (whether creating a Security Interest or not) which is executed at any time by the Borrowers or any other person as security for, or to establish any form of subordination or priorities arrangement in relation to, any amount payable to the Lenders under this Agreement or any of the documents referred to in this definition and, in the singular, means any of them;</w:t>
      </w:r>
    </w:p>
    <w:p>
      <w:pPr>
        <w:spacing w:after="0" w:line="35" w:lineRule="exact"/>
        <w:rPr>
          <w:sz w:val="20"/>
          <w:szCs w:val="20"/>
          <w:color w:val="auto"/>
        </w:rPr>
      </w:pPr>
    </w:p>
    <w:p>
      <w:pPr>
        <w:ind w:left="7"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in relation to each Advance, the earlier of the date falling on the seventh anniversary of the Drawdown Date of the Advance and by 30 September 2024;</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 person (the “</w:t>
      </w:r>
      <w:r>
        <w:rPr>
          <w:rFonts w:ascii="Arial" w:cs="Arial" w:eastAsia="Arial" w:hAnsi="Arial"/>
          <w:sz w:val="18"/>
          <w:szCs w:val="18"/>
          <w:b w:val="1"/>
          <w:bCs w:val="1"/>
          <w:color w:val="auto"/>
        </w:rPr>
        <w:t>debtor</w:t>
      </w:r>
      <w:r>
        <w:rPr>
          <w:rFonts w:ascii="Arial" w:cs="Arial" w:eastAsia="Arial" w:hAnsi="Arial"/>
          <w:sz w:val="18"/>
          <w:szCs w:val="18"/>
          <w:color w:val="auto"/>
        </w:rPr>
        <w:t>”), any liability of the debtor:</w:t>
      </w:r>
    </w:p>
    <w:p>
      <w:pPr>
        <w:spacing w:after="0" w:line="135" w:lineRule="exact"/>
        <w:rPr>
          <w:sz w:val="20"/>
          <w:szCs w:val="20"/>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for principal, interest or any other sum payable in respect of any moneys borrowed or raised by the debtor;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under any loan stock, bond, note or other security issued by the debtor;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under any acceptance credit, guarantee or letter of credit facility made available to the debtor;</w:t>
      </w:r>
    </w:p>
    <w:p>
      <w:pPr>
        <w:spacing w:after="0" w:line="130" w:lineRule="exact"/>
        <w:rPr>
          <w:rFonts w:ascii="Arial" w:cs="Arial" w:eastAsia="Arial" w:hAnsi="Arial"/>
          <w:sz w:val="18"/>
          <w:szCs w:val="18"/>
          <w:color w:val="auto"/>
        </w:rPr>
      </w:pPr>
    </w:p>
    <w:p>
      <w:pPr>
        <w:ind w:left="787" w:right="280" w:hanging="787"/>
        <w:spacing w:after="0" w:line="277" w:lineRule="auto"/>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under a financial lease, a deferred purchase consideration arrangement or any other agreement having the commercial effect of a borrowing or raising of money by the debtor;</w:t>
      </w:r>
    </w:p>
    <w:p>
      <w:pPr>
        <w:spacing w:after="0" w:line="75" w:lineRule="exact"/>
        <w:rPr>
          <w:rFonts w:ascii="Arial" w:cs="Arial" w:eastAsia="Arial" w:hAnsi="Arial"/>
          <w:sz w:val="18"/>
          <w:szCs w:val="18"/>
          <w:color w:val="auto"/>
        </w:rPr>
      </w:pPr>
    </w:p>
    <w:p>
      <w:pPr>
        <w:ind w:left="787" w:right="80" w:hanging="787"/>
        <w:spacing w:after="0" w:line="342" w:lineRule="auto"/>
        <w:tabs>
          <w:tab w:leader="none" w:pos="78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under any interest or currency swap or any other kind of derivative transaction entered into by the debtor or, if the agreement under which any such transaction is entered into requires netting of mutual liabilities, the liability of the debtor for the net amount;</w:t>
      </w:r>
    </w:p>
    <w:p>
      <w:pPr>
        <w:spacing w:after="0" w:line="29" w:lineRule="exact"/>
        <w:rPr>
          <w:rFonts w:ascii="Arial" w:cs="Arial" w:eastAsia="Arial" w:hAnsi="Arial"/>
          <w:sz w:val="16"/>
          <w:szCs w:val="16"/>
          <w:color w:val="auto"/>
        </w:rPr>
      </w:pPr>
    </w:p>
    <w:p>
      <w:pPr>
        <w:ind w:left="787" w:right="80" w:hanging="787"/>
        <w:spacing w:after="0" w:line="277" w:lineRule="auto"/>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under a guarantee, indemnity or similar obligation entered into by the debtor in respect of a liability of another person which would fall within (a) to (e) if the references to the debtor referred to the other person;</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27"/>
          </w:cols>
          <w:pgMar w:left="1153" w:top="274" w:right="419" w:bottom="1440" w:gutter="0" w:footer="0" w:header="0"/>
        </w:sectPr>
      </w:pPr>
    </w:p>
    <w:bookmarkStart w:id="200" w:name="page201"/>
    <w:bookmarkEnd w:id="200"/>
    <w:p>
      <w:pPr>
        <w:ind w:left="7" w:right="1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General Assignment</w:t>
      </w:r>
      <w:r>
        <w:rPr>
          <w:rFonts w:ascii="Arial" w:cs="Arial" w:eastAsia="Arial" w:hAnsi="Arial"/>
          <w:sz w:val="18"/>
          <w:szCs w:val="18"/>
          <w:color w:val="auto"/>
        </w:rPr>
        <w:t>” means, in relation to a Ship, a general assignment of the Earnings, the Insurances and any Requisition Compensation of such Ship, in the Agreed Form and in the plural means all of them;</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relation to the period from the date of this Agreement until the date of the first Dropdown, the CMTC Group; 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thereafter, the CMTC Group and/or the CPLP Group, and in the plural means both of them,</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member of a Group</w:t>
      </w:r>
      <w:r>
        <w:rPr>
          <w:rFonts w:ascii="Arial" w:cs="Arial" w:eastAsia="Arial" w:hAnsi="Arial"/>
          <w:sz w:val="18"/>
          <w:szCs w:val="18"/>
          <w:color w:val="auto"/>
        </w:rPr>
        <w:t>” shall be construed accordingly;</w:t>
      </w:r>
    </w:p>
    <w:p>
      <w:pPr>
        <w:spacing w:after="0" w:line="117" w:lineRule="exact"/>
        <w:rPr>
          <w:sz w:val="20"/>
          <w:szCs w:val="20"/>
          <w:color w:val="auto"/>
        </w:rPr>
      </w:pPr>
    </w:p>
    <w:p>
      <w:pPr>
        <w:ind w:left="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the guarantee of the obligations of certain Borrowers under this Agreement and the Finance Documents to which each such Borrower is a party to be given by the Guarantor in favour of the Security Trustee in the Agreed Form;</w:t>
      </w:r>
    </w:p>
    <w:p>
      <w:pPr>
        <w:spacing w:after="0" w:line="54" w:lineRule="exact"/>
        <w:rPr>
          <w:sz w:val="20"/>
          <w:szCs w:val="20"/>
          <w:color w:val="auto"/>
        </w:rPr>
      </w:pPr>
    </w:p>
    <w:p>
      <w:pPr>
        <w:ind w:left="7"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Capital Maritime &amp; Trading Corp., a corporation incorporated under the laws of the Republic of the Marshall Islands and having its registered office at Trust Company House, Trust Company Complex, Ajeltake Road, Ajeltake Island, Majuro, MH96960 the Marshall Islands;</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Impaired Agent</w:t>
      </w:r>
      <w:r>
        <w:rPr>
          <w:rFonts w:ascii="Arial" w:cs="Arial" w:eastAsia="Arial" w:hAnsi="Arial"/>
          <w:sz w:val="18"/>
          <w:szCs w:val="18"/>
          <w:color w:val="auto"/>
        </w:rPr>
        <w:t>” means the Facility Agent at any time when:</w:t>
      </w:r>
    </w:p>
    <w:p>
      <w:pPr>
        <w:spacing w:after="0" w:line="135" w:lineRule="exact"/>
        <w:rPr>
          <w:sz w:val="20"/>
          <w:szCs w:val="20"/>
          <w:color w:val="auto"/>
        </w:rPr>
      </w:pPr>
    </w:p>
    <w:p>
      <w:pPr>
        <w:ind w:left="787" w:right="180" w:hanging="787"/>
        <w:spacing w:after="0" w:line="277" w:lineRule="auto"/>
        <w:tabs>
          <w:tab w:leader="none" w:pos="7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it has failed to make (or has notified a party to a Finance Document that it will not make) a payment required to be made by it under the Finance Documents by the due date for payment;</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Facility Agent otherwise rescinds or repudiates a Finance Document;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(if the Facility Agent is also a Lender), it is a Defaulting Lender under paragraph (a) or (b) of the definition of “Defaulting Lender”; or</w:t>
      </w:r>
    </w:p>
    <w:p>
      <w:pPr>
        <w:spacing w:after="0" w:line="153" w:lineRule="exact"/>
        <w:rPr>
          <w:rFonts w:ascii="Arial" w:cs="Arial" w:eastAsia="Arial" w:hAnsi="Arial"/>
          <w:sz w:val="16"/>
          <w:szCs w:val="16"/>
          <w:color w:val="auto"/>
        </w:rPr>
      </w:pPr>
    </w:p>
    <w:p>
      <w:pPr>
        <w:ind w:left="807" w:right="3480" w:hanging="807"/>
        <w:spacing w:after="0" w:line="383" w:lineRule="auto"/>
        <w:tabs>
          <w:tab w:leader="none" w:pos="79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Facility Agent, unless, in the case of paragraph (a) above:</w:t>
      </w:r>
    </w:p>
    <w:p>
      <w:pPr>
        <w:spacing w:after="0" w:line="1" w:lineRule="exact"/>
        <w:rPr>
          <w:rFonts w:ascii="Arial" w:cs="Arial" w:eastAsia="Arial" w:hAnsi="Arial"/>
          <w:sz w:val="18"/>
          <w:szCs w:val="18"/>
          <w:color w:val="auto"/>
        </w:rPr>
      </w:pPr>
    </w:p>
    <w:p>
      <w:pPr>
        <w:ind w:left="1467" w:hanging="670"/>
        <w:spacing w:after="0"/>
        <w:tabs>
          <w:tab w:leader="none" w:pos="146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2287" w:hanging="802"/>
        <w:spacing w:after="0"/>
        <w:tabs>
          <w:tab w:leader="none" w:pos="2287" w:val="left"/>
        </w:tabs>
        <w:numPr>
          <w:ilvl w:val="2"/>
          <w:numId w:val="209"/>
        </w:numPr>
        <w:rPr>
          <w:rFonts w:ascii="Arial" w:cs="Arial" w:eastAsia="Arial" w:hAnsi="Arial"/>
          <w:sz w:val="18"/>
          <w:szCs w:val="18"/>
          <w:color w:val="auto"/>
        </w:rPr>
      </w:pPr>
      <w:r>
        <w:rPr>
          <w:rFonts w:ascii="Arial" w:cs="Arial" w:eastAsia="Arial" w:hAnsi="Arial"/>
          <w:sz w:val="18"/>
          <w:szCs w:val="18"/>
          <w:color w:val="auto"/>
        </w:rPr>
        <w:t>an administrative or technical error; or</w:t>
      </w:r>
    </w:p>
    <w:p>
      <w:pPr>
        <w:spacing w:after="0" w:line="130" w:lineRule="exact"/>
        <w:rPr>
          <w:rFonts w:ascii="Arial" w:cs="Arial" w:eastAsia="Arial" w:hAnsi="Arial"/>
          <w:sz w:val="18"/>
          <w:szCs w:val="18"/>
          <w:color w:val="auto"/>
        </w:rPr>
      </w:pPr>
    </w:p>
    <w:p>
      <w:pPr>
        <w:ind w:left="2287" w:hanging="802"/>
        <w:spacing w:after="0"/>
        <w:tabs>
          <w:tab w:leader="none" w:pos="2287" w:val="left"/>
        </w:tabs>
        <w:numPr>
          <w:ilvl w:val="2"/>
          <w:numId w:val="209"/>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payment is made within 10 Business Days of its due date; or</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Facility Agent is disputing in good faith whether it is contractually obliged to make the payment in question;</w:t>
      </w:r>
    </w:p>
    <w:p>
      <w:pPr>
        <w:spacing w:after="0" w:line="113" w:lineRule="exact"/>
        <w:rPr>
          <w:sz w:val="20"/>
          <w:szCs w:val="20"/>
          <w:color w:val="auto"/>
        </w:rPr>
      </w:pPr>
    </w:p>
    <w:p>
      <w:pPr>
        <w:ind w:left="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Market Value</w:t>
      </w:r>
      <w:r>
        <w:rPr>
          <w:rFonts w:ascii="Arial" w:cs="Arial" w:eastAsia="Arial" w:hAnsi="Arial"/>
          <w:sz w:val="18"/>
          <w:szCs w:val="18"/>
          <w:color w:val="auto"/>
        </w:rPr>
        <w:t>” means, in relation to each Ship, the Market Value thereof determined by taking the average of the valuations of that Ship referred to in paragraph 4 of Schedule 3, Part B;</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in relation to a Creditor Party means that that Creditor Party:</w:t>
      </w:r>
    </w:p>
    <w:p>
      <w:pPr>
        <w:spacing w:after="0" w:line="135" w:lineRule="exact"/>
        <w:rPr>
          <w:sz w:val="20"/>
          <w:szCs w:val="20"/>
          <w:color w:val="auto"/>
        </w:rPr>
      </w:pPr>
    </w:p>
    <w:p>
      <w:pPr>
        <w:ind w:left="4707" w:right="4060" w:hanging="4707"/>
        <w:spacing w:after="0" w:line="449" w:lineRule="auto"/>
        <w:tabs>
          <w:tab w:leader="none" w:pos="79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 11</w:t>
      </w:r>
    </w:p>
    <w:p>
      <w:pPr>
        <w:sectPr>
          <w:pgSz w:w="11900" w:h="16838" w:orient="portrait"/>
          <w:cols w:equalWidth="0" w:num="1">
            <w:col w:w="10487"/>
          </w:cols>
          <w:pgMar w:left="1153" w:top="270" w:right="259" w:bottom="1440" w:gutter="0" w:footer="0" w:header="0"/>
        </w:sectPr>
      </w:pPr>
    </w:p>
    <w:bookmarkStart w:id="201" w:name="page202"/>
    <w:bookmarkEnd w:id="201"/>
    <w:p>
      <w:pPr>
        <w:ind w:left="787" w:right="300" w:hanging="787"/>
        <w:spacing w:after="0" w:line="277" w:lineRule="auto"/>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becomes insolvent or that Creditor Party admits in writing that it is unable to pay its debts or fails or admits in writing its inability generally to pay its debts as they become due;</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130" w:lineRule="exact"/>
        <w:rPr>
          <w:rFonts w:ascii="Arial" w:cs="Arial" w:eastAsia="Arial" w:hAnsi="Arial"/>
          <w:sz w:val="18"/>
          <w:szCs w:val="18"/>
          <w:color w:val="auto"/>
        </w:rPr>
      </w:pPr>
    </w:p>
    <w:p>
      <w:pPr>
        <w:ind w:left="787" w:right="80" w:hanging="787"/>
        <w:spacing w:after="0" w:line="257" w:lineRule="auto"/>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93" w:lineRule="exact"/>
        <w:rPr>
          <w:rFonts w:ascii="Arial" w:cs="Arial" w:eastAsia="Arial" w:hAnsi="Arial"/>
          <w:sz w:val="18"/>
          <w:szCs w:val="18"/>
          <w:color w:val="auto"/>
        </w:rPr>
      </w:pPr>
    </w:p>
    <w:p>
      <w:pPr>
        <w:ind w:left="787" w:right="160" w:hanging="787"/>
        <w:spacing w:after="0" w:line="259" w:lineRule="auto"/>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92" w:lineRule="exact"/>
        <w:rPr>
          <w:rFonts w:ascii="Arial" w:cs="Arial" w:eastAsia="Arial" w:hAnsi="Arial"/>
          <w:sz w:val="18"/>
          <w:szCs w:val="18"/>
          <w:color w:val="auto"/>
        </w:rPr>
      </w:pPr>
    </w:p>
    <w:p>
      <w:pPr>
        <w:ind w:left="1467" w:right="660" w:hanging="670"/>
        <w:spacing w:after="0" w:line="277" w:lineRule="auto"/>
        <w:tabs>
          <w:tab w:leader="none" w:pos="146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75" w:lineRule="exact"/>
        <w:rPr>
          <w:rFonts w:ascii="Arial" w:cs="Arial" w:eastAsia="Arial" w:hAnsi="Arial"/>
          <w:sz w:val="18"/>
          <w:szCs w:val="18"/>
          <w:color w:val="auto"/>
        </w:rPr>
      </w:pPr>
    </w:p>
    <w:p>
      <w:pPr>
        <w:ind w:left="1467" w:hanging="670"/>
        <w:spacing w:after="0"/>
        <w:tabs>
          <w:tab w:leader="none" w:pos="1467" w:val="left"/>
        </w:tabs>
        <w:numPr>
          <w:ilvl w:val="1"/>
          <w:numId w:val="211"/>
        </w:numPr>
        <w:rPr>
          <w:rFonts w:ascii="Arial" w:cs="Arial" w:eastAsia="Arial" w:hAnsi="Arial"/>
          <w:sz w:val="17"/>
          <w:szCs w:val="17"/>
          <w:color w:val="auto"/>
        </w:rPr>
      </w:pPr>
      <w:r>
        <w:rPr>
          <w:rFonts w:ascii="Arial" w:cs="Arial" w:eastAsia="Arial" w:hAnsi="Arial"/>
          <w:sz w:val="17"/>
          <w:szCs w:val="17"/>
          <w:color w:val="auto"/>
        </w:rPr>
        <w:t>is not dismissed, discharged, stayed or restrained in each case within 30 days of the institution or presentation thereof;</w:t>
      </w:r>
    </w:p>
    <w:p>
      <w:pPr>
        <w:spacing w:after="0" w:line="142" w:lineRule="exact"/>
        <w:rPr>
          <w:rFonts w:ascii="Arial" w:cs="Arial" w:eastAsia="Arial" w:hAnsi="Arial"/>
          <w:sz w:val="17"/>
          <w:szCs w:val="17"/>
          <w:color w:val="auto"/>
        </w:rPr>
      </w:pPr>
    </w:p>
    <w:p>
      <w:pPr>
        <w:ind w:left="787" w:right="140" w:hanging="787"/>
        <w:spacing w:after="0" w:line="277" w:lineRule="auto"/>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75" w:lineRule="exact"/>
        <w:rPr>
          <w:rFonts w:ascii="Arial" w:cs="Arial" w:eastAsia="Arial" w:hAnsi="Arial"/>
          <w:sz w:val="18"/>
          <w:szCs w:val="18"/>
          <w:color w:val="auto"/>
        </w:rPr>
      </w:pPr>
    </w:p>
    <w:p>
      <w:pPr>
        <w:ind w:left="787" w:right="20" w:hanging="787"/>
        <w:spacing w:after="0" w:line="312" w:lineRule="auto"/>
        <w:tabs>
          <w:tab w:leader="none" w:pos="78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52" w:lineRule="exact"/>
        <w:rPr>
          <w:rFonts w:ascii="Arial" w:cs="Arial" w:eastAsia="Arial" w:hAnsi="Arial"/>
          <w:sz w:val="16"/>
          <w:szCs w:val="16"/>
          <w:color w:val="auto"/>
        </w:rPr>
      </w:pPr>
    </w:p>
    <w:p>
      <w:pPr>
        <w:ind w:left="787" w:right="140" w:hanging="787"/>
        <w:spacing w:after="0" w:line="286" w:lineRule="auto"/>
        <w:tabs>
          <w:tab w:leader="none" w:pos="78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70" w:lineRule="exact"/>
        <w:rPr>
          <w:rFonts w:ascii="Arial" w:cs="Arial" w:eastAsia="Arial" w:hAnsi="Arial"/>
          <w:sz w:val="17"/>
          <w:szCs w:val="17"/>
          <w:color w:val="auto"/>
        </w:rPr>
      </w:pPr>
    </w:p>
    <w:p>
      <w:pPr>
        <w:ind w:left="787" w:right="60" w:hanging="787"/>
        <w:spacing w:after="0" w:line="277" w:lineRule="auto"/>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in relation to a Ship:</w:t>
      </w:r>
    </w:p>
    <w:p>
      <w:pPr>
        <w:spacing w:after="0" w:line="135" w:lineRule="exact"/>
        <w:rPr>
          <w:sz w:val="20"/>
          <w:szCs w:val="20"/>
          <w:color w:val="auto"/>
        </w:rPr>
      </w:pPr>
    </w:p>
    <w:p>
      <w:pPr>
        <w:ind w:left="787" w:right="380" w:hanging="787"/>
        <w:spacing w:after="0" w:line="277" w:lineRule="auto"/>
        <w:tabs>
          <w:tab w:leader="none" w:pos="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policies and contracts of insurance or reinsurance, including entries of such Ship in any protection and indemnity or war risks association, which are effected in respect of such Ship, her Earnings or otherwise in relation to her; and</w:t>
      </w:r>
    </w:p>
    <w:p>
      <w:pPr>
        <w:spacing w:after="0" w:line="75" w:lineRule="exact"/>
        <w:rPr>
          <w:rFonts w:ascii="Arial" w:cs="Arial" w:eastAsia="Arial" w:hAnsi="Arial"/>
          <w:sz w:val="18"/>
          <w:szCs w:val="18"/>
          <w:color w:val="auto"/>
        </w:rPr>
      </w:pPr>
    </w:p>
    <w:p>
      <w:pPr>
        <w:ind w:left="787" w:hanging="787"/>
        <w:spacing w:after="0" w:line="277" w:lineRule="auto"/>
        <w:tabs>
          <w:tab w:leader="none" w:pos="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rights and other assets relating to, or derived from, any of the foregoing, including any rights to a return of a premium or under any cut-through clause;</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47"/>
          </w:cols>
          <w:pgMar w:left="1153" w:top="274" w:right="299" w:bottom="1440" w:gutter="0" w:footer="0" w:header="0"/>
        </w:sectPr>
      </w:pPr>
    </w:p>
    <w:bookmarkStart w:id="202" w:name="page203"/>
    <w:bookmarkEnd w:id="202"/>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Instalments</w:t>
      </w:r>
      <w:r>
        <w:rPr>
          <w:rFonts w:ascii="Arial" w:cs="Arial" w:eastAsia="Arial" w:hAnsi="Arial"/>
          <w:sz w:val="18"/>
          <w:szCs w:val="18"/>
          <w:color w:val="auto"/>
        </w:rPr>
        <w:t>” has the meaning given in Clause 8.1(a);</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period determined in accordance with Clause 6;</w:t>
      </w:r>
    </w:p>
    <w:p>
      <w:pPr>
        <w:spacing w:after="0" w:line="117" w:lineRule="exact"/>
        <w:rPr>
          <w:sz w:val="20"/>
          <w:szCs w:val="20"/>
          <w:color w:val="auto"/>
        </w:rPr>
      </w:pPr>
    </w:p>
    <w:p>
      <w:pPr>
        <w:ind w:left="7" w:right="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Intermediate Shareholder</w:t>
      </w:r>
      <w:r>
        <w:rPr>
          <w:rFonts w:ascii="Arial" w:cs="Arial" w:eastAsia="Arial" w:hAnsi="Arial"/>
          <w:sz w:val="17"/>
          <w:szCs w:val="17"/>
          <w:color w:val="auto"/>
        </w:rPr>
        <w:t>” means Capital Product Operating LLC, a limited liability company formed in the Republic of the Marshall Islands whose registered office is at Trust Company Complex Ajeltake Road, Ajeltake Island, Majuro MH 96960, the Marshall Islands;</w:t>
      </w:r>
    </w:p>
    <w:p>
      <w:pPr>
        <w:spacing w:after="0" w:line="30" w:lineRule="exact"/>
        <w:rPr>
          <w:sz w:val="20"/>
          <w:szCs w:val="20"/>
          <w:color w:val="auto"/>
        </w:rPr>
      </w:pPr>
    </w:p>
    <w:p>
      <w:pPr>
        <w:ind w:left="7"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LIBOR for an Interest Period, the rate (rounded to the same number of decimal places as the two relevant Screen Rates) which results from interpolating on a linear basis between:</w:t>
      </w:r>
    </w:p>
    <w:p>
      <w:pPr>
        <w:spacing w:after="0" w:line="71" w:lineRule="exact"/>
        <w:rPr>
          <w:sz w:val="20"/>
          <w:szCs w:val="20"/>
          <w:color w:val="auto"/>
        </w:rPr>
      </w:pPr>
    </w:p>
    <w:p>
      <w:pPr>
        <w:ind w:left="787" w:hanging="787"/>
        <w:spacing w:after="0"/>
        <w:tabs>
          <w:tab w:leader="none" w:pos="78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applicable Screen Rate for the longest period (for which that Screen Rate is available) which is less than that Interest Period; and</w:t>
      </w:r>
    </w:p>
    <w:p>
      <w:pPr>
        <w:spacing w:after="0" w:line="153" w:lineRule="exact"/>
        <w:rPr>
          <w:rFonts w:ascii="Arial" w:cs="Arial" w:eastAsia="Arial" w:hAnsi="Arial"/>
          <w:sz w:val="16"/>
          <w:szCs w:val="16"/>
          <w:color w:val="auto"/>
        </w:rPr>
      </w:pPr>
    </w:p>
    <w:p>
      <w:pPr>
        <w:ind w:left="787" w:hanging="787"/>
        <w:spacing w:after="0"/>
        <w:tabs>
          <w:tab w:leader="none" w:pos="78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applicable Screen Rate for the shortest period (for which that Screen Rate is available) which exceeds that Interest Period,</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8"/>
          <w:szCs w:val="18"/>
          <w:color w:val="auto"/>
        </w:rPr>
        <w:t>each as of 11.00 a.m. (London time) on the Quotation Day for the currency of the Loan;</w:t>
      </w:r>
    </w:p>
    <w:p>
      <w:pPr>
        <w:spacing w:after="0" w:line="113" w:lineRule="exact"/>
        <w:rPr>
          <w:sz w:val="20"/>
          <w:szCs w:val="20"/>
          <w:color w:val="auto"/>
        </w:rPr>
      </w:pPr>
    </w:p>
    <w:p>
      <w:pPr>
        <w:ind w:left="7" w:right="1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ISM Code</w:t>
      </w:r>
      <w:r>
        <w:rPr>
          <w:rFonts w:ascii="Arial" w:cs="Arial" w:eastAsia="Arial" w:hAnsi="Arial"/>
          <w:sz w:val="16"/>
          <w:szCs w:val="16"/>
          <w:color w:val="auto"/>
        </w:rPr>
        <w:t>” means the International Safety Management Code (including the guidelines on its implementation), adopted by the International Maritime Organisation as the same may be amended or supplemented from time to time (and the terms “</w:t>
      </w:r>
      <w:r>
        <w:rPr>
          <w:rFonts w:ascii="Arial" w:cs="Arial" w:eastAsia="Arial" w:hAnsi="Arial"/>
          <w:sz w:val="16"/>
          <w:szCs w:val="16"/>
          <w:b w:val="1"/>
          <w:bCs w:val="1"/>
          <w:color w:val="auto"/>
        </w:rPr>
        <w:t>safety management system</w:t>
      </w:r>
      <w:r>
        <w:rPr>
          <w:rFonts w:ascii="Arial" w:cs="Arial" w:eastAsia="Arial" w:hAnsi="Arial"/>
          <w:sz w:val="16"/>
          <w:szCs w:val="16"/>
          <w:color w:val="auto"/>
        </w:rPr>
        <w:t>”, “</w:t>
      </w:r>
      <w:r>
        <w:rPr>
          <w:rFonts w:ascii="Arial" w:cs="Arial" w:eastAsia="Arial" w:hAnsi="Arial"/>
          <w:sz w:val="16"/>
          <w:szCs w:val="16"/>
          <w:b w:val="1"/>
          <w:bCs w:val="1"/>
          <w:color w:val="auto"/>
        </w:rPr>
        <w:t>Safety</w:t>
      </w:r>
      <w:r>
        <w:rPr>
          <w:rFonts w:ascii="Arial" w:cs="Arial" w:eastAsia="Arial" w:hAnsi="Arial"/>
          <w:sz w:val="16"/>
          <w:szCs w:val="16"/>
          <w:color w:val="auto"/>
        </w:rPr>
        <w:t xml:space="preserve"> </w:t>
      </w:r>
      <w:r>
        <w:rPr>
          <w:rFonts w:ascii="Arial" w:cs="Arial" w:eastAsia="Arial" w:hAnsi="Arial"/>
          <w:sz w:val="16"/>
          <w:szCs w:val="16"/>
          <w:b w:val="1"/>
          <w:bCs w:val="1"/>
          <w:color w:val="auto"/>
        </w:rPr>
        <w:t>Management Certificate</w:t>
      </w:r>
      <w:r>
        <w:rPr>
          <w:rFonts w:ascii="Arial" w:cs="Arial" w:eastAsia="Arial" w:hAnsi="Arial"/>
          <w:sz w:val="16"/>
          <w:szCs w:val="16"/>
          <w:color w:val="auto"/>
        </w:rPr>
        <w:t>” and “</w:t>
      </w:r>
      <w:r>
        <w:rPr>
          <w:rFonts w:ascii="Arial" w:cs="Arial" w:eastAsia="Arial" w:hAnsi="Arial"/>
          <w:sz w:val="16"/>
          <w:szCs w:val="16"/>
          <w:b w:val="1"/>
          <w:bCs w:val="1"/>
          <w:color w:val="auto"/>
        </w:rPr>
        <w:t>Document of Compliance</w:t>
      </w:r>
      <w:r>
        <w:rPr>
          <w:rFonts w:ascii="Arial" w:cs="Arial" w:eastAsia="Arial" w:hAnsi="Arial"/>
          <w:sz w:val="16"/>
          <w:szCs w:val="16"/>
          <w:color w:val="auto"/>
        </w:rPr>
        <w:t>” have the same meanings as are given to them in the ISM Code);</w:t>
      </w:r>
    </w:p>
    <w:p>
      <w:pPr>
        <w:spacing w:after="0" w:line="34" w:lineRule="exact"/>
        <w:rPr>
          <w:sz w:val="20"/>
          <w:szCs w:val="20"/>
          <w:color w:val="auto"/>
        </w:rPr>
      </w:pPr>
    </w:p>
    <w:p>
      <w:pPr>
        <w:ind w:left="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ISPS Code</w:t>
      </w:r>
      <w:r>
        <w:rPr>
          <w:rFonts w:ascii="Arial" w:cs="Arial" w:eastAsia="Arial" w:hAnsi="Arial"/>
          <w:sz w:val="18"/>
          <w:szCs w:val="18"/>
          <w:color w:val="auto"/>
        </w:rPr>
        <w:t>” means the International Ship and Port Facility Security Code as adopted by the International Maritime Organisation, as the same may be amended or supplemented from time to time;</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ISSC</w:t>
      </w:r>
      <w:r>
        <w:rPr>
          <w:rFonts w:ascii="Arial" w:cs="Arial" w:eastAsia="Arial" w:hAnsi="Arial"/>
          <w:sz w:val="18"/>
          <w:szCs w:val="18"/>
          <w:color w:val="auto"/>
        </w:rPr>
        <w:t>” means a valid and current International Ship Security Certificate issued under the ISPS Code;</w:t>
      </w:r>
    </w:p>
    <w:p>
      <w:pPr>
        <w:spacing w:after="0" w:line="117"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subject to Clause 26.6, a bank or financial institution listed in Schedule 1 and acting through its branch indicated in Schedule 1 (or through another branch notified to the Borrowers under Clause 26.14) or its transferee, successor or assign;</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 Interest Period:</w:t>
      </w:r>
    </w:p>
    <w:p>
      <w:pPr>
        <w:spacing w:after="0" w:line="135" w:lineRule="exact"/>
        <w:rPr>
          <w:sz w:val="20"/>
          <w:szCs w:val="20"/>
          <w:color w:val="auto"/>
        </w:rPr>
      </w:pPr>
    </w:p>
    <w:p>
      <w:pPr>
        <w:ind w:left="787" w:hanging="787"/>
        <w:spacing w:after="0"/>
        <w:tabs>
          <w:tab w:leader="none" w:pos="78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applicable Screen Rate;</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no Screen Rate is available for that Interest Period) the Interpolated Screen Rate; 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no Screen Rate is available for the currency of the Loan; or</w:t>
      </w:r>
    </w:p>
    <w:p>
      <w:pPr>
        <w:spacing w:after="0" w:line="130" w:lineRule="exact"/>
        <w:rPr>
          <w:rFonts w:ascii="Arial" w:cs="Arial" w:eastAsia="Arial" w:hAnsi="Arial"/>
          <w:sz w:val="18"/>
          <w:szCs w:val="18"/>
          <w:color w:val="auto"/>
        </w:rPr>
      </w:pPr>
    </w:p>
    <w:p>
      <w:pPr>
        <w:ind w:left="807" w:right="880" w:hanging="10"/>
        <w:spacing w:after="0" w:line="375" w:lineRule="auto"/>
        <w:tabs>
          <w:tab w:leader="none" w:pos="147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no Screen Rate is available for that Interest Period and it is not possible to calculate an Interpolated Screen Rate, the Reference Bank Rate,</w:t>
      </w:r>
    </w:p>
    <w:p>
      <w:pPr>
        <w:spacing w:after="0" w:line="1" w:lineRule="exact"/>
        <w:rPr>
          <w:sz w:val="20"/>
          <w:szCs w:val="20"/>
          <w:color w:val="auto"/>
        </w:rPr>
      </w:pPr>
    </w:p>
    <w:p>
      <w:pPr>
        <w:ind w:left="7" w:right="160"/>
        <w:spacing w:after="0" w:line="277" w:lineRule="auto"/>
        <w:rPr>
          <w:sz w:val="20"/>
          <w:szCs w:val="20"/>
          <w:color w:val="auto"/>
        </w:rPr>
      </w:pPr>
      <w:r>
        <w:rPr>
          <w:rFonts w:ascii="Arial" w:cs="Arial" w:eastAsia="Arial" w:hAnsi="Arial"/>
          <w:sz w:val="18"/>
          <w:szCs w:val="18"/>
          <w:color w:val="auto"/>
        </w:rPr>
        <w:t>as of, in the case of paragraphs (a) and (c) above, 11.00 a.m. (London time) on the Quotation Day for the currency of the Loan and for a period equal in length to that Interest Period and, if any such rate is below zero, LIBOR will be deemed to be zero;</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principal amount for the time being outstanding under this Agreement;</w:t>
      </w:r>
    </w:p>
    <w:p>
      <w:pPr>
        <w:spacing w:after="0" w:line="162"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47"/>
          </w:cols>
          <w:pgMar w:left="1153" w:top="270" w:right="299" w:bottom="1440" w:gutter="0" w:footer="0" w:header="0"/>
        </w:sectPr>
      </w:pPr>
    </w:p>
    <w:bookmarkStart w:id="203" w:name="page204"/>
    <w:bookmarkEnd w:id="203"/>
    <w:p>
      <w:pPr>
        <w:ind w:left="7" w:right="22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Major Casualty</w:t>
      </w:r>
      <w:r>
        <w:rPr>
          <w:rFonts w:ascii="Arial" w:cs="Arial" w:eastAsia="Arial" w:hAnsi="Arial"/>
          <w:sz w:val="16"/>
          <w:szCs w:val="16"/>
          <w:color w:val="auto"/>
        </w:rPr>
        <w:t>” means, in relation to a Ship, any casualty to the Ship in respect of which the claim or the aggregate of the claims against all insurers, before adjustment for any relevant franchise or deductible, exceeds $1,000,000 or the equivalent in any other currency;</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135" w:lineRule="exact"/>
        <w:rPr>
          <w:sz w:val="20"/>
          <w:szCs w:val="20"/>
          <w:color w:val="auto"/>
        </w:rPr>
      </w:pPr>
    </w:p>
    <w:p>
      <w:pPr>
        <w:ind w:left="787" w:right="980" w:hanging="787"/>
        <w:spacing w:after="0" w:line="277" w:lineRule="auto"/>
        <w:tabs>
          <w:tab w:leader="none" w:pos="78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at any time when no Advances are outstanding, Lenders whose Commitments exceed in total 66 2/3 per cent. of the Total Commitments; and</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at any other time, Lenders whose Contributions exceed in total 66 2/3 per cent. of the Loan;</w:t>
      </w:r>
    </w:p>
    <w:p>
      <w:pPr>
        <w:spacing w:after="0" w:line="113" w:lineRule="exact"/>
        <w:rPr>
          <w:sz w:val="20"/>
          <w:szCs w:val="20"/>
          <w:color w:val="auto"/>
        </w:rPr>
      </w:pPr>
    </w:p>
    <w:p>
      <w:pPr>
        <w:ind w:left="7" w:right="20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Agreement</w:t>
      </w:r>
      <w:r>
        <w:rPr>
          <w:rFonts w:ascii="Arial" w:cs="Arial" w:eastAsia="Arial" w:hAnsi="Arial"/>
          <w:sz w:val="16"/>
          <w:szCs w:val="16"/>
          <w:color w:val="auto"/>
        </w:rPr>
        <w:t>” means, in relation to each Ship, an agreement made or to be made between (i) the Borrower which is the owner of that Ship, or, in the case of a Ship owned by an Affected Borrower, the Substitute Guarantor and (ii) the Approved Manager in respect of the commercial and technical management of that Ship to be in form and substance in all respects reasonably acceptable to the Lenders (it being agreed that the form and substance of the management agreement which has been entered into by the Substitute Guarantor as at the date of this Agreement and to which further Ships may become subject is deemed to be acceptable) and, in the plural, means all of them;</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2.85 per cent. per annum;</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Value</w:t>
      </w:r>
      <w:r>
        <w:rPr>
          <w:rFonts w:ascii="Arial" w:cs="Arial" w:eastAsia="Arial" w:hAnsi="Arial"/>
          <w:sz w:val="17"/>
          <w:szCs w:val="17"/>
          <w:color w:val="auto"/>
        </w:rPr>
        <w:t>” means, in respect of each Ship, the market value thereof determined from time to time in accordance with Clause 15.4;</w:t>
      </w:r>
    </w:p>
    <w:p>
      <w:pPr>
        <w:spacing w:after="0" w:line="129"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any master agreement (on the 1992 or, as the case may be, 2002 ISDA (Multicurrency - Crossborder) form) made between each Borrower and the Swap Bank and includes all Designated Transactions from time to time entered into and Confirmations from time to time exchanged under that master agreement and, in the plural, means all of them;</w:t>
      </w:r>
    </w:p>
    <w:p>
      <w:pPr>
        <w:spacing w:after="0" w:line="68" w:lineRule="exact"/>
        <w:rPr>
          <w:sz w:val="20"/>
          <w:szCs w:val="20"/>
          <w:color w:val="auto"/>
        </w:rPr>
      </w:pPr>
    </w:p>
    <w:p>
      <w:pPr>
        <w:ind w:left="7"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Assignment</w:t>
      </w:r>
      <w:r>
        <w:rPr>
          <w:rFonts w:ascii="Arial" w:cs="Arial" w:eastAsia="Arial" w:hAnsi="Arial"/>
          <w:sz w:val="18"/>
          <w:szCs w:val="18"/>
          <w:color w:val="auto"/>
        </w:rPr>
        <w:t>” means, in relation to a Master Agreement, the assignment of that Master Agreement in favour of the Security Trustee executed or to be executed by the Borrower which is a party to that Master Agreement, in the Agreed Form and, in the plural, means all of them;</w:t>
      </w:r>
    </w:p>
    <w:p>
      <w:pPr>
        <w:spacing w:after="0" w:line="68" w:lineRule="exact"/>
        <w:rPr>
          <w:sz w:val="20"/>
          <w:szCs w:val="20"/>
          <w:color w:val="auto"/>
        </w:rPr>
      </w:pPr>
    </w:p>
    <w:p>
      <w:pPr>
        <w:ind w:left="7"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Guarantee</w:t>
      </w:r>
      <w:r>
        <w:rPr>
          <w:rFonts w:ascii="Arial" w:cs="Arial" w:eastAsia="Arial" w:hAnsi="Arial"/>
          <w:sz w:val="18"/>
          <w:szCs w:val="18"/>
          <w:color w:val="auto"/>
        </w:rPr>
        <w:t>” means a guarantee to be given by each Borrower in favour of the Security Trustee, guaranteeing the obligations of the other Borrower (which is a member of the same Group as the Borrower executing the Master Agreement Guarantee) under the Master Agreement to which that Borrower is a party in the Agreed Form and, in the plural, means all of them;</w:t>
      </w:r>
    </w:p>
    <w:p>
      <w:pPr>
        <w:spacing w:after="0" w:line="68" w:lineRule="exact"/>
        <w:rPr>
          <w:sz w:val="20"/>
          <w:szCs w:val="20"/>
          <w:color w:val="auto"/>
        </w:rPr>
      </w:pPr>
    </w:p>
    <w:p>
      <w:pPr>
        <w:ind w:left="7"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Prepayment Proceeds</w:t>
      </w:r>
      <w:r>
        <w:rPr>
          <w:rFonts w:ascii="Arial" w:cs="Arial" w:eastAsia="Arial" w:hAnsi="Arial"/>
          <w:sz w:val="18"/>
          <w:szCs w:val="18"/>
          <w:color w:val="auto"/>
        </w:rPr>
        <w:t>” means any amount payable to a Borrower as a result of termination or closing out under a Master Agreement.</w:t>
      </w:r>
    </w:p>
    <w:p>
      <w:pPr>
        <w:spacing w:after="0" w:line="54" w:lineRule="exact"/>
        <w:rPr>
          <w:sz w:val="20"/>
          <w:szCs w:val="20"/>
          <w:color w:val="auto"/>
        </w:rPr>
      </w:pPr>
    </w:p>
    <w:p>
      <w:pPr>
        <w:ind w:left="7"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event or series of events which, in the reasonable opinion of the Majority Lenders, is likely to have a Material Adverse Effect;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w:t>
      </w:r>
    </w:p>
    <w:p>
      <w:pPr>
        <w:spacing w:after="0" w:line="135" w:lineRule="exact"/>
        <w:rPr>
          <w:sz w:val="20"/>
          <w:szCs w:val="20"/>
          <w:color w:val="auto"/>
        </w:rPr>
      </w:pPr>
    </w:p>
    <w:p>
      <w:pPr>
        <w:ind w:left="787" w:right="20" w:hanging="787"/>
        <w:spacing w:after="0" w:line="277" w:lineRule="auto"/>
        <w:tabs>
          <w:tab w:leader="none" w:pos="78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business, property, assets, liabilities, operations or condition (financial or otherwise) of a Borrower and/or any Security Party taken as a whole;</w:t>
      </w:r>
    </w:p>
    <w:p>
      <w:pPr>
        <w:spacing w:after="0" w:line="75" w:lineRule="exact"/>
        <w:rPr>
          <w:rFonts w:ascii="Arial" w:cs="Arial" w:eastAsia="Arial" w:hAnsi="Arial"/>
          <w:sz w:val="18"/>
          <w:szCs w:val="18"/>
          <w:color w:val="auto"/>
        </w:rPr>
      </w:pPr>
    </w:p>
    <w:p>
      <w:pPr>
        <w:ind w:left="787" w:right="40" w:hanging="787"/>
        <w:spacing w:after="0" w:line="277" w:lineRule="auto"/>
        <w:tabs>
          <w:tab w:leader="none" w:pos="78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ability of a Borrower and/or any Security Party to (i) perform any of its obligations or (ii) discharge any of its liabilities, under any Finance Document as they fall due; or</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7"/>
          </w:cols>
          <w:pgMar w:left="1153" w:top="270" w:right="239" w:bottom="1440" w:gutter="0" w:footer="0" w:header="0"/>
        </w:sectPr>
      </w:pPr>
    </w:p>
    <w:bookmarkStart w:id="204" w:name="page205"/>
    <w:bookmarkEnd w:id="204"/>
    <w:p>
      <w:pPr>
        <w:ind w:left="787" w:hanging="787"/>
        <w:spacing w:after="0"/>
        <w:tabs>
          <w:tab w:leader="none" w:pos="7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validity or enforceability of any Finance Document;</w:t>
      </w:r>
    </w:p>
    <w:p>
      <w:pPr>
        <w:spacing w:after="0" w:line="113" w:lineRule="exact"/>
        <w:rPr>
          <w:sz w:val="20"/>
          <w:szCs w:val="20"/>
          <w:color w:val="auto"/>
        </w:rPr>
      </w:pPr>
    </w:p>
    <w:p>
      <w:pPr>
        <w:ind w:left="7"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Working Capital Account</w:t>
      </w:r>
      <w:r>
        <w:rPr>
          <w:rFonts w:ascii="Arial" w:cs="Arial" w:eastAsia="Arial" w:hAnsi="Arial"/>
          <w:sz w:val="18"/>
          <w:szCs w:val="18"/>
          <w:color w:val="auto"/>
        </w:rPr>
        <w:t>” means, with respect to a Borrower, an account in the name of that Borrower with the Account Bank which is designated by the Facility Agent in writing as the Minimum Working Capital Account with respect to that Borrower for the purposes of this Agreement and in the plural means both of them;</w:t>
      </w:r>
    </w:p>
    <w:p>
      <w:pPr>
        <w:spacing w:after="0" w:line="68" w:lineRule="exact"/>
        <w:rPr>
          <w:sz w:val="20"/>
          <w:szCs w:val="20"/>
          <w:color w:val="auto"/>
        </w:rPr>
      </w:pPr>
    </w:p>
    <w:p>
      <w:pPr>
        <w:ind w:left="7" w:right="6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in relation to a Ship, the first preferred or, as the case may be, priority ship mortgage on that Ship under the relevant Approved Flag executed by the Borrower which is the owner of that Ship in favour of the Security Trustee, in the Agreed Form;</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Period</w:t>
      </w:r>
      <w:r>
        <w:rPr>
          <w:rFonts w:ascii="Arial" w:cs="Arial" w:eastAsia="Arial" w:hAnsi="Arial"/>
          <w:sz w:val="18"/>
          <w:szCs w:val="18"/>
          <w:color w:val="auto"/>
        </w:rPr>
        <w:t>” has the meaning given in Clause 5.9;</w:t>
      </w:r>
    </w:p>
    <w:p>
      <w:pPr>
        <w:spacing w:after="0" w:line="117" w:lineRule="exact"/>
        <w:rPr>
          <w:sz w:val="20"/>
          <w:szCs w:val="20"/>
          <w:color w:val="auto"/>
        </w:rPr>
      </w:pPr>
    </w:p>
    <w:p>
      <w:pPr>
        <w:ind w:left="7"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 Pledge</w:t>
      </w:r>
      <w:r>
        <w:rPr>
          <w:rFonts w:ascii="Arial" w:cs="Arial" w:eastAsia="Arial" w:hAnsi="Arial"/>
          <w:sz w:val="18"/>
          <w:szCs w:val="18"/>
          <w:color w:val="auto"/>
        </w:rPr>
        <w:t>” means, in relation to an Affected Borrower, a pledge agreement executed by the Intermediate Shareholder in favour of the Security Trustee each creating a Security Interest over the share capital of that Borrower in substantially the same form as the Shares Pledge (with logical modifications) and in the plural means all of them;</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Notifying Lender</w:t>
      </w:r>
      <w:r>
        <w:rPr>
          <w:rFonts w:ascii="Arial" w:cs="Arial" w:eastAsia="Arial" w:hAnsi="Arial"/>
          <w:sz w:val="18"/>
          <w:szCs w:val="18"/>
          <w:color w:val="auto"/>
        </w:rPr>
        <w:t>” has the meaning given in Clause 23.1 or Clause 24.1 as the context requires;</w:t>
      </w:r>
    </w:p>
    <w:p>
      <w:pPr>
        <w:spacing w:after="0" w:line="117" w:lineRule="exact"/>
        <w:rPr>
          <w:sz w:val="20"/>
          <w:szCs w:val="20"/>
          <w:color w:val="auto"/>
        </w:rPr>
      </w:pPr>
    </w:p>
    <w:p>
      <w:pPr>
        <w:ind w:left="7"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Account</w:t>
      </w:r>
      <w:r>
        <w:rPr>
          <w:rFonts w:ascii="Arial" w:cs="Arial" w:eastAsia="Arial" w:hAnsi="Arial"/>
          <w:sz w:val="18"/>
          <w:szCs w:val="18"/>
          <w:color w:val="auto"/>
        </w:rPr>
        <w:t>” means, with respect to a Borrower, an account in the name of that Borrower with the Account Bank which is designated by the Facility Agent in writing as the Operating Account with respect to that Borrower for the purposes of this Agreement and in the plural means both of them;</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has the meaning given in Clause 4.9;</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Currency</w:t>
      </w:r>
      <w:r>
        <w:rPr>
          <w:rFonts w:ascii="Arial" w:cs="Arial" w:eastAsia="Arial" w:hAnsi="Arial"/>
          <w:sz w:val="18"/>
          <w:szCs w:val="18"/>
          <w:color w:val="auto"/>
        </w:rPr>
        <w:t>” has the meaning given in Clause 21.6;</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 Interests</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Security Interests created by the Finance Documents;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for unpaid crew’s wages in accordance with usual maritime practice;</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for salvage;</w:t>
      </w:r>
    </w:p>
    <w:p>
      <w:pPr>
        <w:spacing w:after="0" w:line="130" w:lineRule="exact"/>
        <w:rPr>
          <w:rFonts w:ascii="Arial" w:cs="Arial" w:eastAsia="Arial" w:hAnsi="Arial"/>
          <w:sz w:val="18"/>
          <w:szCs w:val="18"/>
          <w:color w:val="auto"/>
        </w:rPr>
      </w:pPr>
    </w:p>
    <w:p>
      <w:pPr>
        <w:ind w:left="787" w:right="20" w:hanging="787"/>
        <w:spacing w:after="0" w:line="277" w:lineRule="auto"/>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arising by operation of law for not more than 2 months’ prepaid hire under any charter in relation to a Ship not prohibited by this Agreement;</w:t>
      </w:r>
    </w:p>
    <w:p>
      <w:pPr>
        <w:spacing w:after="0" w:line="75" w:lineRule="exact"/>
        <w:rPr>
          <w:rFonts w:ascii="Arial" w:cs="Arial" w:eastAsia="Arial" w:hAnsi="Arial"/>
          <w:sz w:val="18"/>
          <w:szCs w:val="18"/>
          <w:color w:val="auto"/>
        </w:rPr>
      </w:pPr>
    </w:p>
    <w:p>
      <w:pPr>
        <w:jc w:val="both"/>
        <w:ind w:left="787" w:right="20" w:hanging="787"/>
        <w:spacing w:after="0" w:line="259" w:lineRule="auto"/>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trading and any other lien arising by operation of law or otherwise in the ordinary course of the operation, repair or maintenance of a Ship, provided such liens do not secure amounts more than 45 days overdue (unless the overdue amount is being contested by the relevant Borrower in good faith by appropriate steps) and subject, in the case of liens for repair or maintenance, to Clause 14.13(e);</w:t>
      </w:r>
    </w:p>
    <w:p>
      <w:pPr>
        <w:spacing w:after="0" w:line="92" w:lineRule="exact"/>
        <w:rPr>
          <w:rFonts w:ascii="Arial" w:cs="Arial" w:eastAsia="Arial" w:hAnsi="Arial"/>
          <w:sz w:val="18"/>
          <w:szCs w:val="18"/>
          <w:color w:val="auto"/>
        </w:rPr>
      </w:pPr>
    </w:p>
    <w:p>
      <w:pPr>
        <w:jc w:val="both"/>
        <w:ind w:left="787" w:right="380" w:hanging="787"/>
        <w:spacing w:after="0" w:line="264" w:lineRule="auto"/>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Security Interest created in favour of a plaintiff or defendant in any action of the court or tribunal before whom such action is brought as security for costs and expenses where a Borrower is prosecuting or defending such action in good faith by appropriate steps; and</w:t>
      </w:r>
    </w:p>
    <w:p>
      <w:pPr>
        <w:spacing w:after="0" w:line="86" w:lineRule="exact"/>
        <w:rPr>
          <w:rFonts w:ascii="Arial" w:cs="Arial" w:eastAsia="Arial" w:hAnsi="Arial"/>
          <w:sz w:val="18"/>
          <w:szCs w:val="18"/>
          <w:color w:val="auto"/>
        </w:rPr>
      </w:pPr>
    </w:p>
    <w:p>
      <w:pPr>
        <w:ind w:left="787" w:hanging="787"/>
        <w:spacing w:after="0" w:line="277" w:lineRule="auto"/>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Security Interests arising by operation of law in respect of taxes which are not overdue for payment other than taxes being contested in good faith by appropriate steps and in respect of which appropriate reserves have been made;</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87"/>
          </w:cols>
          <w:pgMar w:left="1153" w:top="274" w:right="259" w:bottom="1440" w:gutter="0" w:footer="0" w:header="0"/>
        </w:sectPr>
      </w:pPr>
    </w:p>
    <w:bookmarkStart w:id="205" w:name="page206"/>
    <w:bookmarkEnd w:id="205"/>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Pertinent Document</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Finance Document;</w:t>
      </w:r>
    </w:p>
    <w:p>
      <w:pPr>
        <w:spacing w:after="0" w:line="130" w:lineRule="exact"/>
        <w:rPr>
          <w:rFonts w:ascii="Arial" w:cs="Arial" w:eastAsia="Arial" w:hAnsi="Arial"/>
          <w:sz w:val="18"/>
          <w:szCs w:val="18"/>
          <w:color w:val="auto"/>
        </w:rPr>
      </w:pPr>
    </w:p>
    <w:p>
      <w:pPr>
        <w:ind w:left="787" w:right="260" w:hanging="787"/>
        <w:spacing w:after="0" w:line="277" w:lineRule="auto"/>
        <w:tabs>
          <w:tab w:leader="none" w:pos="7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policy or contract of insurance contemplated by or referred to in Clause 13 or any other provision of this Agreement or another Finance Document;</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other document contemplated by or referred to in any Finance Document; and</w:t>
      </w:r>
    </w:p>
    <w:p>
      <w:pPr>
        <w:spacing w:after="0" w:line="130" w:lineRule="exact"/>
        <w:rPr>
          <w:rFonts w:ascii="Arial" w:cs="Arial" w:eastAsia="Arial" w:hAnsi="Arial"/>
          <w:sz w:val="18"/>
          <w:szCs w:val="18"/>
          <w:color w:val="auto"/>
        </w:rPr>
      </w:pPr>
    </w:p>
    <w:p>
      <w:pPr>
        <w:ind w:left="787" w:right="160" w:hanging="787"/>
        <w:spacing w:after="0" w:line="277" w:lineRule="auto"/>
        <w:tabs>
          <w:tab w:leader="none" w:pos="7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document which has been or is at any time sent by or to a Servicing Bank in contemplation of or in connection with any Finance Document or any policy, contract or document falling within paragraphs (b) or (c);</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Jurisdiction</w:t>
      </w:r>
      <w:r>
        <w:rPr>
          <w:rFonts w:ascii="Arial" w:cs="Arial" w:eastAsia="Arial" w:hAnsi="Arial"/>
          <w:sz w:val="18"/>
          <w:szCs w:val="18"/>
          <w:color w:val="auto"/>
        </w:rPr>
        <w:t>”, in relation to a company, means:</w:t>
      </w:r>
    </w:p>
    <w:p>
      <w:pPr>
        <w:spacing w:after="0" w:line="135" w:lineRule="exact"/>
        <w:rPr>
          <w:sz w:val="20"/>
          <w:szCs w:val="20"/>
          <w:color w:val="auto"/>
        </w:rPr>
      </w:pPr>
    </w:p>
    <w:p>
      <w:pPr>
        <w:ind w:left="787" w:hanging="787"/>
        <w:spacing w:after="0"/>
        <w:tabs>
          <w:tab w:leader="none" w:pos="7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England and Wales;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country under the laws of which the company is incorporated or formed;</w:t>
      </w:r>
    </w:p>
    <w:p>
      <w:pPr>
        <w:spacing w:after="0" w:line="130" w:lineRule="exact"/>
        <w:rPr>
          <w:rFonts w:ascii="Arial" w:cs="Arial" w:eastAsia="Arial" w:hAnsi="Arial"/>
          <w:sz w:val="18"/>
          <w:szCs w:val="18"/>
          <w:color w:val="auto"/>
        </w:rPr>
      </w:pPr>
    </w:p>
    <w:p>
      <w:pPr>
        <w:ind w:left="787" w:right="120" w:hanging="787"/>
        <w:spacing w:after="0" w:line="277" w:lineRule="auto"/>
        <w:tabs>
          <w:tab w:leader="none" w:pos="7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country in which the company has the centre of its main interests or which the company’s central management and control is or has recently been exercised;</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country in which the overall net income of the company is subject to corporation tax, income tax or any similar tax;</w:t>
      </w:r>
    </w:p>
    <w:p>
      <w:pPr>
        <w:spacing w:after="0" w:line="130" w:lineRule="exact"/>
        <w:rPr>
          <w:rFonts w:ascii="Arial" w:cs="Arial" w:eastAsia="Arial" w:hAnsi="Arial"/>
          <w:sz w:val="18"/>
          <w:szCs w:val="18"/>
          <w:color w:val="auto"/>
        </w:rPr>
      </w:pPr>
    </w:p>
    <w:p>
      <w:pPr>
        <w:jc w:val="both"/>
        <w:ind w:left="787" w:right="200" w:hanging="787"/>
        <w:spacing w:after="0" w:line="264" w:lineRule="auto"/>
        <w:tabs>
          <w:tab w:leader="none" w:pos="7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country in which assets of the company (other than securities issued by, or loans to, related companies) having a substantial value are situated, in which the company maintains a branch or permanent place of business, or in which a Security Interest created by the company must or should be registered in order to ensure its validity or priority; and</w:t>
      </w:r>
    </w:p>
    <w:p>
      <w:pPr>
        <w:spacing w:after="0" w:line="86" w:lineRule="exact"/>
        <w:rPr>
          <w:rFonts w:ascii="Arial" w:cs="Arial" w:eastAsia="Arial" w:hAnsi="Arial"/>
          <w:sz w:val="18"/>
          <w:szCs w:val="18"/>
          <w:color w:val="auto"/>
        </w:rPr>
      </w:pPr>
    </w:p>
    <w:p>
      <w:pPr>
        <w:ind w:left="787" w:right="200" w:hanging="787"/>
        <w:spacing w:after="0" w:line="264" w:lineRule="auto"/>
        <w:tabs>
          <w:tab w:leader="none" w:pos="7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country the courts of which have jurisdiction to make a winding up, administration or similar order in relation to the company, whether as a main or territorial or ancillary proceedings, or which would have such jurisdiction if their assistance were requested by the courts of a country referred to in paragraphs (b) or (c) above;</w:t>
      </w:r>
    </w:p>
    <w:p>
      <w:pPr>
        <w:spacing w:after="0" w:line="6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Matter</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transaction or matter contemplated by, arising out of, or in connection with a Pertinent Document; 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statement relating to a Pertinent Document or to a transaction or matter falling within paragraph (a),</w:t>
      </w:r>
    </w:p>
    <w:p>
      <w:pPr>
        <w:spacing w:after="0" w:line="117" w:lineRule="exact"/>
        <w:rPr>
          <w:sz w:val="20"/>
          <w:szCs w:val="20"/>
          <w:color w:val="auto"/>
        </w:rPr>
      </w:pPr>
    </w:p>
    <w:p>
      <w:pPr>
        <w:ind w:left="7" w:right="220"/>
        <w:spacing w:after="0" w:line="277" w:lineRule="auto"/>
        <w:rPr>
          <w:sz w:val="20"/>
          <w:szCs w:val="20"/>
          <w:color w:val="auto"/>
        </w:rPr>
      </w:pPr>
      <w:r>
        <w:rPr>
          <w:rFonts w:ascii="Arial" w:cs="Arial" w:eastAsia="Arial" w:hAnsi="Arial"/>
          <w:sz w:val="18"/>
          <w:szCs w:val="18"/>
          <w:color w:val="auto"/>
        </w:rPr>
        <w:t>and covers any such transaction, matter or statement, whether entered into, arising or made at any time before the signing of this Agreement or on or at any time after that signing;</w:t>
      </w:r>
    </w:p>
    <w:p>
      <w:pPr>
        <w:spacing w:after="0" w:line="58" w:lineRule="exact"/>
        <w:rPr>
          <w:sz w:val="20"/>
          <w:szCs w:val="20"/>
          <w:color w:val="auto"/>
        </w:rPr>
      </w:pPr>
    </w:p>
    <w:p>
      <w:pPr>
        <w:ind w:left="7"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 event or circumstance which, with the giving of any notice, the lapse of time, a determination of the Majority Lenders and/or the satisfaction of any other condition, would constitute an Event of Default;</w:t>
      </w:r>
    </w:p>
    <w:p>
      <w:pPr>
        <w:spacing w:after="0" w:line="54" w:lineRule="exact"/>
        <w:rPr>
          <w:sz w:val="20"/>
          <w:szCs w:val="20"/>
          <w:color w:val="auto"/>
        </w:rPr>
      </w:pPr>
    </w:p>
    <w:p>
      <w:pPr>
        <w:jc w:val="both"/>
        <w:ind w:left="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Quotation Date</w:t>
      </w:r>
      <w:r>
        <w:rPr>
          <w:rFonts w:ascii="Arial" w:cs="Arial" w:eastAsia="Arial" w:hAnsi="Arial"/>
          <w:sz w:val="16"/>
          <w:szCs w:val="16"/>
          <w:color w:val="auto"/>
        </w:rPr>
        <w:t>” means, in relation to any Interest Period (or any other period for which an interest rate is to be determined under any provision of a Finance Document), the day on which quotations would ordinarily be given by leading banks in the London interbank market for deposits in the currency in relation to which such rate is to be determined for delivery on the first day of that Interest Period or other period;</w:t>
      </w:r>
    </w:p>
    <w:p>
      <w:pPr>
        <w:spacing w:after="0" w:line="79"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7"/>
          </w:cols>
          <w:pgMar w:left="1153" w:top="270" w:right="239" w:bottom="1440" w:gutter="0" w:footer="0" w:header="0"/>
        </w:sectPr>
      </w:pPr>
    </w:p>
    <w:bookmarkStart w:id="206" w:name="page207"/>
    <w:bookmarkEnd w:id="206"/>
    <w:p>
      <w:pPr>
        <w:ind w:left="7"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Facility Agent at its request by each Reference Bank as the rate at which the relevant Reference Bank could borrow funds in the London interbank market in Dollars for the relevant period, were it to do so by asking for and then accepting interbank offers for deposits in reasonable market size in that currency and for that period;</w:t>
      </w:r>
    </w:p>
    <w:p>
      <w:pPr>
        <w:spacing w:after="0" w:line="72"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subject to Clause 26.17 the head office of Crédit Agricole Corporate and Investment Bank and the London branch of any other bank or financial institution selected by the Facility Agent and in the singular means any of them;</w:t>
      </w:r>
    </w:p>
    <w:p>
      <w:pPr>
        <w:spacing w:after="0" w:line="54" w:lineRule="exact"/>
        <w:rPr>
          <w:sz w:val="20"/>
          <w:szCs w:val="20"/>
          <w:color w:val="auto"/>
        </w:rPr>
      </w:pPr>
    </w:p>
    <w:p>
      <w:pPr>
        <w:ind w:left="7" w:right="5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Fund</w:t>
      </w:r>
      <w:r>
        <w:rPr>
          <w:rFonts w:ascii="Arial" w:cs="Arial" w:eastAsia="Arial" w:hAnsi="Arial"/>
          <w:sz w:val="17"/>
          <w:szCs w:val="17"/>
          <w:color w:val="auto"/>
        </w:rPr>
        <w:t>” in relation to a fund (the “</w:t>
      </w:r>
      <w:r>
        <w:rPr>
          <w:rFonts w:ascii="Arial" w:cs="Arial" w:eastAsia="Arial" w:hAnsi="Arial"/>
          <w:sz w:val="17"/>
          <w:szCs w:val="17"/>
          <w:b w:val="1"/>
          <w:bCs w:val="1"/>
          <w:color w:val="auto"/>
        </w:rPr>
        <w:t>first fund</w:t>
      </w:r>
      <w:r>
        <w:rPr>
          <w:rFonts w:ascii="Arial" w:cs="Arial" w:eastAsia="Arial" w:hAnsi="Arial"/>
          <w:sz w:val="17"/>
          <w:szCs w:val="17"/>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has the meaning given in Clause 19.9;</w:t>
      </w:r>
    </w:p>
    <w:p>
      <w:pPr>
        <w:spacing w:after="0" w:line="117" w:lineRule="exact"/>
        <w:rPr>
          <w:sz w:val="20"/>
          <w:szCs w:val="20"/>
          <w:color w:val="auto"/>
        </w:rPr>
      </w:pPr>
    </w:p>
    <w:p>
      <w:pPr>
        <w:ind w:left="7"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Proportion</w:t>
      </w:r>
      <w:r>
        <w:rPr>
          <w:rFonts w:ascii="Arial" w:cs="Arial" w:eastAsia="Arial" w:hAnsi="Arial"/>
          <w:sz w:val="18"/>
          <w:szCs w:val="18"/>
          <w:color w:val="auto"/>
        </w:rPr>
        <w:t>” means at the time the same falls to be determined, the ratio that the Advance or, as applicable, Advances owing by any Affected Borrower bear to the Loan at the time;</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a date on which a repayment is required to be made under Clause 8;</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17" w:lineRule="exact"/>
        <w:rPr>
          <w:sz w:val="20"/>
          <w:szCs w:val="20"/>
          <w:color w:val="auto"/>
        </w:rPr>
      </w:pPr>
    </w:p>
    <w:p>
      <w:pPr>
        <w:ind w:left="7"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Requisition Compensation</w:t>
      </w:r>
      <w:r>
        <w:rPr>
          <w:rFonts w:ascii="Arial" w:cs="Arial" w:eastAsia="Arial" w:hAnsi="Arial"/>
          <w:sz w:val="18"/>
          <w:szCs w:val="18"/>
          <w:color w:val="auto"/>
        </w:rPr>
        <w:t>” includes all compensation or other moneys payable by reason of any act or event such as is referred to in paragraph (b) of the definition of “Total Loss”;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 person that:</w:t>
      </w:r>
    </w:p>
    <w:p>
      <w:pPr>
        <w:spacing w:after="0" w:line="135" w:lineRule="exact"/>
        <w:rPr>
          <w:sz w:val="20"/>
          <w:szCs w:val="20"/>
          <w:color w:val="auto"/>
        </w:rPr>
      </w:pPr>
    </w:p>
    <w:p>
      <w:pPr>
        <w:ind w:left="787" w:hanging="787"/>
        <w:spacing w:after="0"/>
        <w:tabs>
          <w:tab w:leader="none" w:pos="7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listed on any Sanctions List;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is located in or incorporated under the laws of a country or territory that is the target of country-wide or territory-wide Sanctions;</w:t>
      </w:r>
    </w:p>
    <w:p>
      <w:pPr>
        <w:spacing w:after="0" w:line="142" w:lineRule="exact"/>
        <w:rPr>
          <w:rFonts w:ascii="Arial" w:cs="Arial" w:eastAsia="Arial" w:hAnsi="Arial"/>
          <w:sz w:val="17"/>
          <w:szCs w:val="17"/>
          <w:color w:val="auto"/>
        </w:rPr>
      </w:pPr>
    </w:p>
    <w:p>
      <w:pPr>
        <w:ind w:left="787" w:hanging="787"/>
        <w:spacing w:after="0"/>
        <w:tabs>
          <w:tab w:leader="none" w:pos="7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directly or indirectly owned or controlled by, or acting on behalf of, a person referred to in (a) and/or (b) above; or</w:t>
      </w:r>
    </w:p>
    <w:p>
      <w:pPr>
        <w:spacing w:after="0" w:line="130" w:lineRule="exact"/>
        <w:rPr>
          <w:rFonts w:ascii="Arial" w:cs="Arial" w:eastAsia="Arial" w:hAnsi="Arial"/>
          <w:sz w:val="18"/>
          <w:szCs w:val="18"/>
          <w:color w:val="auto"/>
        </w:rPr>
      </w:pPr>
    </w:p>
    <w:p>
      <w:pPr>
        <w:ind w:left="787" w:right="420" w:hanging="787"/>
        <w:spacing w:after="0" w:line="277" w:lineRule="auto"/>
        <w:tabs>
          <w:tab w:leader="none" w:pos="7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with whom a subject of a Sanctions Authority would be prohibited or restricted by law from engaging in trade, business or other activities.</w:t>
      </w:r>
    </w:p>
    <w:p>
      <w:pPr>
        <w:spacing w:after="0" w:line="58" w:lineRule="exact"/>
        <w:rPr>
          <w:sz w:val="20"/>
          <w:szCs w:val="20"/>
          <w:color w:val="auto"/>
        </w:rPr>
      </w:pPr>
    </w:p>
    <w:p>
      <w:pPr>
        <w:ind w:left="7" w:right="160"/>
        <w:spacing w:after="0" w:line="266" w:lineRule="auto"/>
        <w:rPr>
          <w:sz w:val="20"/>
          <w:szCs w:val="20"/>
          <w:color w:val="auto"/>
        </w:rPr>
      </w:pPr>
      <w:r>
        <w:rPr>
          <w:rFonts w:ascii="Arial" w:cs="Arial" w:eastAsia="Arial" w:hAnsi="Arial"/>
          <w:sz w:val="18"/>
          <w:szCs w:val="18"/>
          <w:b w:val="1"/>
          <w:bCs w:val="1"/>
          <w:color w:val="auto"/>
        </w:rPr>
        <w:t>“Retention Account</w:t>
      </w:r>
      <w:r>
        <w:rPr>
          <w:rFonts w:ascii="Arial" w:cs="Arial" w:eastAsia="Arial" w:hAnsi="Arial"/>
          <w:sz w:val="18"/>
          <w:szCs w:val="18"/>
          <w:color w:val="auto"/>
        </w:rPr>
        <w:t>” means, with respect to a Borrower, an account in the name of that Borrower with the Account Bank which is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Facility Agent in writing as the Retention Account with respect to that Borrower for the purposes of this Agreement and in the plural means both of them;</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w:t>
      </w:r>
    </w:p>
    <w:p>
      <w:pPr>
        <w:spacing w:after="0" w:line="135" w:lineRule="exact"/>
        <w:rPr>
          <w:sz w:val="20"/>
          <w:szCs w:val="20"/>
          <w:color w:val="auto"/>
        </w:rPr>
      </w:pPr>
    </w:p>
    <w:p>
      <w:pPr>
        <w:ind w:left="787" w:right="100" w:hanging="787"/>
        <w:spacing w:after="0" w:line="277" w:lineRule="auto"/>
        <w:tabs>
          <w:tab w:leader="none" w:pos="78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trade, economic or financial sanctions laws, regulations, embargoes or restrictive measures administered, enacted or enforced by any Sanctions Authority</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47"/>
          </w:cols>
          <w:pgMar w:left="1153" w:top="270" w:right="299" w:bottom="1440" w:gutter="0" w:footer="0" w:header="0"/>
        </w:sectPr>
      </w:pPr>
    </w:p>
    <w:bookmarkStart w:id="207" w:name="page208"/>
    <w:bookmarkEnd w:id="207"/>
    <w:p>
      <w:pPr>
        <w:ind w:left="787" w:hanging="787"/>
        <w:spacing w:after="0"/>
        <w:tabs>
          <w:tab w:leader="none" w:pos="7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law or regulation enacted, promulgated or issued by any Sanctions Authority after the date of this Agreement;</w:t>
      </w:r>
    </w:p>
    <w:p>
      <w:pPr>
        <w:spacing w:after="0" w:line="130" w:lineRule="exact"/>
        <w:rPr>
          <w:rFonts w:ascii="Arial" w:cs="Arial" w:eastAsia="Arial" w:hAnsi="Arial"/>
          <w:sz w:val="18"/>
          <w:szCs w:val="18"/>
          <w:color w:val="auto"/>
        </w:rPr>
      </w:pPr>
    </w:p>
    <w:p>
      <w:pPr>
        <w:ind w:left="787" w:right="460" w:hanging="787"/>
        <w:spacing w:after="0" w:line="277" w:lineRule="auto"/>
        <w:tabs>
          <w:tab w:leader="none" w:pos="7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other law, enabling legislation, executive order, or regulation promulgated under or based under the authorities of any of the foregoing;</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 Authority</w:t>
      </w:r>
      <w:r>
        <w:rPr>
          <w:rFonts w:ascii="Arial" w:cs="Arial" w:eastAsia="Arial" w:hAnsi="Arial"/>
          <w:sz w:val="16"/>
          <w:szCs w:val="16"/>
          <w:color w:val="auto"/>
        </w:rPr>
        <w:t>” means (i) the United States of America, (ii) the United Nations, (iii) the European Union, including its member states or</w:t>
      </w:r>
    </w:p>
    <w:p>
      <w:pPr>
        <w:spacing w:after="0" w:line="50" w:lineRule="exact"/>
        <w:rPr>
          <w:sz w:val="20"/>
          <w:szCs w:val="20"/>
          <w:color w:val="auto"/>
        </w:rPr>
      </w:pPr>
    </w:p>
    <w:p>
      <w:pPr>
        <w:ind w:left="7" w:right="800" w:firstLine="1"/>
        <w:spacing w:after="0" w:line="323" w:lineRule="auto"/>
        <w:tabs>
          <w:tab w:leader="none" w:pos="31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include jurisdictions relevant to transaction or (v) the governments and official institutions or agencies of any of these countries or organisations, including without limitation OFAC and the United States Department of State and Her Majesty’s Treasury;</w:t>
      </w:r>
    </w:p>
    <w:p>
      <w:pPr>
        <w:spacing w:after="0" w:line="27" w:lineRule="exact"/>
        <w:rPr>
          <w:sz w:val="20"/>
          <w:szCs w:val="20"/>
          <w:color w:val="auto"/>
        </w:rPr>
      </w:pPr>
    </w:p>
    <w:p>
      <w:pPr>
        <w:ind w:left="7"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 means any of the lists of specifically designated persons or entities (or equivalent) held by a Sanctions Authority, each as amended, supplemented or substituted from time to time;</w:t>
      </w:r>
    </w:p>
    <w:p>
      <w:pPr>
        <w:spacing w:after="0" w:line="54" w:lineRule="exact"/>
        <w:rPr>
          <w:sz w:val="20"/>
          <w:szCs w:val="20"/>
          <w:color w:val="auto"/>
        </w:rPr>
      </w:pPr>
    </w:p>
    <w:p>
      <w:pPr>
        <w:ind w:left="7"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London interbank offered rate administered by ICE Benchmark Administration Limited (or any other person which takes over the administration of that rate) for the relevant currency and period displayed on pages LIBOR01 or LIBOR02 of the Reuters screen (or any replacement Reuters page which displays that rate or on the appropriate page of such other information service which publishes that rate from time to time in place of Reuters). If such page or service ceases to be available, the Facility Agent may specify another page or service displaying the relevant rate after consultation with the Borrowers;</w:t>
      </w:r>
    </w:p>
    <w:p>
      <w:pPr>
        <w:spacing w:after="0" w:line="76" w:lineRule="exact"/>
        <w:rPr>
          <w:sz w:val="20"/>
          <w:szCs w:val="20"/>
          <w:color w:val="auto"/>
        </w:rPr>
      </w:pPr>
    </w:p>
    <w:p>
      <w:pPr>
        <w:ind w:left="7" w:right="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Liabilities</w:t>
      </w:r>
      <w:r>
        <w:rPr>
          <w:rFonts w:ascii="Arial" w:cs="Arial" w:eastAsia="Arial" w:hAnsi="Arial"/>
          <w:sz w:val="17"/>
          <w:szCs w:val="17"/>
          <w:color w:val="auto"/>
        </w:rPr>
        <w:t>” means all liabilities which the Borrowers, the Security Parties or any of them have, at the date of this Agreement or at any later time or times, under or by virtue of the Finance Documents or any judgment relating to the Finance Documents; and for this purpose, there shall be disregarded any total or partial discharge of these liabilities, or variation of their terms, which is effected by, or in connection with, any bankruptcy, liquidation, arrangement or other procedure under the insolvency laws of any country;</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Cover Ratio</w:t>
      </w:r>
      <w:r>
        <w:rPr>
          <w:rFonts w:ascii="Arial" w:cs="Arial" w:eastAsia="Arial" w:hAnsi="Arial"/>
          <w:sz w:val="18"/>
          <w:szCs w:val="18"/>
          <w:color w:val="auto"/>
        </w:rPr>
        <w:t>” means the ratio in respect of a Ship which is determined at any time by comparing:</w:t>
      </w:r>
    </w:p>
    <w:p>
      <w:pPr>
        <w:spacing w:after="0" w:line="135" w:lineRule="exact"/>
        <w:rPr>
          <w:sz w:val="20"/>
          <w:szCs w:val="20"/>
          <w:color w:val="auto"/>
        </w:rPr>
      </w:pPr>
    </w:p>
    <w:p>
      <w:pPr>
        <w:ind w:left="787" w:hanging="787"/>
        <w:spacing w:after="0"/>
        <w:tabs>
          <w:tab w:leader="none" w:pos="7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Market Value of that Ship and is subject to a Mortgage at the relevant time; plus</w:t>
      </w:r>
    </w:p>
    <w:p>
      <w:pPr>
        <w:spacing w:after="0" w:line="130" w:lineRule="exact"/>
        <w:rPr>
          <w:rFonts w:ascii="Arial" w:cs="Arial" w:eastAsia="Arial" w:hAnsi="Arial"/>
          <w:sz w:val="18"/>
          <w:szCs w:val="18"/>
          <w:color w:val="auto"/>
        </w:rPr>
      </w:pPr>
    </w:p>
    <w:p>
      <w:pPr>
        <w:ind w:left="787" w:right="100" w:hanging="787"/>
        <w:spacing w:after="0" w:line="277" w:lineRule="auto"/>
        <w:tabs>
          <w:tab w:leader="none" w:pos="7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amounts standing to the account of the Minimum Working Capital Account of the Borrower owning that Ship pursuant to Clause 11.21; plus</w:t>
      </w:r>
    </w:p>
    <w:p>
      <w:pPr>
        <w:spacing w:after="0" w:line="75" w:lineRule="exact"/>
        <w:rPr>
          <w:rFonts w:ascii="Arial" w:cs="Arial" w:eastAsia="Arial" w:hAnsi="Arial"/>
          <w:sz w:val="18"/>
          <w:szCs w:val="18"/>
          <w:color w:val="auto"/>
        </w:rPr>
      </w:pPr>
    </w:p>
    <w:p>
      <w:pPr>
        <w:ind w:left="787" w:hanging="787"/>
        <w:spacing w:after="0" w:line="259" w:lineRule="auto"/>
        <w:tabs>
          <w:tab w:leader="none" w:pos="7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net realisable value of any additional security previously provided under Clause 15 securing the Advance financing that Ship and any amounts owing in connection thereto or, if it secures more than one Advance, a share of the net value which bears to the aggregate net value of additional security the same proportion as the Advance used to finance that Ship bears to the aggregate Advances secured by that security in connection with that Ship,</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8"/>
          <w:szCs w:val="18"/>
          <w:color w:val="auto"/>
        </w:rPr>
        <w:t>against the aggregate of:</w:t>
      </w:r>
    </w:p>
    <w:p>
      <w:pPr>
        <w:spacing w:after="0" w:line="131" w:lineRule="exact"/>
        <w:rPr>
          <w:sz w:val="20"/>
          <w:szCs w:val="20"/>
          <w:color w:val="auto"/>
        </w:rPr>
      </w:pPr>
    </w:p>
    <w:p>
      <w:pPr>
        <w:ind w:left="787" w:hanging="787"/>
        <w:spacing w:after="0"/>
        <w:tabs>
          <w:tab w:leader="none" w:pos="78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Advance in respect of that Ship; plus</w:t>
      </w:r>
    </w:p>
    <w:p>
      <w:pPr>
        <w:spacing w:after="0" w:line="130" w:lineRule="exact"/>
        <w:rPr>
          <w:rFonts w:ascii="Arial" w:cs="Arial" w:eastAsia="Arial" w:hAnsi="Arial"/>
          <w:sz w:val="18"/>
          <w:szCs w:val="18"/>
          <w:color w:val="auto"/>
        </w:rPr>
      </w:pPr>
    </w:p>
    <w:p>
      <w:pPr>
        <w:ind w:left="7" w:right="5660" w:hanging="7"/>
        <w:spacing w:after="0" w:line="383" w:lineRule="auto"/>
        <w:tabs>
          <w:tab w:leader="none" w:pos="79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aggregate Swap Exposure relating to such Advance; “</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 w:lineRule="exact"/>
        <w:rPr>
          <w:sz w:val="20"/>
          <w:szCs w:val="20"/>
          <w:color w:val="auto"/>
        </w:rPr>
      </w:pPr>
    </w:p>
    <w:p>
      <w:pPr>
        <w:ind w:left="4707" w:right="660" w:hanging="4707"/>
        <w:spacing w:after="0" w:line="449" w:lineRule="auto"/>
        <w:tabs>
          <w:tab w:leader="none" w:pos="79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mortgage, charge (whether fixed or floating) or pledge, any maritime or other lien or any other security interest of any kind; 18</w:t>
      </w:r>
    </w:p>
    <w:p>
      <w:pPr>
        <w:sectPr>
          <w:pgSz w:w="11900" w:h="16838" w:orient="portrait"/>
          <w:cols w:equalWidth="0" w:num="1">
            <w:col w:w="10487"/>
          </w:cols>
          <w:pgMar w:left="1153" w:top="274" w:right="259" w:bottom="1440" w:gutter="0" w:footer="0" w:header="0"/>
        </w:sectPr>
      </w:pPr>
    </w:p>
    <w:bookmarkStart w:id="208" w:name="page209"/>
    <w:bookmarkEnd w:id="208"/>
    <w:p>
      <w:pPr>
        <w:ind w:left="787" w:right="220" w:hanging="787"/>
        <w:spacing w:after="0" w:line="277" w:lineRule="auto"/>
        <w:tabs>
          <w:tab w:leader="none" w:pos="7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rights of the plaintiff under an action </w:t>
      </w:r>
      <w:r>
        <w:rPr>
          <w:rFonts w:ascii="Arial" w:cs="Arial" w:eastAsia="Arial" w:hAnsi="Arial"/>
          <w:sz w:val="18"/>
          <w:szCs w:val="18"/>
          <w:i w:val="1"/>
          <w:iCs w:val="1"/>
          <w:color w:val="auto"/>
        </w:rPr>
        <w:t>in rem</w:t>
      </w:r>
      <w:r>
        <w:rPr>
          <w:rFonts w:ascii="Arial" w:cs="Arial" w:eastAsia="Arial" w:hAnsi="Arial"/>
          <w:sz w:val="18"/>
          <w:szCs w:val="18"/>
          <w:color w:val="auto"/>
        </w:rPr>
        <w:t xml:space="preserve"> in which the vessel concerned has been arrested or a writ has been issued or similar step taken; and</w:t>
      </w:r>
    </w:p>
    <w:p>
      <w:pPr>
        <w:spacing w:after="0" w:line="75" w:lineRule="exact"/>
        <w:rPr>
          <w:rFonts w:ascii="Arial" w:cs="Arial" w:eastAsia="Arial" w:hAnsi="Arial"/>
          <w:sz w:val="18"/>
          <w:szCs w:val="18"/>
          <w:color w:val="auto"/>
        </w:rPr>
      </w:pPr>
    </w:p>
    <w:p>
      <w:pPr>
        <w:ind w:left="787" w:right="120" w:hanging="787"/>
        <w:spacing w:after="0" w:line="312" w:lineRule="auto"/>
        <w:tabs>
          <w:tab w:leader="none" w:pos="78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any arrangement entered into by a person (A) the effect of which is to place another person (B) in a position which is similar, in economic terms, to the position in which B would have been had he held a security interest over an asset of A; but (c) does not apply to a right of set off or combination of accounts conferred by the standard terms of business of a bank or financial institution;</w:t>
      </w:r>
    </w:p>
    <w:p>
      <w:pPr>
        <w:spacing w:after="0" w:line="35" w:lineRule="exact"/>
        <w:rPr>
          <w:sz w:val="20"/>
          <w:szCs w:val="20"/>
          <w:color w:val="auto"/>
        </w:rPr>
      </w:pPr>
    </w:p>
    <w:p>
      <w:pPr>
        <w:ind w:left="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Party</w:t>
      </w:r>
      <w:r>
        <w:rPr>
          <w:rFonts w:ascii="Arial" w:cs="Arial" w:eastAsia="Arial" w:hAnsi="Arial"/>
          <w:sz w:val="18"/>
          <w:szCs w:val="18"/>
          <w:color w:val="auto"/>
        </w:rPr>
        <w:t>” means, for the purposes of Clauses 9.1(c), 10.11, 10.12, 10.18, 10.20, 11.9, 11.19, 11.20, 14.11, 14.19, 19 and 21 alone, Emma, and each of the Guarantor and, after the Option has been exercised, the Substitute Guarantor and any other person (except a Creditor Party and any Approved Charterer, other than the Guarantor, of any Ship, any other charterer or the Approved Manager (in case it is not Capital Ship Management Corp. (or an affiliate or successor of Capital Ship Management Corp.)) who, as a surety or mortgagor, as a party to any subordination or priorities arrangement, or in any similar capacity, executes a document falling within the final paragraph of the definition of “Finance Documents”;</w:t>
      </w:r>
    </w:p>
    <w:p>
      <w:pPr>
        <w:spacing w:after="0" w:line="8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Period</w:t>
      </w:r>
      <w:r>
        <w:rPr>
          <w:rFonts w:ascii="Arial" w:cs="Arial" w:eastAsia="Arial" w:hAnsi="Arial"/>
          <w:sz w:val="16"/>
          <w:szCs w:val="16"/>
          <w:color w:val="auto"/>
        </w:rPr>
        <w:t>” means the period commencing on the date of this Agreement and ending on the date on which the Facility Agent notifies the</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8"/>
          <w:szCs w:val="18"/>
          <w:color w:val="auto"/>
        </w:rPr>
        <w:t>Borrowers, the Security Parties and the Lenders that:</w:t>
      </w:r>
    </w:p>
    <w:p>
      <w:pPr>
        <w:spacing w:after="0" w:line="116" w:lineRule="exact"/>
        <w:rPr>
          <w:sz w:val="20"/>
          <w:szCs w:val="20"/>
          <w:color w:val="auto"/>
        </w:rPr>
      </w:pPr>
    </w:p>
    <w:p>
      <w:pPr>
        <w:ind w:left="787" w:hanging="787"/>
        <w:spacing w:after="0"/>
        <w:tabs>
          <w:tab w:leader="none" w:pos="78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all amounts which have become due for payment by a Borrower or any Security Party under the Finance Documents have been paid;</w:t>
      </w:r>
    </w:p>
    <w:p>
      <w:pPr>
        <w:spacing w:after="0" w:line="153" w:lineRule="exact"/>
        <w:rPr>
          <w:rFonts w:ascii="Arial" w:cs="Arial" w:eastAsia="Arial" w:hAnsi="Arial"/>
          <w:sz w:val="16"/>
          <w:szCs w:val="16"/>
          <w:color w:val="auto"/>
        </w:rPr>
      </w:pPr>
    </w:p>
    <w:p>
      <w:pPr>
        <w:ind w:left="787" w:hanging="787"/>
        <w:spacing w:after="0"/>
        <w:tabs>
          <w:tab w:leader="none" w:pos="7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 amount is owing or has accrued (without yet having become due for payment) under any Finance Document;</w:t>
      </w:r>
    </w:p>
    <w:p>
      <w:pPr>
        <w:spacing w:after="0" w:line="130" w:lineRule="exact"/>
        <w:rPr>
          <w:rFonts w:ascii="Arial" w:cs="Arial" w:eastAsia="Arial" w:hAnsi="Arial"/>
          <w:sz w:val="18"/>
          <w:szCs w:val="18"/>
          <w:color w:val="auto"/>
        </w:rPr>
      </w:pPr>
    </w:p>
    <w:p>
      <w:pPr>
        <w:ind w:left="787" w:right="700" w:hanging="787"/>
        <w:spacing w:after="0" w:line="277" w:lineRule="auto"/>
        <w:tabs>
          <w:tab w:leader="none" w:pos="7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neither a Borrower nor any Security Party has any future or contingent liability under Clause 20, 21 or 22 below or any other provision of this Agreement or another Finance Document; and</w:t>
      </w:r>
    </w:p>
    <w:p>
      <w:pPr>
        <w:spacing w:after="0" w:line="75" w:lineRule="exact"/>
        <w:rPr>
          <w:rFonts w:ascii="Arial" w:cs="Arial" w:eastAsia="Arial" w:hAnsi="Arial"/>
          <w:sz w:val="18"/>
          <w:szCs w:val="18"/>
          <w:color w:val="auto"/>
        </w:rPr>
      </w:pPr>
    </w:p>
    <w:p>
      <w:pPr>
        <w:ind w:left="787" w:right="120" w:hanging="787"/>
        <w:spacing w:after="0" w:line="279" w:lineRule="auto"/>
        <w:tabs>
          <w:tab w:leader="none" w:pos="78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Facility Agent, the Security Trustee and the Majority Lenders do not consider that there is a significant risk that any payment or transaction under a Finance Document would be set aside, or would have to be reversed or adjusted, in any present or possible future bankruptcy of a Borrower or a Security Party or in any present or possible future proceeding relating to a Finance Document or any asset covered (or previously covered) by a Security Interest created by a Finance Document;</w:t>
      </w:r>
    </w:p>
    <w:p>
      <w:pPr>
        <w:spacing w:after="0" w:line="59" w:lineRule="exact"/>
        <w:rPr>
          <w:sz w:val="20"/>
          <w:szCs w:val="20"/>
          <w:color w:val="auto"/>
        </w:rPr>
      </w:pPr>
    </w:p>
    <w:p>
      <w:pPr>
        <w:ind w:left="7" w:right="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Trustee</w:t>
      </w:r>
      <w:r>
        <w:rPr>
          <w:rFonts w:ascii="Arial" w:cs="Arial" w:eastAsia="Arial" w:hAnsi="Arial"/>
          <w:sz w:val="17"/>
          <w:szCs w:val="17"/>
          <w:color w:val="auto"/>
        </w:rPr>
        <w:t>” means Crédit Agricole Corporate and Investment Bank, acting in such capacity through its office at 12, place des Etats-Unis, CS 70052, 92547 Montrouge Cedex, France, or any successor of it appointed under clause 5 of the Agency and Trust Agreement;</w:t>
      </w:r>
    </w:p>
    <w:p>
      <w:pPr>
        <w:spacing w:after="0" w:line="3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Bank</w:t>
      </w:r>
      <w:r>
        <w:rPr>
          <w:rFonts w:ascii="Arial" w:cs="Arial" w:eastAsia="Arial" w:hAnsi="Arial"/>
          <w:sz w:val="18"/>
          <w:szCs w:val="18"/>
          <w:color w:val="auto"/>
        </w:rPr>
        <w:t>” means the Facility Agent or the Security Trustee;</w:t>
      </w:r>
    </w:p>
    <w:p>
      <w:pPr>
        <w:spacing w:after="0" w:line="117" w:lineRule="exact"/>
        <w:rPr>
          <w:sz w:val="20"/>
          <w:szCs w:val="20"/>
          <w:color w:val="auto"/>
        </w:rPr>
      </w:pPr>
    </w:p>
    <w:p>
      <w:pPr>
        <w:ind w:left="7" w:right="2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 Pledge</w:t>
      </w:r>
      <w:r>
        <w:rPr>
          <w:rFonts w:ascii="Arial" w:cs="Arial" w:eastAsia="Arial" w:hAnsi="Arial"/>
          <w:sz w:val="17"/>
          <w:szCs w:val="17"/>
          <w:color w:val="auto"/>
        </w:rPr>
        <w:t>” means, in relation to a Borrower, a pledge agreement executed by the Guarantor and Emma in favour of the Security Trustee creating a Security Interest over the share capital of that Borrower, in the Agreed Form and in the plural means all of them;</w:t>
      </w:r>
    </w:p>
    <w:p>
      <w:pPr>
        <w:spacing w:after="0" w:line="30" w:lineRule="exact"/>
        <w:rPr>
          <w:sz w:val="20"/>
          <w:szCs w:val="20"/>
          <w:color w:val="auto"/>
        </w:rPr>
      </w:pPr>
    </w:p>
    <w:p>
      <w:pPr>
        <w:ind w:left="7" w:right="2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A</w:t>
      </w:r>
      <w:r>
        <w:rPr>
          <w:rFonts w:ascii="Arial" w:cs="Arial" w:eastAsia="Arial" w:hAnsi="Arial"/>
          <w:sz w:val="18"/>
          <w:szCs w:val="18"/>
          <w:color w:val="auto"/>
        </w:rPr>
        <w:t>” means the Aframax tanker with shallow draft design, having Builder’s hull number 5011 of approximately 112,800 deadweight with Ice Class 1C and enhanced specifications for universal trading, which is to be constructed by the Builder for, and purchased by, Borrower A under Shipbuilding Contract A for a contract price of $53,927,000 inclusive of extra specifications and which, on delivery, is to be named “ARISTAIOS” and registered in the name of Borrower A under an Approved Flag;</w:t>
      </w:r>
    </w:p>
    <w:p>
      <w:pPr>
        <w:spacing w:after="0" w:line="117"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7"/>
          </w:cols>
          <w:pgMar w:left="1153" w:top="274" w:right="259" w:bottom="1440" w:gutter="0" w:footer="0" w:header="0"/>
        </w:sectPr>
      </w:pPr>
    </w:p>
    <w:bookmarkStart w:id="209" w:name="page210"/>
    <w:bookmarkEnd w:id="209"/>
    <w:p>
      <w:pPr>
        <w:ind w:left="7" w:right="1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Ship B</w:t>
      </w:r>
      <w:r>
        <w:rPr>
          <w:rFonts w:ascii="Arial" w:cs="Arial" w:eastAsia="Arial" w:hAnsi="Arial"/>
          <w:sz w:val="18"/>
          <w:szCs w:val="18"/>
          <w:color w:val="auto"/>
        </w:rPr>
        <w:t>” means the Aframax tanker with shallow draft design, having Builder’s hull number 5012 of approximately 112,800 deadweight with Ice Class 1C and enhanced specifications for universal trading, which is to be constructed by the Builder for, and purchased by, Borrower B under Shipbuilding Contract B for a contract price of $53,927,000 inclusive of extra specifications and which, on delivery, is to be named “ARISTOKLIS” and to be registered in the name of Borrower B under an Approved Flag;</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Commitment</w:t>
      </w:r>
      <w:r>
        <w:rPr>
          <w:rFonts w:ascii="Arial" w:cs="Arial" w:eastAsia="Arial" w:hAnsi="Arial"/>
          <w:sz w:val="18"/>
          <w:szCs w:val="18"/>
          <w:color w:val="auto"/>
        </w:rPr>
        <w:t>” means, in relation to a Ship and a Lender, half of that Lender’s Commitment;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w:t>
      </w:r>
      <w:r>
        <w:rPr>
          <w:rFonts w:ascii="Arial" w:cs="Arial" w:eastAsia="Arial" w:hAnsi="Arial"/>
          <w:sz w:val="17"/>
          <w:szCs w:val="17"/>
          <w:color w:val="auto"/>
        </w:rPr>
        <w:t>” means each of Shipbuilding Contract A and Shipbuilding Contract B, and, in the plural, means all of them;</w:t>
      </w:r>
    </w:p>
    <w:p>
      <w:pPr>
        <w:spacing w:after="0" w:line="129" w:lineRule="exact"/>
        <w:rPr>
          <w:sz w:val="20"/>
          <w:szCs w:val="20"/>
          <w:color w:val="auto"/>
        </w:rPr>
      </w:pPr>
    </w:p>
    <w:p>
      <w:pPr>
        <w:ind w:left="7" w:right="2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Shipbuilding Contract A</w:t>
      </w:r>
      <w:r>
        <w:rPr>
          <w:rFonts w:ascii="Arial" w:cs="Arial" w:eastAsia="Arial" w:hAnsi="Arial"/>
          <w:sz w:val="18"/>
          <w:szCs w:val="18"/>
          <w:color w:val="auto"/>
        </w:rPr>
        <w:t>” means the shipbuilding contract dated 20 May 2015, as amended by a first amendment dated 27 May 2015 and a second amendment dated 18 June 2015 and made between (i) the Builder and (ii) Sea Lord Tankers and subsequently assigned to Borrower A pursuant to a letter of nomination dated 2 January 2017 for the construction by the Builder of Ship A and its purchase by Borrower A (as amended and supplemented from time to time);</w:t>
      </w:r>
    </w:p>
    <w:p>
      <w:pPr>
        <w:spacing w:after="0" w:line="72" w:lineRule="exact"/>
        <w:rPr>
          <w:sz w:val="20"/>
          <w:szCs w:val="20"/>
          <w:color w:val="auto"/>
        </w:rPr>
      </w:pPr>
    </w:p>
    <w:p>
      <w:pPr>
        <w:ind w:left="7" w:right="2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Shipbuilding Contract B</w:t>
      </w:r>
      <w:r>
        <w:rPr>
          <w:rFonts w:ascii="Arial" w:cs="Arial" w:eastAsia="Arial" w:hAnsi="Arial"/>
          <w:sz w:val="18"/>
          <w:szCs w:val="18"/>
          <w:color w:val="auto"/>
        </w:rPr>
        <w:t>” means the shipbuilding contract dated 20 May 2015, as amended by a first amendment dated 24 June 2015 and a second amendment dated 18 June 2015 and made between (i) the Builder and (ii) Sea Lord Tankers and subsequently assigned to Borrower B pursuant to a letter of nomination dated 2 January 2017 for the construction by the Builder of Ship B and its purchase by Borrower B (as amended and supplemented from time to time);</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Ships</w:t>
      </w:r>
      <w:r>
        <w:rPr>
          <w:rFonts w:ascii="Arial" w:cs="Arial" w:eastAsia="Arial" w:hAnsi="Arial"/>
          <w:sz w:val="18"/>
          <w:szCs w:val="18"/>
          <w:color w:val="auto"/>
        </w:rPr>
        <w:t>” means, together, Ship A and Ship B and in the singular means any of them;</w:t>
      </w:r>
    </w:p>
    <w:p>
      <w:pPr>
        <w:spacing w:after="0" w:line="117" w:lineRule="exact"/>
        <w:rPr>
          <w:sz w:val="20"/>
          <w:szCs w:val="20"/>
          <w:color w:val="auto"/>
        </w:rPr>
      </w:pPr>
    </w:p>
    <w:p>
      <w:pPr>
        <w:ind w:left="7" w:right="48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Guarantor</w:t>
      </w:r>
      <w:r>
        <w:rPr>
          <w:rFonts w:ascii="Arial" w:cs="Arial" w:eastAsia="Arial" w:hAnsi="Arial"/>
          <w:sz w:val="17"/>
          <w:szCs w:val="17"/>
          <w:color w:val="auto"/>
        </w:rPr>
        <w:t>” means Capital Product Partners L.P., a limited partnership formed in the Republic of the Marshall Islands whose registered office is at Trust Company Complex Ajeltake Road, Ajeltake Island, Majuro MH 96960, the Marshall Islands;</w:t>
      </w:r>
    </w:p>
    <w:p>
      <w:pPr>
        <w:spacing w:after="0" w:line="30" w:lineRule="exact"/>
        <w:rPr>
          <w:sz w:val="20"/>
          <w:szCs w:val="20"/>
          <w:color w:val="auto"/>
        </w:rPr>
      </w:pPr>
    </w:p>
    <w:p>
      <w:pPr>
        <w:ind w:left="7" w:right="12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Guarantor Guarantee</w:t>
      </w:r>
      <w:r>
        <w:rPr>
          <w:rFonts w:ascii="Arial" w:cs="Arial" w:eastAsia="Arial" w:hAnsi="Arial"/>
          <w:sz w:val="17"/>
          <w:szCs w:val="17"/>
          <w:color w:val="auto"/>
        </w:rPr>
        <w:t>” means the guarantee of the obligations of an Affected Borrower under this Agreement and the Finance Documents to which such Affected Borrower is a party to be given by the Substitute Guarantor in substantially the same form as the Guarantee (with all logical modifications and including an express restriction on the Substitute Guarantor pledging any of its shares in the Intermediate Shareholder) executed by the Substitute Guarantor in favour of the Security Trustee in the Agreed Form;</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Bank</w:t>
      </w:r>
      <w:r>
        <w:rPr>
          <w:rFonts w:ascii="Arial" w:cs="Arial" w:eastAsia="Arial" w:hAnsi="Arial"/>
          <w:sz w:val="18"/>
          <w:szCs w:val="18"/>
          <w:color w:val="auto"/>
        </w:rPr>
        <w:t>” means each of:</w:t>
      </w:r>
    </w:p>
    <w:p>
      <w:pPr>
        <w:spacing w:after="0" w:line="135" w:lineRule="exact"/>
        <w:rPr>
          <w:sz w:val="20"/>
          <w:szCs w:val="20"/>
          <w:color w:val="auto"/>
        </w:rPr>
      </w:pPr>
    </w:p>
    <w:p>
      <w:pPr>
        <w:ind w:left="787" w:right="260" w:hanging="787"/>
        <w:spacing w:after="0" w:line="277" w:lineRule="auto"/>
        <w:tabs>
          <w:tab w:leader="none" w:pos="78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Crédit Agricole Corporate and Investment Bank acting through its office at 12, place des Etats-Unis, CS 70052, 92547 Montrouge Cedex, France;</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ING Bank N.V., acting through its office at Treasury Building, Foppingadreef 7, 1102 BD Amsterdam, The Netherlands; and</w:t>
      </w:r>
    </w:p>
    <w:p>
      <w:pPr>
        <w:spacing w:after="0" w:line="142" w:lineRule="exact"/>
        <w:rPr>
          <w:rFonts w:ascii="Arial" w:cs="Arial" w:eastAsia="Arial" w:hAnsi="Arial"/>
          <w:sz w:val="17"/>
          <w:szCs w:val="17"/>
          <w:color w:val="auto"/>
        </w:rPr>
      </w:pPr>
    </w:p>
    <w:p>
      <w:pPr>
        <w:ind w:left="787" w:right="40" w:hanging="787"/>
        <w:spacing w:after="0" w:line="277" w:lineRule="auto"/>
        <w:tabs>
          <w:tab w:leader="none" w:pos="78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Transferee Lender that has become a Lender in accordance with Clause 26.7 that may wish to enter into a master agreement with any of the Borrowers,</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 in the plural, means all of them.</w:t>
      </w:r>
    </w:p>
    <w:p>
      <w:pPr>
        <w:spacing w:after="0" w:line="113" w:lineRule="exact"/>
        <w:rPr>
          <w:sz w:val="20"/>
          <w:szCs w:val="20"/>
          <w:color w:val="auto"/>
        </w:rPr>
      </w:pPr>
    </w:p>
    <w:p>
      <w:pPr>
        <w:ind w:left="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Exposure</w:t>
      </w:r>
      <w:r>
        <w:rPr>
          <w:rFonts w:ascii="Arial" w:cs="Arial" w:eastAsia="Arial" w:hAnsi="Arial"/>
          <w:sz w:val="16"/>
          <w:szCs w:val="16"/>
          <w:color w:val="auto"/>
        </w:rPr>
        <w:t>” means, as at any relevant date, the amount certified by the Swap Bank to the Facility Agent to be the aggregate net amount in Dollars which would be payable by a Borrower to the Swap Bank under (and calculated in accordance with) section 6(e) (Payments on Early Termination) of the relevant Master Agreement if an Early Termination Date had occurred on the relevant date in relation to all continuing Designated Transactions in respect of the Master Agreement entered into between that Borrower and the Swap Bank;</w:t>
      </w:r>
    </w:p>
    <w:p>
      <w:pPr>
        <w:spacing w:after="0" w:line="8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27"/>
          </w:cols>
          <w:pgMar w:left="1153" w:top="270" w:right="319" w:bottom="1440" w:gutter="0" w:footer="0" w:header="0"/>
        </w:sectPr>
      </w:pPr>
    </w:p>
    <w:bookmarkStart w:id="210" w:name="page211"/>
    <w:bookmarkEnd w:id="210"/>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Tesoro Charter</w:t>
      </w:r>
      <w:r>
        <w:rPr>
          <w:rFonts w:ascii="Arial" w:cs="Arial" w:eastAsia="Arial" w:hAnsi="Arial"/>
          <w:sz w:val="18"/>
          <w:szCs w:val="18"/>
          <w:color w:val="auto"/>
        </w:rPr>
        <w:t>” means each of the Tesoro Ship A Charter and the Tesoro Ship B Charter and, in the plural, means both of them;</w:t>
      </w:r>
    </w:p>
    <w:p>
      <w:pPr>
        <w:spacing w:after="0" w:line="117" w:lineRule="exact"/>
        <w:rPr>
          <w:sz w:val="20"/>
          <w:szCs w:val="20"/>
          <w:color w:val="auto"/>
        </w:rPr>
      </w:pPr>
    </w:p>
    <w:p>
      <w:pPr>
        <w:ind w:left="7"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Tesoro Charterer</w:t>
      </w:r>
      <w:r>
        <w:rPr>
          <w:rFonts w:ascii="Arial" w:cs="Arial" w:eastAsia="Arial" w:hAnsi="Arial"/>
          <w:sz w:val="18"/>
          <w:szCs w:val="18"/>
          <w:color w:val="auto"/>
        </w:rPr>
        <w:t>” means Tesoro Far East Maritime Company, a company incorporated in the US and having its registered office at 19100 Ridgewood Parkway, San Antonio, Texas 78259, US and its successors in title;</w:t>
      </w:r>
    </w:p>
    <w:p>
      <w:pPr>
        <w:spacing w:after="0" w:line="54" w:lineRule="exact"/>
        <w:rPr>
          <w:sz w:val="20"/>
          <w:szCs w:val="20"/>
          <w:color w:val="auto"/>
        </w:rPr>
      </w:pPr>
    </w:p>
    <w:p>
      <w:pPr>
        <w:ind w:left="7"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Tesoro Ship A Charter</w:t>
      </w:r>
      <w:r>
        <w:rPr>
          <w:rFonts w:ascii="Arial" w:cs="Arial" w:eastAsia="Arial" w:hAnsi="Arial"/>
          <w:sz w:val="18"/>
          <w:szCs w:val="18"/>
          <w:color w:val="auto"/>
        </w:rPr>
        <w:t>” means the time charterparty entered into by Borrower A with the Tesoro Charterer dated 2 October 2015 for a minimum term of five years plus or minus forty five (45) days outright and at a minimum gross daily hire rate of $26,400 and in other respects acceptable to the Lenders;</w:t>
      </w:r>
    </w:p>
    <w:p>
      <w:pPr>
        <w:spacing w:after="0" w:line="68" w:lineRule="exact"/>
        <w:rPr>
          <w:sz w:val="20"/>
          <w:szCs w:val="20"/>
          <w:color w:val="auto"/>
        </w:rPr>
      </w:pPr>
    </w:p>
    <w:p>
      <w:pPr>
        <w:ind w:left="7"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Tesoro Ship B Charter</w:t>
      </w:r>
      <w:r>
        <w:rPr>
          <w:rFonts w:ascii="Arial" w:cs="Arial" w:eastAsia="Arial" w:hAnsi="Arial"/>
          <w:sz w:val="18"/>
          <w:szCs w:val="18"/>
          <w:color w:val="auto"/>
        </w:rPr>
        <w:t>” means the time charterparty entered into by Borrower B with the Tesoro Charterer dated 2 October 2015 for a minimum term of five years plus or minus forty five (45) days outright and at a minimum gross daily hire rate of $26,400 and in other respects acceptable to the Lenders;</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w:t>
      </w:r>
      <w:r>
        <w:rPr>
          <w:rFonts w:ascii="Arial" w:cs="Arial" w:eastAsia="Arial" w:hAnsi="Arial"/>
          <w:sz w:val="18"/>
          <w:szCs w:val="18"/>
          <w:color w:val="auto"/>
        </w:rPr>
        <w:t>” means, in relation to a Ship:</w:t>
      </w:r>
    </w:p>
    <w:p>
      <w:pPr>
        <w:spacing w:after="0" w:line="135" w:lineRule="exact"/>
        <w:rPr>
          <w:sz w:val="20"/>
          <w:szCs w:val="20"/>
          <w:color w:val="auto"/>
        </w:rPr>
      </w:pPr>
    </w:p>
    <w:p>
      <w:pPr>
        <w:ind w:left="787" w:hanging="787"/>
        <w:spacing w:after="0"/>
        <w:tabs>
          <w:tab w:leader="none" w:pos="7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that Ship;</w:t>
      </w:r>
    </w:p>
    <w:p>
      <w:pPr>
        <w:spacing w:after="0" w:line="130" w:lineRule="exact"/>
        <w:rPr>
          <w:rFonts w:ascii="Arial" w:cs="Arial" w:eastAsia="Arial" w:hAnsi="Arial"/>
          <w:sz w:val="18"/>
          <w:szCs w:val="18"/>
          <w:color w:val="auto"/>
        </w:rPr>
      </w:pPr>
    </w:p>
    <w:p>
      <w:pPr>
        <w:ind w:left="787" w:hanging="787"/>
        <w:spacing w:after="0" w:line="257" w:lineRule="auto"/>
        <w:tabs>
          <w:tab w:leader="none" w:pos="7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expropriation, confiscation, requisition or acquisition of that Ship, whether for full consideration, a consideration less than her proper value, a nominal consideration or without any consideration, which is effected by any government or official authority or by any person or persons claiming to be or to represent a government or official authority, unless it is within 1 month from the date of such occurrence redelivered to the full control of the Borrower owning that Ship, excluding a requisition for hire for a fixed period not exceeding 360 days without any right to an extension;</w:t>
      </w:r>
    </w:p>
    <w:p>
      <w:pPr>
        <w:spacing w:after="0" w:line="93" w:lineRule="exact"/>
        <w:rPr>
          <w:rFonts w:ascii="Arial" w:cs="Arial" w:eastAsia="Arial" w:hAnsi="Arial"/>
          <w:sz w:val="18"/>
          <w:szCs w:val="18"/>
          <w:color w:val="auto"/>
        </w:rPr>
      </w:pPr>
    </w:p>
    <w:p>
      <w:pPr>
        <w:ind w:left="787" w:hanging="787"/>
        <w:spacing w:after="0"/>
        <w:tabs>
          <w:tab w:leader="none" w:pos="7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condemnation of the Ship by any tribunal or by any person or persons claiming to be a tribunal; and</w:t>
      </w:r>
    </w:p>
    <w:p>
      <w:pPr>
        <w:spacing w:after="0" w:line="130" w:lineRule="exact"/>
        <w:rPr>
          <w:rFonts w:ascii="Arial" w:cs="Arial" w:eastAsia="Arial" w:hAnsi="Arial"/>
          <w:sz w:val="18"/>
          <w:szCs w:val="18"/>
          <w:color w:val="auto"/>
        </w:rPr>
      </w:pPr>
    </w:p>
    <w:p>
      <w:pPr>
        <w:ind w:left="787" w:right="320" w:hanging="787"/>
        <w:spacing w:after="0" w:line="277" w:lineRule="auto"/>
        <w:tabs>
          <w:tab w:leader="none" w:pos="7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arrest, capture, seizure, confiscation or detention of the Ship (including any hijacking (piracy) or theft) unless she is within 90 days redelivered to the full control of the Borrower owning the Ship;</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 Date</w:t>
      </w:r>
      <w:r>
        <w:rPr>
          <w:rFonts w:ascii="Arial" w:cs="Arial" w:eastAsia="Arial" w:hAnsi="Arial"/>
          <w:sz w:val="18"/>
          <w:szCs w:val="18"/>
          <w:color w:val="auto"/>
        </w:rPr>
        <w:t>” means, in relation to a Ship:</w:t>
      </w:r>
    </w:p>
    <w:p>
      <w:pPr>
        <w:spacing w:after="0" w:line="135" w:lineRule="exact"/>
        <w:rPr>
          <w:sz w:val="20"/>
          <w:szCs w:val="20"/>
          <w:color w:val="auto"/>
        </w:rPr>
      </w:pPr>
    </w:p>
    <w:p>
      <w:pPr>
        <w:ind w:left="787" w:hanging="787"/>
        <w:spacing w:after="0"/>
        <w:tabs>
          <w:tab w:leader="none" w:pos="78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 the case of an actual loss of that Ship, the date on which it occurred or, if that is unknown, the date when the Ship was last heard of;</w:t>
      </w:r>
    </w:p>
    <w:p>
      <w:pPr>
        <w:spacing w:after="0" w:line="153" w:lineRule="exact"/>
        <w:rPr>
          <w:rFonts w:ascii="Arial" w:cs="Arial" w:eastAsia="Arial" w:hAnsi="Arial"/>
          <w:sz w:val="16"/>
          <w:szCs w:val="16"/>
          <w:color w:val="auto"/>
        </w:rPr>
      </w:pPr>
    </w:p>
    <w:p>
      <w:pPr>
        <w:ind w:left="787" w:hanging="787"/>
        <w:spacing w:after="0"/>
        <w:tabs>
          <w:tab w:leader="none" w:pos="78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of the Ship, the earliest of:</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33"/>
        </w:numPr>
        <w:rPr>
          <w:rFonts w:ascii="Arial" w:cs="Arial" w:eastAsia="Arial" w:hAnsi="Arial"/>
          <w:sz w:val="18"/>
          <w:szCs w:val="18"/>
          <w:color w:val="auto"/>
        </w:rPr>
      </w:pPr>
      <w:r>
        <w:rPr>
          <w:rFonts w:ascii="Arial" w:cs="Arial" w:eastAsia="Arial" w:hAnsi="Arial"/>
          <w:sz w:val="18"/>
          <w:szCs w:val="18"/>
          <w:color w:val="auto"/>
        </w:rPr>
        <w:t>30 days after the date on which a notice of abandonment is given to the insurers; and</w:t>
      </w:r>
    </w:p>
    <w:p>
      <w:pPr>
        <w:spacing w:after="0" w:line="130" w:lineRule="exact"/>
        <w:rPr>
          <w:rFonts w:ascii="Arial" w:cs="Arial" w:eastAsia="Arial" w:hAnsi="Arial"/>
          <w:sz w:val="18"/>
          <w:szCs w:val="18"/>
          <w:color w:val="auto"/>
        </w:rPr>
      </w:pPr>
    </w:p>
    <w:p>
      <w:pPr>
        <w:ind w:left="1467" w:right="320" w:hanging="670"/>
        <w:spacing w:after="0" w:line="277" w:lineRule="auto"/>
        <w:tabs>
          <w:tab w:leader="none" w:pos="1467"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date of any compromise, arrangement or agreement made by or on behalf of the Borrower owning the Ship, with that Ship’s insurers in which the insurers agree to treat the Ship as a total loss; and</w:t>
      </w:r>
    </w:p>
    <w:p>
      <w:pPr>
        <w:spacing w:after="0" w:line="75" w:lineRule="exact"/>
        <w:rPr>
          <w:rFonts w:ascii="Arial" w:cs="Arial" w:eastAsia="Arial" w:hAnsi="Arial"/>
          <w:sz w:val="18"/>
          <w:szCs w:val="18"/>
          <w:color w:val="auto"/>
        </w:rPr>
      </w:pPr>
    </w:p>
    <w:p>
      <w:pPr>
        <w:ind w:left="787" w:right="120" w:hanging="787"/>
        <w:spacing w:after="0" w:line="277" w:lineRule="auto"/>
        <w:tabs>
          <w:tab w:leader="none" w:pos="78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case of any other type of total loss, on the date (or the most likely date) on which it appears to the Facility Agent that the event constituting the total loss occurred;</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87"/>
          </w:cols>
          <w:pgMar w:left="1153" w:top="270" w:right="259" w:bottom="1440" w:gutter="0" w:footer="0" w:header="0"/>
        </w:sectPr>
      </w:pPr>
    </w:p>
    <w:bookmarkStart w:id="211" w:name="page212"/>
    <w:bookmarkEnd w:id="21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has the meaning given in the relevant Master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has the meaning given in Clause 26.2;</w:t>
      </w:r>
    </w:p>
    <w:p>
      <w:pPr>
        <w:spacing w:after="0" w:line="117" w:lineRule="exact"/>
        <w:rPr>
          <w:sz w:val="20"/>
          <w:szCs w:val="20"/>
          <w:color w:val="auto"/>
        </w:rPr>
      </w:pPr>
    </w:p>
    <w:p>
      <w:pPr>
        <w:ind w:left="920" w:right="39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Property</w:t>
      </w:r>
      <w:r>
        <w:rPr>
          <w:rFonts w:ascii="Arial" w:cs="Arial" w:eastAsia="Arial" w:hAnsi="Arial"/>
          <w:sz w:val="18"/>
          <w:szCs w:val="18"/>
          <w:color w:val="auto"/>
        </w:rPr>
        <w:t>” has the meaning given in clause 3.1 of the Agency and Trust Agreement; “</w:t>
      </w:r>
      <w:r>
        <w:rPr>
          <w:rFonts w:ascii="Arial" w:cs="Arial" w:eastAsia="Arial" w:hAnsi="Arial"/>
          <w:sz w:val="18"/>
          <w:szCs w:val="18"/>
          <w:b w:val="1"/>
          <w:bCs w:val="1"/>
          <w:color w:val="auto"/>
        </w:rPr>
        <w:t>UHRC</w:t>
      </w:r>
      <w:r>
        <w:rPr>
          <w:rFonts w:ascii="Arial" w:cs="Arial" w:eastAsia="Arial" w:hAnsi="Arial"/>
          <w:sz w:val="18"/>
          <w:szCs w:val="18"/>
          <w:color w:val="auto"/>
        </w:rPr>
        <w:t>” means Cuba, Iran, North Korea, Sudan and/or Syria;</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Underlying Documents</w:t>
      </w:r>
      <w:r>
        <w:rPr>
          <w:rFonts w:ascii="Arial" w:cs="Arial" w:eastAsia="Arial" w:hAnsi="Arial"/>
          <w:sz w:val="17"/>
          <w:szCs w:val="17"/>
          <w:color w:val="auto"/>
        </w:rPr>
        <w:t>” means, together, the Shipbuilding Contracts and the Tesoro Charters and, in the singular, means any of them;</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Unscheduled Amount</w:t>
      </w:r>
      <w:r>
        <w:rPr>
          <w:rFonts w:ascii="Arial" w:cs="Arial" w:eastAsia="Arial" w:hAnsi="Arial"/>
          <w:sz w:val="18"/>
          <w:szCs w:val="18"/>
          <w:color w:val="auto"/>
        </w:rPr>
        <w:t>” has the meaning given in Clause 29.2;</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35" w:lineRule="exact"/>
        <w:rPr>
          <w:sz w:val="20"/>
          <w:szCs w:val="20"/>
          <w:color w:val="auto"/>
        </w:rPr>
      </w:pPr>
    </w:p>
    <w:p>
      <w:pPr>
        <w:ind w:left="1700" w:hanging="787"/>
        <w:spacing w:after="0"/>
        <w:tabs>
          <w:tab w:leader="none" w:pos="17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Borrower which is resident for tax purposes in the US; or</w:t>
      </w:r>
    </w:p>
    <w:p>
      <w:pPr>
        <w:spacing w:after="0" w:line="130" w:lineRule="exact"/>
        <w:rPr>
          <w:rFonts w:ascii="Arial" w:cs="Arial" w:eastAsia="Arial" w:hAnsi="Arial"/>
          <w:sz w:val="18"/>
          <w:szCs w:val="18"/>
          <w:color w:val="auto"/>
        </w:rPr>
      </w:pPr>
    </w:p>
    <w:p>
      <w:pPr>
        <w:ind w:left="1700" w:right="100" w:hanging="787"/>
        <w:spacing w:after="0" w:line="277" w:lineRule="auto"/>
        <w:tabs>
          <w:tab w:leader="none" w:pos="17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Borrower or any Security Party, in each case, some or all of whose payments under the Finance Documents are from sources within the United States for United States federal income tax purposes; and</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w:t>
      </w:r>
    </w:p>
    <w:p>
      <w:pPr>
        <w:spacing w:after="0" w:line="135" w:lineRule="exact"/>
        <w:rPr>
          <w:sz w:val="20"/>
          <w:szCs w:val="20"/>
          <w:color w:val="auto"/>
        </w:rPr>
      </w:pPr>
    </w:p>
    <w:p>
      <w:pPr>
        <w:ind w:left="1700" w:hanging="787"/>
        <w:spacing w:after="0" w:line="277" w:lineRule="auto"/>
        <w:tabs>
          <w:tab w:leader="none" w:pos="1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130" w:lineRule="exact"/>
        <w:rPr>
          <w:rFonts w:ascii="Arial" w:cs="Arial" w:eastAsia="Arial" w:hAnsi="Arial"/>
          <w:sz w:val="18"/>
          <w:szCs w:val="18"/>
          <w:color w:val="auto"/>
        </w:rPr>
      </w:pPr>
    </w:p>
    <w:p>
      <w:pPr>
        <w:ind w:left="3200" w:right="80" w:hanging="802"/>
        <w:spacing w:after="0" w:line="272" w:lineRule="auto"/>
        <w:tabs>
          <w:tab w:leader="none" w:pos="320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83" w:lineRule="exact"/>
        <w:rPr>
          <w:rFonts w:ascii="Arial" w:cs="Arial" w:eastAsia="Arial" w:hAnsi="Arial"/>
          <w:sz w:val="17"/>
          <w:szCs w:val="17"/>
          <w:color w:val="auto"/>
        </w:rPr>
      </w:pPr>
    </w:p>
    <w:p>
      <w:pPr>
        <w:ind w:left="3200" w:hanging="802"/>
        <w:spacing w:after="0"/>
        <w:tabs>
          <w:tab w:leader="none" w:pos="32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w:t>
      </w:r>
      <w:r>
        <w:rPr>
          <w:rFonts w:ascii="Arial" w:cs="Arial" w:eastAsia="Arial" w:hAnsi="Arial"/>
          <w:sz w:val="18"/>
          <w:szCs w:val="18"/>
          <w:color w:val="auto"/>
        </w:rPr>
        <w:t>” means, for the purposes of Clause 13, approved in writing by the Facility Agent;</w:t>
      </w:r>
    </w:p>
    <w:p>
      <w:pPr>
        <w:spacing w:after="0" w:line="117" w:lineRule="exact"/>
        <w:rPr>
          <w:sz w:val="20"/>
          <w:szCs w:val="20"/>
          <w:color w:val="auto"/>
        </w:rPr>
      </w:pPr>
    </w:p>
    <w:p>
      <w:pPr>
        <w:ind w:left="920"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w:t>
      </w:r>
      <w:r>
        <w:rPr>
          <w:rFonts w:ascii="Arial" w:cs="Arial" w:eastAsia="Arial" w:hAnsi="Arial"/>
          <w:sz w:val="18"/>
          <w:szCs w:val="18"/>
          <w:color w:val="auto"/>
        </w:rPr>
        <w:t>” includes every kind of property, asset, interest or right, including any present, future or contingent right to any revenues or other payment;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any partnership, joint venture and unincorporated association;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consent</w:t>
      </w:r>
      <w:r>
        <w:rPr>
          <w:rFonts w:ascii="Arial" w:cs="Arial" w:eastAsia="Arial" w:hAnsi="Arial"/>
          <w:sz w:val="17"/>
          <w:szCs w:val="17"/>
          <w:color w:val="auto"/>
        </w:rPr>
        <w:t>” includes an authorisation, consent, approval, resolution, licence, exemption, filing, registration, notarisation and legalisation;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12" w:name="page213"/>
    <w:bookmarkEnd w:id="212"/>
    <w:p>
      <w:pPr>
        <w:ind w:right="190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contingent liability</w:t>
      </w:r>
      <w:r>
        <w:rPr>
          <w:rFonts w:ascii="Arial" w:cs="Arial" w:eastAsia="Arial" w:hAnsi="Arial"/>
          <w:sz w:val="18"/>
          <w:szCs w:val="18"/>
          <w:color w:val="auto"/>
        </w:rPr>
        <w:t>” means a liability which is not certain to arise and/or the amount of which remains unascertained; “</w:t>
      </w:r>
      <w:r>
        <w:rPr>
          <w:rFonts w:ascii="Arial" w:cs="Arial" w:eastAsia="Arial" w:hAnsi="Arial"/>
          <w:sz w:val="18"/>
          <w:szCs w:val="18"/>
          <w:b w:val="1"/>
          <w:bCs w:val="1"/>
          <w:color w:val="auto"/>
        </w:rPr>
        <w:t>document</w:t>
      </w:r>
      <w:r>
        <w:rPr>
          <w:rFonts w:ascii="Arial" w:cs="Arial" w:eastAsia="Arial" w:hAnsi="Arial"/>
          <w:sz w:val="18"/>
          <w:szCs w:val="18"/>
          <w:color w:val="auto"/>
        </w:rPr>
        <w:t>” includes a deed; also a letter or fax;</w:t>
      </w:r>
    </w:p>
    <w:p>
      <w:pPr>
        <w:spacing w:after="0" w:line="1"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risks</w:t>
      </w:r>
      <w:r>
        <w:rPr>
          <w:rFonts w:ascii="Arial" w:cs="Arial" w:eastAsia="Arial" w:hAnsi="Arial"/>
          <w:sz w:val="18"/>
          <w:szCs w:val="18"/>
          <w:color w:val="auto"/>
        </w:rPr>
        <w:t>” means, in relation to a Ship, the proportion of claims for general average, salvage and salvage charges not recoverable under the hull and machinery policies in respect of the Ship in consequence of her insured value being less than the value at which the Ship is assessed for the purpose of such claims;</w:t>
      </w:r>
    </w:p>
    <w:p>
      <w:pPr>
        <w:spacing w:after="0" w:line="6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w:t>
      </w:r>
      <w:r>
        <w:rPr>
          <w:rFonts w:ascii="Arial" w:cs="Arial" w:eastAsia="Arial" w:hAnsi="Arial"/>
          <w:sz w:val="18"/>
          <w:szCs w:val="18"/>
          <w:color w:val="auto"/>
        </w:rPr>
        <w:t>” means any kind of cost, charge or expense (including all legal costs, charges and expenses) and any applicable value added or other tax;</w:t>
      </w:r>
    </w:p>
    <w:p>
      <w:pPr>
        <w:spacing w:after="0" w:line="54"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negligence</w:t>
      </w:r>
      <w:r>
        <w:rPr>
          <w:rFonts w:ascii="Arial" w:cs="Arial" w:eastAsia="Arial" w:hAnsi="Arial"/>
          <w:sz w:val="18"/>
          <w:szCs w:val="18"/>
          <w:color w:val="auto"/>
        </w:rPr>
        <w:t>” means a form of negligence which is distinct from ordinary negligence, in which the due diligence and care which are generally to be exercised have been disregarded to a particularly high degree, in which the plainest deliberations have not been made and that which should be most obvious to everybody has not been followed;</w:t>
      </w:r>
    </w:p>
    <w:p>
      <w:pPr>
        <w:spacing w:after="0" w:line="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includes any form of delegated legislation, any order or decree, any treaty or international convention and any regulation or resolution of the Council of the European Union, the European Commission, the United Nations or its Security Council;</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or administrative action</w:t>
      </w:r>
      <w:r>
        <w:rPr>
          <w:rFonts w:ascii="Arial" w:cs="Arial" w:eastAsia="Arial" w:hAnsi="Arial"/>
          <w:sz w:val="17"/>
          <w:szCs w:val="17"/>
          <w:color w:val="auto"/>
        </w:rPr>
        <w:t>” means any legal proceeding or arbitration and any administrative or regulatory action or investigation;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liability</w:t>
      </w:r>
      <w:r>
        <w:rPr>
          <w:rFonts w:ascii="Arial" w:cs="Arial" w:eastAsia="Arial" w:hAnsi="Arial"/>
          <w:sz w:val="16"/>
          <w:szCs w:val="16"/>
          <w:color w:val="auto"/>
        </w:rPr>
        <w:t>” includes every kind of debt or liability (present or future, certain or contingent), whether incurred as principal or surety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in accordance with Clause 1.3;</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obligatory insurances</w:t>
      </w:r>
      <w:r>
        <w:rPr>
          <w:rFonts w:ascii="Arial" w:cs="Arial" w:eastAsia="Arial" w:hAnsi="Arial"/>
          <w:sz w:val="18"/>
          <w:szCs w:val="18"/>
          <w:color w:val="auto"/>
        </w:rPr>
        <w:t>” means, in relation to a Ship, all insurances effected, or which the Borrower owning the Ship is obliged to effect, under Clause 13 below or any other provision of this Agreement or another Finance Document;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has the meaning given in Clause 1.4;</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any partnership, any company; any state, political sub-division of a state and local or municipal authority; and any international organisation;</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w:t>
      </w:r>
      <w:r>
        <w:rPr>
          <w:rFonts w:ascii="Arial" w:cs="Arial" w:eastAsia="Arial" w:hAnsi="Arial"/>
          <w:sz w:val="18"/>
          <w:szCs w:val="18"/>
          <w:color w:val="auto"/>
        </w:rPr>
        <w:t>”, in relation to any insurance, includes a slip, cover note, certificate of entry or other document evidencing the contract of insurance or its terms;</w:t>
      </w:r>
    </w:p>
    <w:p>
      <w:pPr>
        <w:spacing w:after="0" w:line="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protection and indemnity risks</w:t>
      </w:r>
      <w:r>
        <w:rPr>
          <w:rFonts w:ascii="Arial" w:cs="Arial" w:eastAsia="Arial" w:hAnsi="Arial"/>
          <w:sz w:val="18"/>
          <w:szCs w:val="18"/>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or 1/11/03), clause 8 of the Institute Time Clauses (Hulls)(1/11/95) or clause 8 of the Institute Time Clauses (Hulls) (1/10/183) or the Institute Amended Running Down Clause (1/10/71) or any equivalent provision;</w:t>
      </w:r>
    </w:p>
    <w:p>
      <w:pPr>
        <w:spacing w:after="0" w:line="76"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(either having the force of law or compliance with which is reasonable in the ordinary course of business of the party concerned) of any governmental, intergovernmental or supranational body, agency, department or regulatory, self-regulatory or other authority or organisation;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in Clause 1.4;</w:t>
      </w:r>
    </w:p>
    <w:p>
      <w:pPr>
        <w:spacing w:after="0" w:line="16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00"/>
          </w:cols>
          <w:pgMar w:left="1160" w:top="270" w:right="239" w:bottom="1440" w:gutter="0" w:footer="0" w:header="0"/>
        </w:sectPr>
      </w:pPr>
    </w:p>
    <w:bookmarkStart w:id="213" w:name="page214"/>
    <w:bookmarkEnd w:id="213"/>
    <w:p>
      <w:pPr>
        <w:ind w:left="920" w:right="58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successor</w:t>
      </w:r>
      <w:r>
        <w:rPr>
          <w:rFonts w:ascii="Arial" w:cs="Arial" w:eastAsia="Arial" w:hAnsi="Arial"/>
          <w:sz w:val="16"/>
          <w:szCs w:val="16"/>
          <w:color w:val="auto"/>
        </w:rPr>
        <w:t>” includes any person who is entitled (by assignment, novation, merger or otherwise) to any other person’s rights under this Agreement or any other Finance Document (or any interest in those rights) or who, as administrator, liquidator or otherwise, is entitled to exercise those rights; and in particular references to a successor include a person to whom those rights (or any interest in those rights) are transferred or pass as a result of a merger, division, reconstruction or other reorganisation of it or any other person;</w:t>
      </w:r>
    </w:p>
    <w:p>
      <w:pPr>
        <w:spacing w:after="0" w:line="43" w:lineRule="exact"/>
        <w:rPr>
          <w:sz w:val="20"/>
          <w:szCs w:val="20"/>
          <w:color w:val="auto"/>
        </w:rPr>
      </w:pPr>
    </w:p>
    <w:p>
      <w:pPr>
        <w:ind w:left="92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includes any present or future tax, duty, impost, levy or charge of any kind which is imposed by any state, any political sub-division of a state or any local or municipal authority (including any such imposed in connection with exchange controls), and any connected penalty, interest or fine; and</w:t>
      </w:r>
    </w:p>
    <w:p>
      <w:pPr>
        <w:spacing w:after="0" w:line="68" w:lineRule="exact"/>
        <w:rPr>
          <w:sz w:val="20"/>
          <w:szCs w:val="20"/>
          <w:color w:val="auto"/>
        </w:rPr>
      </w:pPr>
    </w:p>
    <w:p>
      <w:pPr>
        <w:ind w:left="9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 risks</w:t>
      </w:r>
      <w:r>
        <w:rPr>
          <w:rFonts w:ascii="Arial" w:cs="Arial" w:eastAsia="Arial" w:hAnsi="Arial"/>
          <w:sz w:val="18"/>
          <w:szCs w:val="18"/>
          <w:color w:val="auto"/>
        </w:rPr>
        <w:t>” includes the risk of mines and all risks excluded by clause 29 of the International Hull Clauses (1/11/02 or 1/11/03), clause 24 of the Institute Time Clauses (Hulls)(1/11/1995) or clause 23 of the Institute Time Clauses (Hulls) (1/10/83).</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Meaning of “month”</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A period of one or more “months” ends on the day in the relevant calendar month numerically corresponding to the day of the calendar month on which the period started (“</w:t>
      </w:r>
      <w:r>
        <w:rPr>
          <w:rFonts w:ascii="Arial" w:cs="Arial" w:eastAsia="Arial" w:hAnsi="Arial"/>
          <w:sz w:val="18"/>
          <w:szCs w:val="18"/>
          <w:b w:val="1"/>
          <w:bCs w:val="1"/>
          <w:color w:val="auto"/>
        </w:rPr>
        <w:t>the numerically corresponding day</w:t>
      </w:r>
      <w:r>
        <w:rPr>
          <w:rFonts w:ascii="Arial" w:cs="Arial" w:eastAsia="Arial" w:hAnsi="Arial"/>
          <w:sz w:val="18"/>
          <w:szCs w:val="18"/>
          <w:color w:val="auto"/>
        </w:rPr>
        <w:t>”), but:</w:t>
      </w:r>
    </w:p>
    <w:p>
      <w:pPr>
        <w:spacing w:after="0" w:line="197" w:lineRule="exact"/>
        <w:rPr>
          <w:sz w:val="20"/>
          <w:szCs w:val="20"/>
          <w:color w:val="auto"/>
        </w:rPr>
      </w:pPr>
    </w:p>
    <w:p>
      <w:pPr>
        <w:ind w:left="920" w:right="220" w:hanging="912"/>
        <w:spacing w:after="0" w:line="308" w:lineRule="auto"/>
        <w:tabs>
          <w:tab w:leader="none" w:pos="9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on the Business Day following the numerically corresponding day if the numerically corresponding day is not a Business Day or, if there is no later Business Day in the same calendar month, on the Business Day preceding the numerically corresponding day; or</w:t>
      </w:r>
    </w:p>
    <w:p>
      <w:pPr>
        <w:spacing w:after="0" w:line="173" w:lineRule="exact"/>
        <w:rPr>
          <w:rFonts w:ascii="Arial" w:cs="Arial" w:eastAsia="Arial" w:hAnsi="Arial"/>
          <w:sz w:val="17"/>
          <w:szCs w:val="17"/>
          <w:color w:val="auto"/>
        </w:rPr>
      </w:pPr>
    </w:p>
    <w:p>
      <w:pPr>
        <w:ind w:left="920" w:right="120" w:hanging="912"/>
        <w:spacing w:after="0" w:line="277" w:lineRule="auto"/>
        <w:tabs>
          <w:tab w:leader="none" w:pos="9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on the last Business Day in the relevant calendar month, if the period started on the last Business Day in a calendar month or if the last calendar month of the period has no numerically corresponding day,</w:t>
      </w:r>
    </w:p>
    <w:p>
      <w:pPr>
        <w:spacing w:after="0" w:line="5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w:t>
      </w:r>
      <w:r>
        <w:rPr>
          <w:rFonts w:ascii="Arial" w:cs="Arial" w:eastAsia="Arial" w:hAnsi="Arial"/>
          <w:sz w:val="18"/>
          <w:szCs w:val="18"/>
          <w:b w:val="1"/>
          <w:bCs w:val="1"/>
          <w:color w:val="auto"/>
        </w:rPr>
        <w:t>month</w:t>
      </w:r>
      <w:r>
        <w:rPr>
          <w:rFonts w:ascii="Arial" w:cs="Arial" w:eastAsia="Arial" w:hAnsi="Arial"/>
          <w:sz w:val="18"/>
          <w:szCs w:val="18"/>
          <w:color w:val="auto"/>
        </w:rPr>
        <w:t>” and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Meaning of “subsidiary”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company (S) is a subsidiary of another company (P) if:</w:t>
      </w:r>
    </w:p>
    <w:p>
      <w:pPr>
        <w:spacing w:after="0" w:line="252" w:lineRule="exact"/>
        <w:rPr>
          <w:sz w:val="20"/>
          <w:szCs w:val="20"/>
          <w:color w:val="auto"/>
        </w:rPr>
      </w:pPr>
    </w:p>
    <w:p>
      <w:pPr>
        <w:ind w:left="920" w:right="180" w:hanging="912"/>
        <w:spacing w:after="0" w:line="277" w:lineRule="auto"/>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majority of the issued shares in S (or a majority of the issued shares in S which carry unlimited rights to capital and income distributions) are directly owned by P or are indirectly attributable to P; or</w:t>
      </w:r>
    </w:p>
    <w:p>
      <w:pPr>
        <w:spacing w:after="0" w:line="197" w:lineRule="exact"/>
        <w:rPr>
          <w:rFonts w:ascii="Arial" w:cs="Arial" w:eastAsia="Arial" w:hAnsi="Arial"/>
          <w:sz w:val="18"/>
          <w:szCs w:val="18"/>
          <w:color w:val="auto"/>
        </w:rPr>
      </w:pPr>
    </w:p>
    <w:p>
      <w:pPr>
        <w:ind w:left="920" w:hanging="912"/>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 has direct or indirect control over a majority of the voting rights attached to the issued shares of S; or</w:t>
      </w:r>
    </w:p>
    <w:p>
      <w:pPr>
        <w:spacing w:after="0" w:line="252" w:lineRule="exact"/>
        <w:rPr>
          <w:rFonts w:ascii="Arial" w:cs="Arial" w:eastAsia="Arial" w:hAnsi="Arial"/>
          <w:sz w:val="18"/>
          <w:szCs w:val="18"/>
          <w:color w:val="auto"/>
        </w:rPr>
      </w:pPr>
    </w:p>
    <w:p>
      <w:pPr>
        <w:ind w:left="920" w:right="4220" w:hanging="912"/>
        <w:spacing w:after="0" w:line="440" w:lineRule="auto"/>
        <w:tabs>
          <w:tab w:leader="none" w:pos="91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P has the direct or indirect power to appoint or remove a majority of the directors of S, and any company of which S is a subsidiary is a parent company of S.</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General Interpretation</w:t>
      </w:r>
    </w:p>
    <w:p>
      <w:pPr>
        <w:spacing w:after="0" w:line="135" w:lineRule="exact"/>
        <w:rPr>
          <w:sz w:val="20"/>
          <w:szCs w:val="20"/>
          <w:color w:val="auto"/>
        </w:rPr>
      </w:pPr>
    </w:p>
    <w:p>
      <w:pPr>
        <w:ind w:left="920" w:hanging="912"/>
        <w:spacing w:after="0"/>
        <w:tabs>
          <w:tab w:leader="none" w:pos="9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30" w:lineRule="exact"/>
        <w:rPr>
          <w:rFonts w:ascii="Arial" w:cs="Arial" w:eastAsia="Arial" w:hAnsi="Arial"/>
          <w:sz w:val="18"/>
          <w:szCs w:val="18"/>
          <w:color w:val="auto"/>
        </w:rPr>
      </w:pPr>
    </w:p>
    <w:p>
      <w:pPr>
        <w:ind w:left="1700" w:right="480" w:hanging="787"/>
        <w:spacing w:after="0" w:line="277" w:lineRule="auto"/>
        <w:tabs>
          <w:tab w:leader="none" w:pos="17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references to, or to a provision of, a Finance Document or any other document are references to it as amended or supplemented, whether before the date of this Agreement or otherwise;</w:t>
      </w:r>
    </w:p>
    <w:p>
      <w:pPr>
        <w:spacing w:after="0" w:line="75" w:lineRule="exact"/>
        <w:rPr>
          <w:rFonts w:ascii="Arial" w:cs="Arial" w:eastAsia="Arial" w:hAnsi="Arial"/>
          <w:sz w:val="18"/>
          <w:szCs w:val="18"/>
          <w:color w:val="auto"/>
        </w:rPr>
      </w:pPr>
    </w:p>
    <w:p>
      <w:pPr>
        <w:ind w:left="1700" w:right="60" w:hanging="787"/>
        <w:spacing w:after="0" w:line="277" w:lineRule="auto"/>
        <w:tabs>
          <w:tab w:leader="none" w:pos="17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references to, or to a provision of, any law include any amendment, extension, re-enactment or replacement, whether made before the date of this Agreement or otherwise;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0" w:right="279" w:bottom="1440" w:gutter="0" w:footer="0" w:header="0"/>
        </w:sectPr>
      </w:pPr>
    </w:p>
    <w:bookmarkStart w:id="214" w:name="page215"/>
    <w:bookmarkEnd w:id="214"/>
    <w:p>
      <w:pPr>
        <w:ind w:left="1700" w:hanging="787"/>
        <w:spacing w:after="0"/>
        <w:tabs>
          <w:tab w:leader="none" w:pos="17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words denoting the singular number shall include the plural and vice versa.</w:t>
      </w:r>
    </w:p>
    <w:p>
      <w:pPr>
        <w:spacing w:after="0" w:line="252" w:lineRule="exact"/>
        <w:rPr>
          <w:rFonts w:ascii="Arial" w:cs="Arial" w:eastAsia="Arial" w:hAnsi="Arial"/>
          <w:sz w:val="18"/>
          <w:szCs w:val="18"/>
          <w:color w:val="auto"/>
        </w:rPr>
      </w:pPr>
    </w:p>
    <w:p>
      <w:pPr>
        <w:ind w:left="920" w:hanging="912"/>
        <w:spacing w:after="0"/>
        <w:tabs>
          <w:tab w:leader="none" w:pos="9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Clauses 1.1 to 1.4 and paragraph (a) of this Clause 1.5 apply unless the contrary intention appears.</w:t>
      </w:r>
    </w:p>
    <w:p>
      <w:pPr>
        <w:spacing w:after="0" w:line="252" w:lineRule="exact"/>
        <w:rPr>
          <w:rFonts w:ascii="Arial" w:cs="Arial" w:eastAsia="Arial" w:hAnsi="Arial"/>
          <w:sz w:val="18"/>
          <w:szCs w:val="18"/>
          <w:color w:val="auto"/>
        </w:rPr>
      </w:pPr>
    </w:p>
    <w:p>
      <w:pPr>
        <w:ind w:left="920" w:right="80" w:hanging="912"/>
        <w:spacing w:after="0" w:line="264" w:lineRule="auto"/>
        <w:tabs>
          <w:tab w:leader="none" w:pos="9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References in Clause 1.1 to a document being in the form of a particular Appendix include references to that form with any modifications to that form which the Facility Agent (with the authorisation of the Majority Lenders in the case of substantial modifications) approves or reasonably requires.</w:t>
      </w:r>
    </w:p>
    <w:p>
      <w:pPr>
        <w:spacing w:after="0" w:line="208" w:lineRule="exact"/>
        <w:rPr>
          <w:rFonts w:ascii="Arial" w:cs="Arial" w:eastAsia="Arial" w:hAnsi="Arial"/>
          <w:sz w:val="18"/>
          <w:szCs w:val="18"/>
          <w:color w:val="auto"/>
        </w:rPr>
      </w:pPr>
    </w:p>
    <w:p>
      <w:pPr>
        <w:ind w:left="920" w:hanging="912"/>
        <w:spacing w:after="0"/>
        <w:tabs>
          <w:tab w:leader="none" w:pos="9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clause headings shall not affect the interpretation of this Agreement.</w:t>
      </w:r>
    </w:p>
    <w:p>
      <w:pPr>
        <w:spacing w:after="0" w:line="248" w:lineRule="exact"/>
        <w:rPr>
          <w:rFonts w:ascii="Arial" w:cs="Arial" w:eastAsia="Arial" w:hAnsi="Arial"/>
          <w:sz w:val="18"/>
          <w:szCs w:val="18"/>
          <w:color w:val="auto"/>
        </w:rPr>
      </w:pPr>
    </w:p>
    <w:p>
      <w:pPr>
        <w:ind w:left="920" w:right="320" w:hanging="912"/>
        <w:spacing w:after="0" w:line="282" w:lineRule="auto"/>
        <w:tabs>
          <w:tab w:leader="none" w:pos="9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Potential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w:t>
      </w:r>
    </w:p>
    <w:p>
      <w:pPr>
        <w:spacing w:after="0" w:line="310" w:lineRule="exact"/>
        <w:rPr>
          <w:sz w:val="20"/>
          <w:szCs w:val="20"/>
          <w:color w:val="auto"/>
        </w:rPr>
      </w:pPr>
    </w:p>
    <w:p>
      <w:pPr>
        <w:ind w:left="920" w:hanging="912"/>
        <w:spacing w:after="0"/>
        <w:tabs>
          <w:tab w:leader="none" w:pos="9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FACILITY</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Amount of facility</w:t>
      </w:r>
    </w:p>
    <w:p>
      <w:pPr>
        <w:spacing w:after="0" w:line="121" w:lineRule="exact"/>
        <w:rPr>
          <w:sz w:val="20"/>
          <w:szCs w:val="20"/>
          <w:color w:val="auto"/>
        </w:rPr>
      </w:pPr>
    </w:p>
    <w:p>
      <w:pPr>
        <w:ind w:left="920" w:right="200"/>
        <w:spacing w:after="0" w:line="302" w:lineRule="auto"/>
        <w:rPr>
          <w:sz w:val="20"/>
          <w:szCs w:val="20"/>
          <w:color w:val="auto"/>
        </w:rPr>
      </w:pPr>
      <w:r>
        <w:rPr>
          <w:rFonts w:ascii="Arial" w:cs="Arial" w:eastAsia="Arial" w:hAnsi="Arial"/>
          <w:sz w:val="16"/>
          <w:szCs w:val="16"/>
          <w:color w:val="auto"/>
        </w:rPr>
        <w:t xml:space="preserve">Subject to the terms of this Agreement, the Lenders shall make available to the Borrowers, or, following a Dropdown, to the Borrower that is a member of the relevant Group, a post- delivery secured term loan facility in two Advances which shall each be available for drawing in one advance to finance or refinance the delivery instalment or as the case refinance certain pre-delivery instalments paid in connection with the acquisition of that Ship,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Advances A and B shall be in an aggregate amount not exceeding $70,200,000.</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Lenders’ participations in an Advance</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Subject to the other provisions of this Agreement, each Lender shall participate in an Advance in the proportion which, as at the Drawdown Date applicable to that Advance, its Commitment bears to the Total Commitments.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Purpose of Loan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Borrower undertakes with each Creditor Party to use each Advance only for the purpose stated in the preamble to this Agreement.</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Monitoring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Creditor Party is bound to monitor or verify the application of any amount borrowed pursuant to this Agreement.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Designated Transactions under each Master Agreement</w:t>
      </w:r>
    </w:p>
    <w:p>
      <w:pPr>
        <w:spacing w:after="0" w:line="121"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color w:val="auto"/>
        </w:rPr>
        <w:t xml:space="preserve">At any time during the Security Period, any Borrower may request the Swap Bank or any other Lender to conclude Designated Transactions for the purpose of hedging exposure to interest rate fluctuations in the context of their interest payment obligations under this Agreement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that </w:t>
      </w:r>
      <w:r>
        <w:rPr>
          <w:rFonts w:ascii="Arial" w:cs="Arial" w:eastAsia="Arial" w:hAnsi="Arial"/>
          <w:sz w:val="18"/>
          <w:szCs w:val="18"/>
          <w:color w:val="auto"/>
        </w:rPr>
        <w:t>the Lenders who were Swap Bank on the date of this Agreement shall have the right of first refusal to conclude such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The entry by the Swap Bank into each Master Agreement does not commit the Swap Bank to conclude Designated Transactions, or even to offer terms for doing so, but does provide a contractual framework within which Designated Transactions may be concluded and secured, assuming that the Swap Bank is willing to conclude any Designated Transaction at the relevant time and that, if that is the case, mutually acceptable terms can be agreed at the relevant time. The Swap Bank may, with the prior consent of the Borrower which is a party to the relevant Master Agreement (such consent not to be unreasonably withheld and/or delayed), syndicate its exposure under that Master Agreement at any time.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15" w:name="page216"/>
    <w:bookmarkEnd w:id="215"/>
    <w:p>
      <w:pPr>
        <w:ind w:left="920" w:hanging="912"/>
        <w:spacing w:after="0"/>
        <w:tabs>
          <w:tab w:leader="none" w:pos="92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POSITION OF THE LENDERS, THE SWAP BANK AND THE MAJORITY LENDERS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Interests of Lenders and Swap Bank several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rights of the Lenders and the Swap Bank under this Agreement and each Master Agreement are several; accordingly:</w:t>
      </w:r>
    </w:p>
    <w:p>
      <w:pPr>
        <w:spacing w:after="0" w:line="131" w:lineRule="exact"/>
        <w:rPr>
          <w:sz w:val="20"/>
          <w:szCs w:val="20"/>
          <w:color w:val="auto"/>
        </w:rPr>
      </w:pPr>
    </w:p>
    <w:p>
      <w:pPr>
        <w:ind w:left="920" w:hanging="912"/>
        <w:spacing w:after="0"/>
        <w:tabs>
          <w:tab w:leader="none" w:pos="92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each Lender shall be entitled to sue for any amount which has become due and payable by the Borrowers to it under this Agreement; and</w:t>
      </w:r>
    </w:p>
    <w:p>
      <w:pPr>
        <w:spacing w:after="0" w:line="142" w:lineRule="exact"/>
        <w:rPr>
          <w:rFonts w:ascii="Arial" w:cs="Arial" w:eastAsia="Arial" w:hAnsi="Arial"/>
          <w:sz w:val="17"/>
          <w:szCs w:val="17"/>
          <w:color w:val="auto"/>
        </w:rPr>
      </w:pPr>
    </w:p>
    <w:p>
      <w:pPr>
        <w:ind w:left="920" w:right="160" w:hanging="912"/>
        <w:spacing w:after="0" w:line="277" w:lineRule="auto"/>
        <w:tabs>
          <w:tab w:leader="none" w:pos="9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Swap Bank shall be entitled to sue for any amount which has become due and payable by the Borrowers to it under a Master Agreement to which it is a party,</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7"/>
          <w:szCs w:val="17"/>
          <w:color w:val="auto"/>
        </w:rPr>
        <w:t>without joining the Facility Agent, the Security Trustee, any other Lender or the Swap Bank as additional parties in the proceedings.</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Proceedings by individual Lender or the Swap Bank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However, without the prior consent of the Majority Lenders, no Lender nor the Swap Bank may bring proceedings in respect of:</w:t>
      </w:r>
    </w:p>
    <w:p>
      <w:pPr>
        <w:spacing w:after="0" w:line="131" w:lineRule="exact"/>
        <w:rPr>
          <w:sz w:val="20"/>
          <w:szCs w:val="20"/>
          <w:color w:val="auto"/>
        </w:rPr>
      </w:pPr>
    </w:p>
    <w:p>
      <w:pPr>
        <w:ind w:left="920" w:hanging="912"/>
        <w:spacing w:after="0"/>
        <w:tabs>
          <w:tab w:leader="none" w:pos="92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any other liability or obligation of a Borrower or a Security Party under or connected with a Finance Document or a Master Agreement; or</w:t>
      </w:r>
    </w:p>
    <w:p>
      <w:pPr>
        <w:spacing w:after="0" w:line="142" w:lineRule="exact"/>
        <w:rPr>
          <w:rFonts w:ascii="Arial" w:cs="Arial" w:eastAsia="Arial" w:hAnsi="Arial"/>
          <w:sz w:val="17"/>
          <w:szCs w:val="17"/>
          <w:color w:val="auto"/>
        </w:rPr>
      </w:pPr>
    </w:p>
    <w:p>
      <w:pPr>
        <w:ind w:left="920" w:right="720" w:hanging="912"/>
        <w:spacing w:after="0" w:line="277" w:lineRule="auto"/>
        <w:tabs>
          <w:tab w:leader="none" w:pos="9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misrepresentation or breach of warranty by a Borrower or a Security Party in or connected with a Finance Document or the Master Agreement to which that Borrower is a party without the prior consent of the Majority Lenders.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Obligations several</w:t>
      </w:r>
    </w:p>
    <w:p>
      <w:pPr>
        <w:spacing w:after="0" w:line="121"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The obligations of the Lenders under this Agreement and of the Swap Bank under the Master Agreements are several; and a failure of a Lender to perform its obligations under this Agreement or a failure of the Swap Bank to perform its obligations under a Master Agreement shall not result in:</w:t>
      </w:r>
    </w:p>
    <w:p>
      <w:pPr>
        <w:spacing w:after="0" w:line="87" w:lineRule="exact"/>
        <w:rPr>
          <w:sz w:val="20"/>
          <w:szCs w:val="20"/>
          <w:color w:val="auto"/>
        </w:rPr>
      </w:pPr>
    </w:p>
    <w:p>
      <w:pPr>
        <w:ind w:left="920" w:hanging="912"/>
        <w:spacing w:after="0"/>
        <w:tabs>
          <w:tab w:leader="none" w:pos="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obligations of the other Lenders or the Swap Bank being increased; nor</w:t>
      </w:r>
    </w:p>
    <w:p>
      <w:pPr>
        <w:spacing w:after="0" w:line="130" w:lineRule="exact"/>
        <w:rPr>
          <w:rFonts w:ascii="Arial" w:cs="Arial" w:eastAsia="Arial" w:hAnsi="Arial"/>
          <w:sz w:val="18"/>
          <w:szCs w:val="18"/>
          <w:color w:val="auto"/>
        </w:rPr>
      </w:pPr>
    </w:p>
    <w:p>
      <w:pPr>
        <w:ind w:left="920" w:right="400" w:hanging="912"/>
        <w:spacing w:after="0" w:line="277" w:lineRule="auto"/>
        <w:tabs>
          <w:tab w:leader="none" w:pos="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Borrowers, any Security Party or any other Creditor Party being discharged (in whole or in part) from its obligations under any Finance Document,</w:t>
      </w:r>
    </w:p>
    <w:p>
      <w:pPr>
        <w:spacing w:after="0" w:line="62" w:lineRule="exact"/>
        <w:rPr>
          <w:rFonts w:ascii="Arial" w:cs="Arial" w:eastAsia="Arial" w:hAnsi="Arial"/>
          <w:sz w:val="18"/>
          <w:szCs w:val="18"/>
          <w:color w:val="auto"/>
        </w:rPr>
      </w:pPr>
    </w:p>
    <w:p>
      <w:pPr>
        <w:ind w:left="920"/>
        <w:spacing w:after="0" w:line="277" w:lineRule="auto"/>
        <w:rPr>
          <w:rFonts w:ascii="Arial" w:cs="Arial" w:eastAsia="Arial" w:hAnsi="Arial"/>
          <w:sz w:val="18"/>
          <w:szCs w:val="18"/>
          <w:color w:val="auto"/>
        </w:rPr>
      </w:pPr>
      <w:r>
        <w:rPr>
          <w:rFonts w:ascii="Arial" w:cs="Arial" w:eastAsia="Arial" w:hAnsi="Arial"/>
          <w:sz w:val="18"/>
          <w:szCs w:val="18"/>
          <w:color w:val="auto"/>
        </w:rPr>
        <w:t>and in no circumstances shall a Lender or the Swap Bank have any responsibility for a failure of another Lender or the Swap Bank to perform its obligations under this Agreement or a Master Agreement.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Parties bound by certain actions of Majority Lenders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Lender, the Swap Bank, Borrower and Security Party shall be bound by:</w:t>
      </w:r>
    </w:p>
    <w:p>
      <w:pPr>
        <w:spacing w:after="0" w:line="131" w:lineRule="exact"/>
        <w:rPr>
          <w:sz w:val="20"/>
          <w:szCs w:val="20"/>
          <w:color w:val="auto"/>
        </w:rPr>
      </w:pPr>
    </w:p>
    <w:p>
      <w:pPr>
        <w:ind w:left="920" w:hanging="912"/>
        <w:spacing w:after="0"/>
        <w:tabs>
          <w:tab w:leader="none" w:pos="9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determination made, or action taken, by the Majority Lenders under any provision of a Finance Document;</w:t>
      </w:r>
    </w:p>
    <w:p>
      <w:pPr>
        <w:spacing w:after="0" w:line="130" w:lineRule="exact"/>
        <w:rPr>
          <w:rFonts w:ascii="Arial" w:cs="Arial" w:eastAsia="Arial" w:hAnsi="Arial"/>
          <w:sz w:val="18"/>
          <w:szCs w:val="18"/>
          <w:color w:val="auto"/>
        </w:rPr>
      </w:pPr>
    </w:p>
    <w:p>
      <w:pPr>
        <w:ind w:left="920" w:right="380" w:hanging="912"/>
        <w:spacing w:after="0" w:line="277" w:lineRule="auto"/>
        <w:tabs>
          <w:tab w:leader="none" w:pos="9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instruction or authorisation given by the Majority Lenders to the Facility Agent or the Security Trustee under or in connection with any Finance Document;</w:t>
      </w:r>
    </w:p>
    <w:p>
      <w:pPr>
        <w:spacing w:after="0" w:line="75" w:lineRule="exact"/>
        <w:rPr>
          <w:rFonts w:ascii="Arial" w:cs="Arial" w:eastAsia="Arial" w:hAnsi="Arial"/>
          <w:sz w:val="18"/>
          <w:szCs w:val="18"/>
          <w:color w:val="auto"/>
        </w:rPr>
      </w:pPr>
    </w:p>
    <w:p>
      <w:pPr>
        <w:ind w:left="920" w:right="400" w:hanging="912"/>
        <w:spacing w:after="0" w:line="277" w:lineRule="auto"/>
        <w:tabs>
          <w:tab w:leader="none" w:pos="9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action taken (or in good faith purportedly taken) by the Facility Agent or the Security Trustee in accordance with such an instruction or authorisation.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70" w:right="319" w:bottom="1440" w:gutter="0" w:footer="0" w:header="0"/>
        </w:sectPr>
      </w:pPr>
    </w:p>
    <w:bookmarkStart w:id="216" w:name="page217"/>
    <w:bookmarkEnd w:id="21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3.5</w:t>
      </w:r>
      <w:r>
        <w:rPr>
          <w:sz w:val="20"/>
          <w:szCs w:val="20"/>
          <w:color w:val="auto"/>
        </w:rPr>
        <w:tab/>
      </w:r>
      <w:r>
        <w:rPr>
          <w:rFonts w:ascii="Arial" w:cs="Arial" w:eastAsia="Arial" w:hAnsi="Arial"/>
          <w:sz w:val="16"/>
          <w:szCs w:val="16"/>
          <w:b w:val="1"/>
          <w:bCs w:val="1"/>
          <w:color w:val="auto"/>
        </w:rPr>
        <w:t>Reliance on action of Facility Agent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However, the Borrowers and each Security Party:</w:t>
      </w:r>
    </w:p>
    <w:p>
      <w:pPr>
        <w:spacing w:after="0" w:line="131" w:lineRule="exact"/>
        <w:rPr>
          <w:sz w:val="20"/>
          <w:szCs w:val="20"/>
          <w:color w:val="auto"/>
        </w:rPr>
      </w:pPr>
    </w:p>
    <w:p>
      <w:pPr>
        <w:ind w:left="920" w:right="240" w:hanging="912"/>
        <w:spacing w:after="0" w:line="277" w:lineRule="auto"/>
        <w:tabs>
          <w:tab w:leader="none" w:pos="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shall be entitled to assume that the Majority Lenders have duly given any instruction or authorisation which, under any provision of a Finance Document, is required in relation to any action which the Facility Agent has taken or is about to take;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shall not be entitled to require any evidence that such an instruction or authorisation has been given.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In Clauses 3.4 and 3.5 references to action taken include (without limitation) the granting of any waiver or consent, an approval of any document and an agreement to any matter.</w:t>
      </w:r>
    </w:p>
    <w:p>
      <w:pPr>
        <w:spacing w:after="0" w:line="315" w:lineRule="exact"/>
        <w:rPr>
          <w:sz w:val="20"/>
          <w:szCs w:val="20"/>
          <w:color w:val="auto"/>
        </w:rPr>
      </w:pPr>
    </w:p>
    <w:p>
      <w:pPr>
        <w:ind w:left="920" w:hanging="912"/>
        <w:spacing w:after="0"/>
        <w:tabs>
          <w:tab w:leader="none" w:pos="92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DRAWDOWN AND DROPDOWN OPTION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Request for Advance</w:t>
      </w:r>
    </w:p>
    <w:p>
      <w:pPr>
        <w:spacing w:after="0" w:line="121" w:lineRule="exact"/>
        <w:rPr>
          <w:sz w:val="20"/>
          <w:szCs w:val="20"/>
          <w:color w:val="auto"/>
        </w:rPr>
      </w:pPr>
    </w:p>
    <w:p>
      <w:pPr>
        <w:ind w:left="920" w:right="60"/>
        <w:spacing w:after="0" w:line="308" w:lineRule="auto"/>
        <w:rPr>
          <w:sz w:val="20"/>
          <w:szCs w:val="20"/>
          <w:color w:val="auto"/>
        </w:rPr>
      </w:pPr>
      <w:r>
        <w:rPr>
          <w:rFonts w:ascii="Arial" w:cs="Arial" w:eastAsia="Arial" w:hAnsi="Arial"/>
          <w:sz w:val="17"/>
          <w:szCs w:val="17"/>
          <w:color w:val="auto"/>
        </w:rPr>
        <w:t>Subject to the following conditions, the Borrowers may request an Advance to be made by ensuring that the Facility Agent receives a completed Drawdown Notice not later than 11.00 a.m. (Paris time) 3 Business Days prior to the intended Drawdown Date.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Availability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conditions referred to in Clause 4.1 are that:</w:t>
      </w:r>
    </w:p>
    <w:p>
      <w:pPr>
        <w:spacing w:after="0" w:line="131" w:lineRule="exact"/>
        <w:rPr>
          <w:sz w:val="20"/>
          <w:szCs w:val="20"/>
          <w:color w:val="auto"/>
        </w:rPr>
      </w:pPr>
    </w:p>
    <w:p>
      <w:pPr>
        <w:ind w:left="920" w:hanging="912"/>
        <w:spacing w:after="0"/>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Drawdown Date has to be a Business Day during the Availability Period;</w:t>
      </w:r>
    </w:p>
    <w:p>
      <w:pPr>
        <w:spacing w:after="0" w:line="130" w:lineRule="exact"/>
        <w:rPr>
          <w:rFonts w:ascii="Arial" w:cs="Arial" w:eastAsia="Arial" w:hAnsi="Arial"/>
          <w:sz w:val="18"/>
          <w:szCs w:val="18"/>
          <w:color w:val="auto"/>
        </w:rPr>
      </w:pPr>
    </w:p>
    <w:p>
      <w:pPr>
        <w:ind w:left="920" w:right="180" w:hanging="912"/>
        <w:spacing w:after="0" w:line="277" w:lineRule="auto"/>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of Advances shall be available for drawing in one advance and will be used to part finance or as the case may be part refinance part of the acquisition cost of each Ship; and</w:t>
      </w:r>
    </w:p>
    <w:p>
      <w:pPr>
        <w:spacing w:after="0" w:line="75" w:lineRule="exact"/>
        <w:rPr>
          <w:rFonts w:ascii="Arial" w:cs="Arial" w:eastAsia="Arial" w:hAnsi="Arial"/>
          <w:sz w:val="18"/>
          <w:szCs w:val="18"/>
          <w:color w:val="auto"/>
        </w:rPr>
      </w:pPr>
    </w:p>
    <w:p>
      <w:pPr>
        <w:ind w:left="920" w:right="340" w:hanging="912"/>
        <w:spacing w:after="0" w:line="286" w:lineRule="auto"/>
        <w:tabs>
          <w:tab w:leader="none" w:pos="92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if any part of the aggregated Lenders’ Ship Commitments relative to a Ship has not been borrowed before the end of the Availability Period applying to that Ship’s Advance, those Ship Commitments shall on that date be permanently cancelled in equal shares by an amount equal to such undrawn amount and the Total Commitments shall be cancelled by the same amount.</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Purpose of Advances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Borrower undertakes with each Creditor Party to use each Advance only for the purposes stated in the recitals to this Agreement.</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Notification to Lenders of receipt of a Drawdown Notice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Facility Agent shall promptly notify the Lenders that it has received a Drawdown Notice and the Facility Agent shall inform each Lender of:</w:t>
      </w:r>
    </w:p>
    <w:p>
      <w:pPr>
        <w:spacing w:after="0" w:line="154" w:lineRule="exact"/>
        <w:rPr>
          <w:sz w:val="20"/>
          <w:szCs w:val="20"/>
          <w:color w:val="auto"/>
        </w:rPr>
      </w:pPr>
    </w:p>
    <w:p>
      <w:pPr>
        <w:ind w:left="920" w:hanging="912"/>
        <w:spacing w:after="0"/>
        <w:tabs>
          <w:tab w:leader="none" w:pos="9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amount of each Advance and the Drawdown Date;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amount of that Lender’s participation in that Advance;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duration of the first Interest Period.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0" w:right="279" w:bottom="1440" w:gutter="0" w:footer="0" w:header="0"/>
        </w:sectPr>
      </w:pPr>
    </w:p>
    <w:bookmarkStart w:id="217" w:name="page218"/>
    <w:bookmarkEnd w:id="21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r>
        <w:rPr>
          <w:sz w:val="20"/>
          <w:szCs w:val="20"/>
          <w:color w:val="auto"/>
        </w:rPr>
        <w:tab/>
      </w:r>
      <w:r>
        <w:rPr>
          <w:rFonts w:ascii="Arial" w:cs="Arial" w:eastAsia="Arial" w:hAnsi="Arial"/>
          <w:sz w:val="16"/>
          <w:szCs w:val="16"/>
          <w:b w:val="1"/>
          <w:bCs w:val="1"/>
          <w:color w:val="auto"/>
        </w:rPr>
        <w:t>Drawdown Notice irrevocable</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A Drawdown Notice must be duly signed by a director or other authorised person of the Borrowers; and once served, a Drawdown Notice cannot be revoked without the prior consent of the Facility Agent, acting on the authority of the Majority Lenders.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Lenders to make available Contributions</w:t>
      </w:r>
    </w:p>
    <w:p>
      <w:pPr>
        <w:spacing w:after="0" w:line="121" w:lineRule="exact"/>
        <w:rPr>
          <w:sz w:val="20"/>
          <w:szCs w:val="20"/>
          <w:color w:val="auto"/>
        </w:rPr>
      </w:pPr>
    </w:p>
    <w:p>
      <w:pPr>
        <w:jc w:val="both"/>
        <w:ind w:left="920" w:right="100"/>
        <w:spacing w:after="0" w:line="264" w:lineRule="auto"/>
        <w:rPr>
          <w:sz w:val="20"/>
          <w:szCs w:val="20"/>
          <w:color w:val="auto"/>
        </w:rPr>
      </w:pPr>
      <w:r>
        <w:rPr>
          <w:rFonts w:ascii="Arial" w:cs="Arial" w:eastAsia="Arial" w:hAnsi="Arial"/>
          <w:sz w:val="18"/>
          <w:szCs w:val="18"/>
          <w:color w:val="auto"/>
        </w:rPr>
        <w:t>Subject to the provisions of this Agreement, each Lender shall, on and with value on each Drawdown Date, make available to the Facility Agent for the account of the Borrowers, or, following a Dropdown, to the Borrowers that are members of the relevant Group, the amount due from that Lender on that Drawdown Date under Clause 2.1.</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Disbursement of Advance</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Subject to the provisions of this Agreement, the Facility Agent shall on each Drawdown Date pay to the relevant Borrowers the relevant Advance for the purposes specified in the Drawdown Notice relative to such Advance the amounts which the Facility Agent receives from the Lenders under Clause 4.6; and that payment to such Borrowers shall be made:</w:t>
      </w:r>
    </w:p>
    <w:p>
      <w:pPr>
        <w:spacing w:after="0" w:line="87" w:lineRule="exact"/>
        <w:rPr>
          <w:sz w:val="20"/>
          <w:szCs w:val="20"/>
          <w:color w:val="auto"/>
        </w:rPr>
      </w:pPr>
    </w:p>
    <w:p>
      <w:pPr>
        <w:ind w:left="920" w:hanging="912"/>
        <w:spacing w:after="0"/>
        <w:tabs>
          <w:tab w:leader="none" w:pos="9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such account which the Borrowers specify in the Drawdown Notice;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the like funds as the Facility Agent received the payments from the Lenders.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Disbursement of Advance to third party</w:t>
      </w:r>
    </w:p>
    <w:p>
      <w:pPr>
        <w:spacing w:after="0" w:line="121"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The payment by the Facility Agent under Clause 4.7 to the Builder or any other third party shall constitute the making of that Advance and the Borrowers, or, following a Dropdown, the Borrowers that are members of the relevant Group, shall thereupon become indebted, as principal and direct obligors, to each Lender in an amount equal to that Lender’s Contribution.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Dropdown Option</w:t>
      </w:r>
    </w:p>
    <w:p>
      <w:pPr>
        <w:spacing w:after="0" w:line="117" w:lineRule="exact"/>
        <w:rPr>
          <w:sz w:val="20"/>
          <w:szCs w:val="20"/>
          <w:color w:val="auto"/>
        </w:rPr>
      </w:pPr>
    </w:p>
    <w:p>
      <w:pPr>
        <w:ind w:left="920" w:right="240"/>
        <w:spacing w:after="0" w:line="347" w:lineRule="auto"/>
        <w:rPr>
          <w:sz w:val="20"/>
          <w:szCs w:val="20"/>
          <w:color w:val="auto"/>
        </w:rPr>
      </w:pPr>
      <w:r>
        <w:rPr>
          <w:rFonts w:ascii="Arial" w:cs="Arial" w:eastAsia="Arial" w:hAnsi="Arial"/>
          <w:sz w:val="16"/>
          <w:szCs w:val="16"/>
          <w:color w:val="auto"/>
        </w:rPr>
        <w:t>The Guarantor may elect to transfer (the “</w:t>
      </w:r>
      <w:r>
        <w:rPr>
          <w:rFonts w:ascii="Arial" w:cs="Arial" w:eastAsia="Arial" w:hAnsi="Arial"/>
          <w:sz w:val="16"/>
          <w:szCs w:val="16"/>
          <w:b w:val="1"/>
          <w:bCs w:val="1"/>
          <w:color w:val="auto"/>
        </w:rPr>
        <w:t>Option</w:t>
      </w:r>
      <w:r>
        <w:rPr>
          <w:rFonts w:ascii="Arial" w:cs="Arial" w:eastAsia="Arial" w:hAnsi="Arial"/>
          <w:sz w:val="16"/>
          <w:szCs w:val="16"/>
          <w:color w:val="auto"/>
        </w:rPr>
        <w:t>”) ownership of the entire share capital of either Borrower so that such Borrower becomes an indirect subsidiary of the Substitute Guarantor and a direct subsidiary of the Intermediate Shareholder (the “</w:t>
      </w:r>
      <w:r>
        <w:rPr>
          <w:rFonts w:ascii="Arial" w:cs="Arial" w:eastAsia="Arial" w:hAnsi="Arial"/>
          <w:sz w:val="16"/>
          <w:szCs w:val="16"/>
          <w:b w:val="1"/>
          <w:bCs w:val="1"/>
          <w:color w:val="auto"/>
        </w:rPr>
        <w:t>Dropdown</w:t>
      </w:r>
      <w:r>
        <w:rPr>
          <w:rFonts w:ascii="Arial" w:cs="Arial" w:eastAsia="Arial" w:hAnsi="Arial"/>
          <w:sz w:val="16"/>
          <w:szCs w:val="16"/>
          <w:color w:val="auto"/>
        </w:rPr>
        <w:t>”) subject to:</w:t>
      </w:r>
    </w:p>
    <w:p>
      <w:pPr>
        <w:spacing w:after="0" w:line="26" w:lineRule="exact"/>
        <w:rPr>
          <w:sz w:val="20"/>
          <w:szCs w:val="20"/>
          <w:color w:val="auto"/>
        </w:rPr>
      </w:pPr>
    </w:p>
    <w:p>
      <w:pPr>
        <w:ind w:left="920" w:right="260" w:hanging="912"/>
        <w:spacing w:after="0" w:line="277" w:lineRule="auto"/>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Borrowers serving a written notice on the Facility Agent of the Guarantor’s intention to exercise the Option not later than 5 Business Days prior to the date of the Dropdown;</w:t>
      </w:r>
    </w:p>
    <w:p>
      <w:pPr>
        <w:spacing w:after="0" w:line="75" w:lineRule="exact"/>
        <w:rPr>
          <w:rFonts w:ascii="Arial" w:cs="Arial" w:eastAsia="Arial" w:hAnsi="Arial"/>
          <w:sz w:val="18"/>
          <w:szCs w:val="18"/>
          <w:color w:val="auto"/>
        </w:rPr>
      </w:pPr>
    </w:p>
    <w:p>
      <w:pPr>
        <w:ind w:left="920" w:right="760" w:hanging="912"/>
        <w:spacing w:after="0" w:line="277" w:lineRule="auto"/>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 later than the Dropdown Date, the Facility Agent receives the documents described in Part C of Schedule 3 in a form and substance satisfactory to the Facility Agent and its lawyers;</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and is continuing or would result from the Dropdown;</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there is no Material Adverse Change in existence; and</w:t>
      </w:r>
    </w:p>
    <w:p>
      <w:pPr>
        <w:spacing w:after="0" w:line="130" w:lineRule="exact"/>
        <w:rPr>
          <w:rFonts w:ascii="Arial" w:cs="Arial" w:eastAsia="Arial" w:hAnsi="Arial"/>
          <w:sz w:val="18"/>
          <w:szCs w:val="18"/>
          <w:color w:val="auto"/>
        </w:rPr>
      </w:pPr>
    </w:p>
    <w:p>
      <w:pPr>
        <w:ind w:left="920" w:right="160" w:hanging="912"/>
        <w:spacing w:after="0" w:line="286" w:lineRule="auto"/>
        <w:tabs>
          <w:tab w:leader="none" w:pos="92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parties to this Agreement entering into such documentation amending and supplementing this Agreement and any other Finance Documents as may be required to be in a form reasonably acceptable to the Facility Agent by no later than the relevant Dropdown Date and any other document as may be required by the Facility Agent to effect the same in a manner acceptable to the Facility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218" w:name="page219"/>
    <w:bookmarkEnd w:id="218"/>
    <w:p>
      <w:pPr>
        <w:ind w:left="920" w:hanging="912"/>
        <w:spacing w:after="0"/>
        <w:tabs>
          <w:tab w:leader="none" w:pos="92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Payment of normal interest</w:t>
      </w:r>
    </w:p>
    <w:p>
      <w:pPr>
        <w:spacing w:after="0" w:line="121" w:lineRule="exact"/>
        <w:rPr>
          <w:sz w:val="20"/>
          <w:szCs w:val="20"/>
          <w:color w:val="auto"/>
        </w:rPr>
      </w:pPr>
    </w:p>
    <w:p>
      <w:pPr>
        <w:ind w:left="920" w:right="460"/>
        <w:spacing w:after="0" w:line="308" w:lineRule="auto"/>
        <w:rPr>
          <w:sz w:val="20"/>
          <w:szCs w:val="20"/>
          <w:color w:val="auto"/>
        </w:rPr>
      </w:pPr>
      <w:r>
        <w:rPr>
          <w:rFonts w:ascii="Arial" w:cs="Arial" w:eastAsia="Arial" w:hAnsi="Arial"/>
          <w:sz w:val="17"/>
          <w:szCs w:val="17"/>
          <w:color w:val="auto"/>
        </w:rPr>
        <w:t>Subject to the provisions of this Agreement, interest on each Advance or Advance(s) in respect of each Interest Period shall be paid by the Borrowers (or, subject to Clause 29.2, each Affected Borrower), in arrears on the last day of that Interest Period.</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Normal rate of interest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Subject to the provisions of this Agreement, the rate of interest on each Advance in respect of an Interest Period shall be the aggregate of:</w:t>
      </w:r>
    </w:p>
    <w:p>
      <w:pPr>
        <w:spacing w:after="0" w:line="142" w:lineRule="exact"/>
        <w:rPr>
          <w:sz w:val="20"/>
          <w:szCs w:val="20"/>
          <w:color w:val="auto"/>
        </w:rPr>
      </w:pPr>
    </w:p>
    <w:p>
      <w:pPr>
        <w:ind w:left="920" w:hanging="912"/>
        <w:spacing w:after="0"/>
        <w:tabs>
          <w:tab w:leader="none" w:pos="9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LIBOR.</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Payment of accrued interest</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In the case of an Interest Period longer than 3 months, accrued interest shall be paid every 3 months during that Interest Period and on the last day of that Interest Period.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Notification of Interest Periods and rates of normal interest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Facility Agent shall notify the Borrowers and each Lender of:</w:t>
      </w:r>
    </w:p>
    <w:p>
      <w:pPr>
        <w:spacing w:after="0" w:line="131" w:lineRule="exact"/>
        <w:rPr>
          <w:sz w:val="20"/>
          <w:szCs w:val="20"/>
          <w:color w:val="auto"/>
        </w:rPr>
      </w:pPr>
    </w:p>
    <w:p>
      <w:pPr>
        <w:ind w:left="920" w:hanging="912"/>
        <w:spacing w:after="0"/>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each rate of interest;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duration of each Interest Period,</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as soon as reasonably practicable after each is determined.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Unavailability of Screen Rate</w:t>
      </w:r>
    </w:p>
    <w:p>
      <w:pPr>
        <w:spacing w:after="0" w:line="135" w:lineRule="exact"/>
        <w:rPr>
          <w:sz w:val="20"/>
          <w:szCs w:val="20"/>
          <w:color w:val="auto"/>
        </w:rPr>
      </w:pPr>
    </w:p>
    <w:p>
      <w:pPr>
        <w:ind w:left="920" w:right="300" w:hanging="912"/>
        <w:spacing w:after="0" w:line="342" w:lineRule="auto"/>
        <w:tabs>
          <w:tab w:leader="none" w:pos="920"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Interpolated Screen Rate</w:t>
      </w:r>
      <w:r>
        <w:rPr>
          <w:rFonts w:ascii="Arial" w:cs="Arial" w:eastAsia="Arial" w:hAnsi="Arial"/>
          <w:sz w:val="16"/>
          <w:szCs w:val="16"/>
          <w:color w:val="auto"/>
        </w:rPr>
        <w:t>: If no Screen Rate is available for LIBOR for the Interest Period of the Loan or any part of the Loan,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LIBOR shall be the Interpolated Screen Rate for a period equal in length to the Interest Period of the Loan or that part of the Loan.</w:t>
      </w:r>
    </w:p>
    <w:p>
      <w:pPr>
        <w:spacing w:after="0" w:line="29" w:lineRule="exact"/>
        <w:rPr>
          <w:rFonts w:ascii="Arial" w:cs="Arial" w:eastAsia="Arial" w:hAnsi="Arial"/>
          <w:sz w:val="16"/>
          <w:szCs w:val="16"/>
          <w:color w:val="auto"/>
        </w:rPr>
      </w:pPr>
    </w:p>
    <w:p>
      <w:pPr>
        <w:ind w:left="920" w:hanging="912"/>
        <w:spacing w:after="0"/>
        <w:tabs>
          <w:tab w:leader="none" w:pos="920"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Reference Bank Rate</w:t>
      </w:r>
      <w:r>
        <w:rPr>
          <w:rFonts w:ascii="Arial" w:cs="Arial" w:eastAsia="Arial" w:hAnsi="Arial"/>
          <w:sz w:val="18"/>
          <w:szCs w:val="18"/>
          <w:color w:val="auto"/>
        </w:rPr>
        <w:t>: If no Screen Rate is available for: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Dollars; 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Interest Period of the Loan or any part of the Loan and it is not possible to calculate the Interpolated Screen Rate,</w:t>
      </w:r>
    </w:p>
    <w:p>
      <w:pPr>
        <w:spacing w:after="0" w:line="117"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the applicable LIBOR shall be the Reference Bank Rate as of on or about noon on the Quotation Date and for a period equal in length to the Interest Period of the Loan or that part of the Loan.</w:t>
      </w:r>
    </w:p>
    <w:p>
      <w:pPr>
        <w:spacing w:after="0" w:line="76" w:lineRule="exact"/>
        <w:rPr>
          <w:sz w:val="20"/>
          <w:szCs w:val="20"/>
          <w:color w:val="auto"/>
        </w:rPr>
      </w:pPr>
    </w:p>
    <w:p>
      <w:pPr>
        <w:ind w:left="920" w:hanging="912"/>
        <w:spacing w:after="0" w:line="308" w:lineRule="auto"/>
        <w:tabs>
          <w:tab w:leader="none" w:pos="920" w:val="left"/>
        </w:tabs>
        <w:numPr>
          <w:ilvl w:val="0"/>
          <w:numId w:val="257"/>
        </w:numPr>
        <w:rPr>
          <w:rFonts w:ascii="Arial" w:cs="Arial" w:eastAsia="Arial" w:hAnsi="Arial"/>
          <w:sz w:val="17"/>
          <w:szCs w:val="17"/>
          <w:color w:val="auto"/>
        </w:rPr>
      </w:pPr>
      <w:r>
        <w:rPr>
          <w:rFonts w:ascii="Arial" w:cs="Arial" w:eastAsia="Arial" w:hAnsi="Arial"/>
          <w:sz w:val="17"/>
          <w:szCs w:val="17"/>
          <w:i w:val="1"/>
          <w:iCs w:val="1"/>
          <w:color w:val="auto"/>
        </w:rPr>
        <w:t>Cost of funds</w:t>
      </w:r>
      <w:r>
        <w:rPr>
          <w:rFonts w:ascii="Arial" w:cs="Arial" w:eastAsia="Arial" w:hAnsi="Arial"/>
          <w:sz w:val="17"/>
          <w:szCs w:val="17"/>
          <w:color w:val="auto"/>
        </w:rPr>
        <w:t>: If paragraph (b) above applies but no Reference Bank Rate is available for Dollars or the relevant Interest Period, there shall be no</w:t>
      </w:r>
      <w:r>
        <w:rPr>
          <w:rFonts w:ascii="Arial" w:cs="Arial" w:eastAsia="Arial" w:hAnsi="Arial"/>
          <w:sz w:val="17"/>
          <w:szCs w:val="17"/>
          <w:i w:val="1"/>
          <w:iCs w:val="1"/>
          <w:color w:val="auto"/>
        </w:rPr>
        <w:t xml:space="preserve"> </w:t>
      </w:r>
      <w:r>
        <w:rPr>
          <w:rFonts w:ascii="Arial" w:cs="Arial" w:eastAsia="Arial" w:hAnsi="Arial"/>
          <w:sz w:val="17"/>
          <w:szCs w:val="17"/>
          <w:color w:val="auto"/>
        </w:rPr>
        <w:t>LIBOR for the Loan or that part thereof and Clause 5.8 shall apply to the Loan or that part thereof for that Interest Period.</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Calculation of Reference Bank Rate</w:t>
      </w:r>
    </w:p>
    <w:p>
      <w:pPr>
        <w:spacing w:after="0" w:line="135" w:lineRule="exact"/>
        <w:rPr>
          <w:sz w:val="20"/>
          <w:szCs w:val="20"/>
          <w:color w:val="auto"/>
        </w:rPr>
      </w:pPr>
    </w:p>
    <w:p>
      <w:pPr>
        <w:jc w:val="both"/>
        <w:ind w:left="920" w:right="320" w:hanging="912"/>
        <w:spacing w:after="0" w:line="264" w:lineRule="auto"/>
        <w:tabs>
          <w:tab w:leader="none" w:pos="9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Subject to paragraph (b) below, if LIBOR is to be determined on the basis of a Reference Bank Rate but a Reference Bank does not supply a quotation by 11:00 am London time on the Quotation Date, the Reference Bank Rate shall be calculated on the basis of the quotations of the remaining Reference Bank(s).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0" w:right="319" w:bottom="1440" w:gutter="0" w:footer="0" w:header="0"/>
        </w:sectPr>
      </w:pPr>
    </w:p>
    <w:bookmarkStart w:id="219" w:name="page220"/>
    <w:bookmarkEnd w:id="219"/>
    <w:p>
      <w:pPr>
        <w:ind w:left="920" w:right="200" w:hanging="912"/>
        <w:spacing w:after="0" w:line="277" w:lineRule="auto"/>
        <w:tabs>
          <w:tab w:leader="none" w:pos="9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or about noon on the Quotation Date none or only one of the Reference Banks supplies a quotation, there shall be no Reference Bank Rate for the relevant Interest Period.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Market disruption</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If before close of business in London on the Quotation Date for the relevant Interest Period the Facility Agent receives notification from a Lender or Lenders (whose participations in the Loan or the relevant part of the Loan exceed 35 per cent. of the Loan or the relevant part of the Loan as appropriate) (the “</w:t>
      </w:r>
      <w:r>
        <w:rPr>
          <w:rFonts w:ascii="Arial" w:cs="Arial" w:eastAsia="Arial" w:hAnsi="Arial"/>
          <w:sz w:val="18"/>
          <w:szCs w:val="18"/>
          <w:b w:val="1"/>
          <w:bCs w:val="1"/>
          <w:color w:val="auto"/>
        </w:rPr>
        <w:t>Relevant Lender</w:t>
      </w:r>
      <w:r>
        <w:rPr>
          <w:rFonts w:ascii="Arial" w:cs="Arial" w:eastAsia="Arial" w:hAnsi="Arial"/>
          <w:sz w:val="18"/>
          <w:szCs w:val="18"/>
          <w:color w:val="auto"/>
        </w:rPr>
        <w:t>”) that the cost to it of funding its participation in the Loan or that part of the Loan from the wholesale market for dollars would be in excess of LIBOR then Clause 5.8 shall apply to the Loan or that part of the Loan (as applicable) for the relevant Interest Period.</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Cost of funds</w:t>
      </w:r>
    </w:p>
    <w:p>
      <w:pPr>
        <w:spacing w:after="0" w:line="135" w:lineRule="exact"/>
        <w:rPr>
          <w:sz w:val="20"/>
          <w:szCs w:val="20"/>
          <w:color w:val="auto"/>
        </w:rPr>
      </w:pPr>
    </w:p>
    <w:p>
      <w:pPr>
        <w:ind w:left="920" w:right="200" w:hanging="912"/>
        <w:spacing w:after="0" w:line="277" w:lineRule="auto"/>
        <w:tabs>
          <w:tab w:leader="none" w:pos="9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this Clause 5.8 applies, the rate of interest on the Loan or the relevant part of the Loan for the relevant Interest Period shall be the percentage rate per annum which is the sum of:</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1700" w:right="60" w:hanging="787"/>
        <w:spacing w:after="0" w:line="264" w:lineRule="auto"/>
        <w:tabs>
          <w:tab w:leader="none" w:pos="17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rate notified to the Facility Agent by that Lender as soon as practicable and in any event before interest is due to be paid in respect of that Interest Period to be that which expresses as a percentage rate per annum the cost to the relevant Lender of funding its Contribution from whatever source it may reasonably select.</w:t>
      </w:r>
    </w:p>
    <w:p>
      <w:pPr>
        <w:spacing w:after="0" w:line="86" w:lineRule="exact"/>
        <w:rPr>
          <w:rFonts w:ascii="Arial" w:cs="Arial" w:eastAsia="Arial" w:hAnsi="Arial"/>
          <w:sz w:val="18"/>
          <w:szCs w:val="18"/>
          <w:color w:val="auto"/>
        </w:rPr>
      </w:pPr>
    </w:p>
    <w:p>
      <w:pPr>
        <w:ind w:left="920" w:hanging="912"/>
        <w:spacing w:after="0" w:line="264" w:lineRule="auto"/>
        <w:tabs>
          <w:tab w:leader="none" w:pos="9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this Clause 5.8 applies and the Facility Agent or the Borrower so requires, the Facility Agent and the Borrower shall enter into negotiations (for a period of not more than 30 days) with a view to agreeing a substitute basis for determining the rate of interest or (as the case may be) an alternative basis for funding.</w:t>
      </w:r>
    </w:p>
    <w:p>
      <w:pPr>
        <w:spacing w:after="0" w:line="86" w:lineRule="exact"/>
        <w:rPr>
          <w:rFonts w:ascii="Arial" w:cs="Arial" w:eastAsia="Arial" w:hAnsi="Arial"/>
          <w:sz w:val="18"/>
          <w:szCs w:val="18"/>
          <w:color w:val="auto"/>
        </w:rPr>
      </w:pPr>
    </w:p>
    <w:p>
      <w:pPr>
        <w:ind w:left="920" w:right="160" w:hanging="912"/>
        <w:spacing w:after="0" w:line="277" w:lineRule="auto"/>
        <w:tabs>
          <w:tab w:leader="none" w:pos="9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Subject to Clause 27.4, any substitute or alternative basis agreed pursuant to paragraph (b) above shall, with the prior consent of all the Lenders and the Borrower, be binding on all Parties.</w:t>
      </w:r>
    </w:p>
    <w:p>
      <w:pPr>
        <w:spacing w:after="0" w:line="75" w:lineRule="exact"/>
        <w:rPr>
          <w:rFonts w:ascii="Arial" w:cs="Arial" w:eastAsia="Arial" w:hAnsi="Arial"/>
          <w:sz w:val="18"/>
          <w:szCs w:val="18"/>
          <w:color w:val="auto"/>
        </w:rPr>
      </w:pPr>
    </w:p>
    <w:p>
      <w:pPr>
        <w:ind w:left="920" w:right="40" w:hanging="912"/>
        <w:spacing w:after="0" w:line="277" w:lineRule="auto"/>
        <w:tabs>
          <w:tab w:leader="none" w:pos="9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this Clause 5.8 applies but any Lender does not supply a quotation by the time specified in sub-paragraph (ii) of paragraph (a) above the rate of interest shall be calculated on the basis of the quotations of the remaining Lenders.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color w:val="auto"/>
        </w:rPr>
        <w:t>Suspension of drawdown</w:t>
      </w:r>
    </w:p>
    <w:p>
      <w:pPr>
        <w:spacing w:after="0" w:line="121"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If Clauses 5.5 or 5.7 apply before any Advance(s) is made the Lenders’ obligations to make the Advance or Advances shall be suspended while the circumstances referred to in the Facility Agent’s notice continue.</w:t>
      </w:r>
    </w:p>
    <w:p>
      <w:pPr>
        <w:spacing w:after="0" w:line="315" w:lineRule="exact"/>
        <w:rPr>
          <w:sz w:val="20"/>
          <w:szCs w:val="20"/>
          <w:color w:val="auto"/>
        </w:rPr>
      </w:pPr>
    </w:p>
    <w:p>
      <w:pPr>
        <w:ind w:left="920" w:hanging="912"/>
        <w:spacing w:after="0"/>
        <w:tabs>
          <w:tab w:leader="none" w:pos="92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Commencement of Interest Periods</w:t>
      </w:r>
    </w:p>
    <w:p>
      <w:pPr>
        <w:spacing w:after="0" w:line="121"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The first Interest Period applicable to an Advance shall commence on the relevant Drawdown Date and each subsequent Interest Period shall commence on the expiry of the preceding Interest Period.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Duration of normal Interest Periods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Clauses 6.3 and 6.4, each Interest Period in respect of each Advance shall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20" w:name="page221"/>
    <w:bookmarkEnd w:id="220"/>
    <w:p>
      <w:pPr>
        <w:ind w:left="920" w:right="1000" w:hanging="912"/>
        <w:spacing w:after="0" w:line="277" w:lineRule="auto"/>
        <w:tabs>
          <w:tab w:leader="none" w:pos="9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or 6 months as notified by the Borrowers to the Facility Agent not later than 11.00 a.m. (London time) 3 Business Days before the commencement of the Interest Period;</w:t>
      </w:r>
    </w:p>
    <w:p>
      <w:pPr>
        <w:spacing w:after="0" w:line="75" w:lineRule="exact"/>
        <w:rPr>
          <w:rFonts w:ascii="Arial" w:cs="Arial" w:eastAsia="Arial" w:hAnsi="Arial"/>
          <w:sz w:val="18"/>
          <w:szCs w:val="18"/>
          <w:color w:val="auto"/>
        </w:rPr>
      </w:pPr>
    </w:p>
    <w:p>
      <w:pPr>
        <w:ind w:left="920" w:right="620" w:hanging="912"/>
        <w:spacing w:after="0" w:line="308" w:lineRule="auto"/>
        <w:tabs>
          <w:tab w:leader="none" w:pos="92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the case of the first Interest Period applicable to the second Advance, a period ending on the last day of the then current Interest Period applicable to the first Advance, whereupon all of the Advances shall be consolidated and treated as a single advance;</w:t>
      </w:r>
    </w:p>
    <w:p>
      <w:pPr>
        <w:spacing w:after="0" w:line="51" w:lineRule="exact"/>
        <w:rPr>
          <w:rFonts w:ascii="Arial" w:cs="Arial" w:eastAsia="Arial" w:hAnsi="Arial"/>
          <w:sz w:val="17"/>
          <w:szCs w:val="17"/>
          <w:color w:val="auto"/>
        </w:rPr>
      </w:pPr>
    </w:p>
    <w:p>
      <w:pPr>
        <w:ind w:left="920" w:hanging="912"/>
        <w:spacing w:after="0"/>
        <w:tabs>
          <w:tab w:leader="none" w:pos="9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3 months, if the Borrowers fail to notify the Facility Agent by the time specified in paragraph (a) above;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such other period as the Borrowers may request from the Facility Agent, which may be agreed by the Lenders in their sole discretion.</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Duration of Interest Periods for Instalments</w:t>
      </w:r>
    </w:p>
    <w:p>
      <w:pPr>
        <w:spacing w:after="0" w:line="121"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In respect of an amount due to be repaid under Clause 8 on a particular Repayment Date, an Interest Period in relation to the relevant Advance shall end on that Repayment Date.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Non-availability of matching deposits for Interest Period selected</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If, after the Borrowers have selected and the Lenders have agreed an Interest Period longer than 3 months, any Lender notifies the Facility Agent by 11.00 a.m. (Paris time) on the second Business Day before the commencement of the Interest Period that it is not satisfied that deposits in Dollars for a period equal to the Interest Period will be available to it in the London interbank market when the Interest Period commences, the Interest Period shall be of 3 months.</w:t>
      </w:r>
    </w:p>
    <w:p>
      <w:pPr>
        <w:spacing w:after="0" w:line="331" w:lineRule="exact"/>
        <w:rPr>
          <w:sz w:val="20"/>
          <w:szCs w:val="20"/>
          <w:color w:val="auto"/>
        </w:rPr>
      </w:pPr>
    </w:p>
    <w:p>
      <w:pPr>
        <w:ind w:left="920" w:hanging="912"/>
        <w:spacing w:after="0"/>
        <w:tabs>
          <w:tab w:leader="none" w:pos="92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Payment of default interest on overdue amounts</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Borrowers shall pay interest in accordance with the following provisions of this Clause 7 on any amount payable by the Borrowers (or any of them) under any Finance Document which the Facility Agent, the Security Trustee or the other designated payee does not receive on or before the relevant date, that is:</w:t>
      </w:r>
    </w:p>
    <w:p>
      <w:pPr>
        <w:spacing w:after="0" w:line="87" w:lineRule="exact"/>
        <w:rPr>
          <w:sz w:val="20"/>
          <w:szCs w:val="20"/>
          <w:color w:val="auto"/>
        </w:rPr>
      </w:pPr>
    </w:p>
    <w:p>
      <w:pPr>
        <w:ind w:left="920" w:hanging="912"/>
        <w:spacing w:after="0"/>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date on which the Finance Documents provide that such amount is due for payment;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a Finance Document provides that such amount is payable on demand, the date on which the demand is served;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if such amount has become immediately due and payable under Clause 19.4, the date on which it became immediately due and payable.</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Default rate of interest</w:t>
      </w:r>
    </w:p>
    <w:p>
      <w:pPr>
        <w:spacing w:after="0" w:line="121"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Interest shall accrue on an overdue amount from (and including) the relevant date until the date of actual payment (as well after as before judgment) at the rate per annum determined by the Facility Agent to be 2 per cent. above:</w:t>
      </w:r>
    </w:p>
    <w:p>
      <w:pPr>
        <w:spacing w:after="0" w:line="76" w:lineRule="exact"/>
        <w:rPr>
          <w:sz w:val="20"/>
          <w:szCs w:val="20"/>
          <w:color w:val="auto"/>
        </w:rPr>
      </w:pPr>
    </w:p>
    <w:p>
      <w:pPr>
        <w:ind w:left="920" w:hanging="912"/>
        <w:spacing w:after="0"/>
        <w:tabs>
          <w:tab w:leader="none" w:pos="9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the case of an overdue amount of principal, the higher of the rates set out at paragraphs (a) and (b) of Clause 7.3;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the case of any other overdue amount, the rate set out at paragraph (b) of Clause 7.3.</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Calculation of default rate of interest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rates referred to in Clause 7.2 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221" w:name="page222"/>
    <w:bookmarkEnd w:id="221"/>
    <w:p>
      <w:pPr>
        <w:ind w:left="920" w:right="280" w:hanging="912"/>
        <w:spacing w:after="0" w:line="277" w:lineRule="auto"/>
        <w:tabs>
          <w:tab w:leader="none" w:pos="9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rate applicable to the overdue principal amount immediately prior to the relevant date (but only for any unexpired part of any then current Interest Period);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Margin plus, in respect of successive periods of any duration up to 3 months which the Facility Agent may select from time to time:</w:t>
      </w:r>
    </w:p>
    <w:p>
      <w:pPr>
        <w:spacing w:after="0" w:line="142" w:lineRule="exact"/>
        <w:rPr>
          <w:rFonts w:ascii="Arial" w:cs="Arial" w:eastAsia="Arial" w:hAnsi="Arial"/>
          <w:sz w:val="17"/>
          <w:szCs w:val="17"/>
          <w:color w:val="auto"/>
        </w:rPr>
      </w:pPr>
    </w:p>
    <w:p>
      <w:pPr>
        <w:ind w:left="1700" w:hanging="787"/>
        <w:spacing w:after="0"/>
        <w:tabs>
          <w:tab w:leader="none" w:pos="17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LIBOR; or</w:t>
      </w:r>
    </w:p>
    <w:p>
      <w:pPr>
        <w:spacing w:after="0" w:line="130" w:lineRule="exact"/>
        <w:rPr>
          <w:rFonts w:ascii="Arial" w:cs="Arial" w:eastAsia="Arial" w:hAnsi="Arial"/>
          <w:sz w:val="18"/>
          <w:szCs w:val="18"/>
          <w:color w:val="auto"/>
        </w:rPr>
      </w:pPr>
    </w:p>
    <w:p>
      <w:pPr>
        <w:ind w:left="1700" w:hanging="787"/>
        <w:spacing w:after="0" w:line="279" w:lineRule="auto"/>
        <w:tabs>
          <w:tab w:leader="none" w:pos="170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if the Facility Agent determines that Dollar deposits for any such period are not being made available to a Lender or (as the case may be) Lenders by leading banks in the London interbank market in the ordinary course of business, the average rate from time to time determined by the Facility Agent by reference to the cost of funds to all Lenders for such period notified by the Lenders to the Facility Agent by no later than 1 Business Day after the Facility Agent makes such a determination.</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Notification of interest periods and default rates</w:t>
      </w:r>
    </w:p>
    <w:p>
      <w:pPr>
        <w:spacing w:after="0" w:line="121" w:lineRule="exact"/>
        <w:rPr>
          <w:sz w:val="20"/>
          <w:szCs w:val="20"/>
          <w:color w:val="auto"/>
        </w:rPr>
      </w:pPr>
    </w:p>
    <w:p>
      <w:pPr>
        <w:ind w:left="920" w:right="120"/>
        <w:spacing w:after="0" w:line="286" w:lineRule="auto"/>
        <w:rPr>
          <w:sz w:val="20"/>
          <w:szCs w:val="20"/>
          <w:color w:val="auto"/>
        </w:rPr>
      </w:pPr>
      <w:r>
        <w:rPr>
          <w:rFonts w:ascii="Arial" w:cs="Arial" w:eastAsia="Arial" w:hAnsi="Arial"/>
          <w:sz w:val="17"/>
          <w:szCs w:val="17"/>
          <w:color w:val="auto"/>
        </w:rPr>
        <w:t>The Facility Agent shall promptly notify the Lenders and the Borrowers of each interest rate determined by the Facility Agent under Clause 7.3 and of each period selected by the Facility Agent for the purposes of paragraph (b) of that Clause; but this shall not be taken to imply that the Borrowers are liable to pay such interest only with effect from the date of the Facility Agent’s notification.</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Payment of accrued default interest</w:t>
      </w:r>
    </w:p>
    <w:p>
      <w:pPr>
        <w:spacing w:after="0" w:line="121"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Subject to the other provisions of this Agreement, any interest due under this Clause shall be paid on the last day of the period by reference to which it was determined; and the payment shall be made to the Facility Agent for the account of the Creditor Party to which the overdue amount is due.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Compounding of default interest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such interest which is not paid at the end of the period by reference to which it was determined shall thereupon be compounded.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Application to Master Agreements</w:t>
      </w:r>
    </w:p>
    <w:p>
      <w:pPr>
        <w:spacing w:after="0" w:line="121" w:lineRule="exact"/>
        <w:rPr>
          <w:sz w:val="20"/>
          <w:szCs w:val="20"/>
          <w:color w:val="auto"/>
        </w:rPr>
      </w:pPr>
    </w:p>
    <w:p>
      <w:pPr>
        <w:ind w:left="920" w:right="700"/>
        <w:spacing w:after="0" w:line="308" w:lineRule="auto"/>
        <w:rPr>
          <w:sz w:val="20"/>
          <w:szCs w:val="20"/>
          <w:color w:val="auto"/>
        </w:rPr>
      </w:pPr>
      <w:r>
        <w:rPr>
          <w:rFonts w:ascii="Arial" w:cs="Arial" w:eastAsia="Arial" w:hAnsi="Arial"/>
          <w:sz w:val="17"/>
          <w:szCs w:val="17"/>
          <w:color w:val="auto"/>
        </w:rPr>
        <w:t>For the avoidance of doubt, this Clause 7 does not apply to any amount payable under a Master Agreement in respect of any continuing Designated Transaction as to which section 2(e) (Default Interest; Other Amounts) of a Master Agreement shall apply.</w:t>
      </w:r>
    </w:p>
    <w:p>
      <w:pPr>
        <w:spacing w:after="0" w:line="291" w:lineRule="exact"/>
        <w:rPr>
          <w:sz w:val="20"/>
          <w:szCs w:val="20"/>
          <w:color w:val="auto"/>
        </w:rPr>
      </w:pPr>
    </w:p>
    <w:p>
      <w:pPr>
        <w:ind w:left="920" w:hanging="912"/>
        <w:spacing w:after="0"/>
        <w:tabs>
          <w:tab w:leader="none" w:pos="92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AND PREPAYMENT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Repayment Instalments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Borrowers shall repay each Advance, by:</w:t>
      </w:r>
    </w:p>
    <w:p>
      <w:pPr>
        <w:spacing w:after="0" w:line="127" w:lineRule="exact"/>
        <w:rPr>
          <w:sz w:val="20"/>
          <w:szCs w:val="20"/>
          <w:color w:val="auto"/>
        </w:rPr>
      </w:pPr>
    </w:p>
    <w:p>
      <w:pPr>
        <w:ind w:left="920" w:right="600" w:hanging="912"/>
        <w:spacing w:after="0" w:line="282" w:lineRule="auto"/>
        <w:tabs>
          <w:tab w:leader="none" w:pos="9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14 equal consecutive semi-annual repayments instalments (each an “</w:t>
      </w:r>
      <w:r>
        <w:rPr>
          <w:rFonts w:ascii="Arial" w:cs="Arial" w:eastAsia="Arial" w:hAnsi="Arial"/>
          <w:sz w:val="18"/>
          <w:szCs w:val="18"/>
          <w:b w:val="1"/>
          <w:bCs w:val="1"/>
          <w:color w:val="auto"/>
        </w:rPr>
        <w:t>Instalment</w:t>
      </w:r>
      <w:r>
        <w:rPr>
          <w:rFonts w:ascii="Arial" w:cs="Arial" w:eastAsia="Arial" w:hAnsi="Arial"/>
          <w:sz w:val="18"/>
          <w:szCs w:val="18"/>
          <w:color w:val="auto"/>
        </w:rPr>
        <w:t>” and together, the “</w:t>
      </w:r>
      <w:r>
        <w:rPr>
          <w:rFonts w:ascii="Arial" w:cs="Arial" w:eastAsia="Arial" w:hAnsi="Arial"/>
          <w:sz w:val="18"/>
          <w:szCs w:val="18"/>
          <w:b w:val="1"/>
          <w:bCs w:val="1"/>
          <w:color w:val="auto"/>
        </w:rPr>
        <w:t>Instalments</w:t>
      </w:r>
      <w:r>
        <w:rPr>
          <w:rFonts w:ascii="Arial" w:cs="Arial" w:eastAsia="Arial" w:hAnsi="Arial"/>
          <w:sz w:val="18"/>
          <w:szCs w:val="18"/>
          <w:color w:val="auto"/>
        </w:rPr>
        <w:t>”), each in an amount of $1,170,000; and</w:t>
      </w:r>
    </w:p>
    <w:p>
      <w:pPr>
        <w:spacing w:after="0" w:line="67" w:lineRule="exact"/>
        <w:rPr>
          <w:rFonts w:ascii="Arial" w:cs="Arial" w:eastAsia="Arial" w:hAnsi="Arial"/>
          <w:sz w:val="18"/>
          <w:szCs w:val="18"/>
          <w:color w:val="auto"/>
        </w:rPr>
      </w:pPr>
    </w:p>
    <w:p>
      <w:pPr>
        <w:ind w:left="920" w:right="800" w:hanging="912"/>
        <w:spacing w:after="0" w:line="282" w:lineRule="auto"/>
        <w:tabs>
          <w:tab w:leader="none" w:pos="9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balloon instalment (in respect of each Advance, a “</w:t>
      </w:r>
      <w:r>
        <w:rPr>
          <w:rFonts w:ascii="Arial" w:cs="Arial" w:eastAsia="Arial" w:hAnsi="Arial"/>
          <w:sz w:val="18"/>
          <w:szCs w:val="18"/>
          <w:b w:val="1"/>
          <w:bCs w:val="1"/>
          <w:color w:val="auto"/>
        </w:rPr>
        <w:t>Balloon Instalment</w:t>
      </w:r>
      <w:r>
        <w:rPr>
          <w:rFonts w:ascii="Arial" w:cs="Arial" w:eastAsia="Arial" w:hAnsi="Arial"/>
          <w:sz w:val="18"/>
          <w:szCs w:val="18"/>
          <w:color w:val="auto"/>
        </w:rPr>
        <w:t>”, and together, the “</w:t>
      </w:r>
      <w:r>
        <w:rPr>
          <w:rFonts w:ascii="Arial" w:cs="Arial" w:eastAsia="Arial" w:hAnsi="Arial"/>
          <w:sz w:val="18"/>
          <w:szCs w:val="18"/>
          <w:b w:val="1"/>
          <w:bCs w:val="1"/>
          <w:color w:val="auto"/>
        </w:rPr>
        <w:t>Balloon Instalments</w:t>
      </w:r>
      <w:r>
        <w:rPr>
          <w:rFonts w:ascii="Arial" w:cs="Arial" w:eastAsia="Arial" w:hAnsi="Arial"/>
          <w:sz w:val="18"/>
          <w:szCs w:val="18"/>
          <w:color w:val="auto"/>
        </w:rPr>
        <w:t>”) in the amount of $18,720,000</w:t>
      </w:r>
    </w:p>
    <w:p>
      <w:pPr>
        <w:spacing w:after="0" w:line="53" w:lineRule="exact"/>
        <w:rPr>
          <w:rFonts w:ascii="Arial" w:cs="Arial" w:eastAsia="Arial" w:hAnsi="Arial"/>
          <w:sz w:val="18"/>
          <w:szCs w:val="18"/>
          <w:color w:val="auto"/>
        </w:rPr>
      </w:pPr>
    </w:p>
    <w:p>
      <w:pPr>
        <w:ind w:left="920" w:right="18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in case the maximum amount of each Advance is not drawndown, the Instalments and Balloon Instalments shall be reduced pro</w:t>
      </w:r>
      <w:r>
        <w:rPr>
          <w:rFonts w:ascii="Arial" w:cs="Arial" w:eastAsia="Arial" w:hAnsi="Arial"/>
          <w:sz w:val="18"/>
          <w:szCs w:val="18"/>
          <w:b w:val="1"/>
          <w:bCs w:val="1"/>
          <w:color w:val="auto"/>
        </w:rPr>
        <w:t xml:space="preserve"> </w:t>
      </w:r>
      <w:r>
        <w:rPr>
          <w:rFonts w:ascii="Arial" w:cs="Arial" w:eastAsia="Arial" w:hAnsi="Arial"/>
          <w:sz w:val="18"/>
          <w:szCs w:val="18"/>
          <w:color w:val="auto"/>
        </w:rPr>
        <w:t>rata.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8.2</w:t>
            </w:r>
          </w:p>
        </w:tc>
        <w:tc>
          <w:tcPr>
            <w:tcW w:w="10600" w:type="dxa"/>
            <w:vAlign w:val="bottom"/>
          </w:tcPr>
          <w:p>
            <w:pPr>
              <w:ind w:left="340"/>
              <w:spacing w:after="0"/>
              <w:rPr>
                <w:sz w:val="20"/>
                <w:szCs w:val="20"/>
                <w:color w:val="auto"/>
              </w:rPr>
            </w:pPr>
            <w:r>
              <w:rPr>
                <w:rFonts w:ascii="Arial" w:cs="Arial" w:eastAsia="Arial" w:hAnsi="Arial"/>
                <w:sz w:val="18"/>
                <w:szCs w:val="18"/>
                <w:b w:val="1"/>
                <w:bCs w:val="1"/>
                <w:color w:val="auto"/>
              </w:rPr>
              <w:t>Repayment Dates</w:t>
            </w:r>
          </w:p>
        </w:tc>
      </w:tr>
      <w:tr>
        <w:trPr>
          <w:trHeight w:val="310"/>
        </w:trPr>
        <w:tc>
          <w:tcPr>
            <w:tcW w:w="580" w:type="dxa"/>
            <w:vAlign w:val="bottom"/>
          </w:tcPr>
          <w:p>
            <w:pPr>
              <w:spacing w:after="0"/>
              <w:rPr>
                <w:sz w:val="24"/>
                <w:szCs w:val="24"/>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The first Instalment in respect of each Advance shall be repaid on the date falling 6 months after the Drawdown Date of the Advance and each</w:t>
            </w:r>
          </w:p>
        </w:tc>
      </w:tr>
      <w:tr>
        <w:trPr>
          <w:trHeight w:val="216"/>
        </w:trPr>
        <w:tc>
          <w:tcPr>
            <w:tcW w:w="58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3"/>
              </w:rPr>
              <w:t>subsequent Instalment shall be repaid at 6-monthly intervals thereafter and the last Instalment shall be repaid on the Final Maturity Date in</w:t>
            </w:r>
          </w:p>
        </w:tc>
      </w:tr>
      <w:tr>
        <w:trPr>
          <w:trHeight w:val="230"/>
        </w:trPr>
        <w:tc>
          <w:tcPr>
            <w:tcW w:w="580" w:type="dxa"/>
            <w:vAlign w:val="bottom"/>
          </w:tcPr>
          <w:p>
            <w:pPr>
              <w:spacing w:after="0"/>
              <w:rPr>
                <w:sz w:val="20"/>
                <w:szCs w:val="20"/>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respect of the Advance together with the Balloon Instalment.</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8.3</w:t>
            </w:r>
          </w:p>
        </w:tc>
        <w:tc>
          <w:tcPr>
            <w:tcW w:w="10660" w:type="dxa"/>
            <w:vAlign w:val="bottom"/>
          </w:tcPr>
          <w:p>
            <w:pPr>
              <w:ind w:left="340"/>
              <w:spacing w:after="0"/>
              <w:rPr>
                <w:sz w:val="20"/>
                <w:szCs w:val="20"/>
                <w:color w:val="auto"/>
              </w:rPr>
            </w:pPr>
            <w:r>
              <w:rPr>
                <w:rFonts w:ascii="Arial" w:cs="Arial" w:eastAsia="Arial" w:hAnsi="Arial"/>
                <w:sz w:val="18"/>
                <w:szCs w:val="18"/>
                <w:b w:val="1"/>
                <w:bCs w:val="1"/>
                <w:color w:val="auto"/>
              </w:rPr>
              <w:t>Final Repayment Date</w:t>
            </w:r>
          </w:p>
        </w:tc>
      </w:tr>
      <w:tr>
        <w:trPr>
          <w:trHeight w:val="310"/>
        </w:trPr>
        <w:tc>
          <w:tcPr>
            <w:tcW w:w="580" w:type="dxa"/>
            <w:vAlign w:val="bottom"/>
          </w:tcPr>
          <w:p>
            <w:pPr>
              <w:spacing w:after="0"/>
              <w:rPr>
                <w:sz w:val="24"/>
                <w:szCs w:val="24"/>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2"/>
              </w:rPr>
              <w:t>On the final Repayment Date, the Borrowers shall additionally pay to the Facility Agent for the account of the Creditor Parties all other sums</w:t>
            </w:r>
          </w:p>
        </w:tc>
      </w:tr>
      <w:tr>
        <w:trPr>
          <w:trHeight w:val="230"/>
        </w:trPr>
        <w:tc>
          <w:tcPr>
            <w:tcW w:w="58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then accrued or owing under any Finance Document.</w:t>
            </w:r>
          </w:p>
        </w:tc>
      </w:tr>
      <w:tr>
        <w:trPr>
          <w:trHeight w:val="58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8.4</w:t>
            </w:r>
          </w:p>
        </w:tc>
        <w:tc>
          <w:tcPr>
            <w:tcW w:w="10660" w:type="dxa"/>
            <w:vAlign w:val="bottom"/>
          </w:tcPr>
          <w:p>
            <w:pPr>
              <w:ind w:left="340"/>
              <w:spacing w:after="0"/>
              <w:rPr>
                <w:sz w:val="20"/>
                <w:szCs w:val="20"/>
                <w:color w:val="auto"/>
              </w:rPr>
            </w:pPr>
            <w:r>
              <w:rPr>
                <w:rFonts w:ascii="Arial" w:cs="Arial" w:eastAsia="Arial" w:hAnsi="Arial"/>
                <w:sz w:val="18"/>
                <w:szCs w:val="18"/>
                <w:b w:val="1"/>
                <w:bCs w:val="1"/>
                <w:color w:val="auto"/>
              </w:rPr>
              <w:t>Optional facility cancellation</w:t>
            </w:r>
          </w:p>
        </w:tc>
      </w:tr>
      <w:tr>
        <w:trPr>
          <w:trHeight w:val="310"/>
        </w:trPr>
        <w:tc>
          <w:tcPr>
            <w:tcW w:w="580" w:type="dxa"/>
            <w:vAlign w:val="bottom"/>
          </w:tcPr>
          <w:p>
            <w:pPr>
              <w:spacing w:after="0"/>
              <w:rPr>
                <w:sz w:val="24"/>
                <w:szCs w:val="24"/>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4"/>
              </w:rPr>
              <w:t>The Borrowers shall be entitled, upon giving to the Facility Agent not less than 3 Business Days prior written notice (which notice shall be</w:t>
            </w:r>
          </w:p>
        </w:tc>
      </w:tr>
      <w:tr>
        <w:trPr>
          <w:trHeight w:val="216"/>
        </w:trPr>
        <w:tc>
          <w:tcPr>
            <w:tcW w:w="58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5"/>
              </w:rPr>
              <w:t>irrevocable), to cancel, in whole or in part, and, if in part, by an amount that reduces the undrawn balance of the Total Commitments in a</w:t>
            </w:r>
          </w:p>
        </w:tc>
      </w:tr>
      <w:tr>
        <w:trPr>
          <w:trHeight w:val="216"/>
        </w:trPr>
        <w:tc>
          <w:tcPr>
            <w:tcW w:w="58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5"/>
              </w:rPr>
              <w:t>minimum amount of $1,000,000 or an integral multiple thereof. Upon such cancellation taking effect on expiry of such notice the several</w:t>
            </w:r>
          </w:p>
        </w:tc>
      </w:tr>
      <w:tr>
        <w:trPr>
          <w:trHeight w:val="216"/>
        </w:trPr>
        <w:tc>
          <w:tcPr>
            <w:tcW w:w="58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2"/>
              </w:rPr>
              <w:t>obligations of the Lenders to make their respective Commitments available in relation to the portion of the Total Commitments to which such</w:t>
            </w:r>
          </w:p>
        </w:tc>
      </w:tr>
      <w:tr>
        <w:trPr>
          <w:trHeight w:val="230"/>
        </w:trPr>
        <w:tc>
          <w:tcPr>
            <w:tcW w:w="58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notice relates shall terminate and the commitment fee referred to in Clause 20.1) on such portion shall cease to accrue.</w:t>
            </w:r>
          </w:p>
        </w:tc>
      </w:tr>
      <w:tr>
        <w:trPr>
          <w:trHeight w:val="58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8.5</w:t>
            </w:r>
          </w:p>
        </w:tc>
        <w:tc>
          <w:tcPr>
            <w:tcW w:w="10660" w:type="dxa"/>
            <w:vAlign w:val="bottom"/>
          </w:tcPr>
          <w:p>
            <w:pPr>
              <w:ind w:left="340"/>
              <w:spacing w:after="0"/>
              <w:rPr>
                <w:sz w:val="20"/>
                <w:szCs w:val="20"/>
                <w:color w:val="auto"/>
              </w:rPr>
            </w:pPr>
            <w:r>
              <w:rPr>
                <w:rFonts w:ascii="Arial" w:cs="Arial" w:eastAsia="Arial" w:hAnsi="Arial"/>
                <w:sz w:val="18"/>
                <w:szCs w:val="18"/>
                <w:b w:val="1"/>
                <w:bCs w:val="1"/>
                <w:color w:val="auto"/>
              </w:rPr>
              <w:t>Voluntary prepayment</w:t>
            </w:r>
          </w:p>
        </w:tc>
      </w:tr>
      <w:tr>
        <w:trPr>
          <w:trHeight w:val="310"/>
        </w:trPr>
        <w:tc>
          <w:tcPr>
            <w:tcW w:w="580" w:type="dxa"/>
            <w:vAlign w:val="bottom"/>
          </w:tcPr>
          <w:p>
            <w:pPr>
              <w:spacing w:after="0"/>
              <w:rPr>
                <w:sz w:val="24"/>
                <w:szCs w:val="24"/>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0"/>
              </w:rPr>
              <w:t>Subject to the following conditions, the Borrowers may prepay the whole or any part of the Loan on the last day of an Interest Period in respect</w:t>
            </w:r>
          </w:p>
        </w:tc>
      </w:tr>
      <w:tr>
        <w:trPr>
          <w:trHeight w:val="230"/>
        </w:trPr>
        <w:tc>
          <w:tcPr>
            <w:tcW w:w="58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thereof.</w:t>
            </w:r>
          </w:p>
        </w:tc>
      </w:tr>
      <w:tr>
        <w:trPr>
          <w:trHeight w:val="58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8.6</w:t>
            </w:r>
          </w:p>
        </w:tc>
        <w:tc>
          <w:tcPr>
            <w:tcW w:w="10660" w:type="dxa"/>
            <w:vAlign w:val="bottom"/>
          </w:tcPr>
          <w:p>
            <w:pPr>
              <w:ind w:left="340"/>
              <w:spacing w:after="0"/>
              <w:rPr>
                <w:sz w:val="20"/>
                <w:szCs w:val="20"/>
                <w:color w:val="auto"/>
              </w:rPr>
            </w:pPr>
            <w:r>
              <w:rPr>
                <w:rFonts w:ascii="Arial" w:cs="Arial" w:eastAsia="Arial" w:hAnsi="Arial"/>
                <w:sz w:val="18"/>
                <w:szCs w:val="18"/>
                <w:b w:val="1"/>
                <w:bCs w:val="1"/>
                <w:color w:val="auto"/>
              </w:rPr>
              <w:t>Conditions for voluntary prepayment</w:t>
            </w:r>
          </w:p>
        </w:tc>
      </w:tr>
      <w:tr>
        <w:trPr>
          <w:trHeight w:val="324"/>
        </w:trPr>
        <w:tc>
          <w:tcPr>
            <w:tcW w:w="580" w:type="dxa"/>
            <w:vAlign w:val="bottom"/>
          </w:tcPr>
          <w:p>
            <w:pPr>
              <w:spacing w:after="0"/>
              <w:rPr>
                <w:sz w:val="24"/>
                <w:szCs w:val="24"/>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The conditions referred to in Clause 8.5 are that:</w:t>
            </w:r>
          </w:p>
        </w:tc>
      </w:tr>
    </w:tbl>
    <w:p>
      <w:pPr>
        <w:spacing w:after="0" w:line="107" w:lineRule="exact"/>
        <w:rPr>
          <w:sz w:val="20"/>
          <w:szCs w:val="20"/>
          <w:color w:val="auto"/>
        </w:rPr>
      </w:pPr>
    </w:p>
    <w:p>
      <w:pPr>
        <w:ind w:left="920" w:hanging="912"/>
        <w:spacing w:after="0"/>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partial prepayment shall be in an amount of $1,000,000 or an integral multiple thereof;</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Facility Agent has received from the Borrowers at least 3 Business Days’ prior written notice specifying:</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amount to be prepaid and the date on which the prepayment is to be made; and</w:t>
      </w:r>
    </w:p>
    <w:p>
      <w:pPr>
        <w:spacing w:after="0" w:line="130" w:lineRule="exact"/>
        <w:rPr>
          <w:rFonts w:ascii="Arial" w:cs="Arial" w:eastAsia="Arial" w:hAnsi="Arial"/>
          <w:sz w:val="18"/>
          <w:szCs w:val="18"/>
          <w:color w:val="auto"/>
        </w:rPr>
      </w:pPr>
    </w:p>
    <w:p>
      <w:pPr>
        <w:ind w:left="1700" w:hanging="787"/>
        <w:spacing w:after="0" w:line="264" w:lineRule="auto"/>
        <w:tabs>
          <w:tab w:leader="none" w:pos="17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whether such prepayment will be applied against an Advance, in which case the Borrowers will specify the Advance against which that prepayment should be applied. A failure by the Borrowers to make such a designation shall result in the prepayment being applied against each Advance in accordance with Clause 8.11(a); and</w:t>
      </w:r>
    </w:p>
    <w:p>
      <w:pPr>
        <w:spacing w:after="0" w:line="86" w:lineRule="exact"/>
        <w:rPr>
          <w:rFonts w:ascii="Arial" w:cs="Arial" w:eastAsia="Arial" w:hAnsi="Arial"/>
          <w:sz w:val="18"/>
          <w:szCs w:val="18"/>
          <w:color w:val="auto"/>
        </w:rPr>
      </w:pPr>
    </w:p>
    <w:p>
      <w:pPr>
        <w:ind w:left="920" w:right="200" w:hanging="912"/>
        <w:spacing w:after="0" w:line="264" w:lineRule="auto"/>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Borrowers have provided evidence satisfactory to the Facility Agent that any consent required by the Borrowers or any Security Party in connection with the prepayment has been obtained and remains in force, and that any requirement relevant to this Agreement which affects the Borrowers or any Security Party has been complied with.</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Effect of notice of prepayment</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 prepayment notice may not be withdrawn or amended without the consent of the Facility Agent, given with the authority of the Majority Lenders, and the amount specified in the prepayment notice shall become due and payable by the Borrowers on the date for prepayment specified in the prepayment notice.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0" w:right="259" w:bottom="1440" w:gutter="0" w:footer="0" w:header="0"/>
        </w:sectPr>
      </w:pPr>
    </w:p>
    <w:bookmarkStart w:id="223" w:name="page224"/>
    <w:bookmarkEnd w:id="22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8.8</w:t>
      </w:r>
      <w:r>
        <w:rPr>
          <w:sz w:val="20"/>
          <w:szCs w:val="20"/>
          <w:color w:val="auto"/>
        </w:rPr>
        <w:tab/>
      </w:r>
      <w:r>
        <w:rPr>
          <w:rFonts w:ascii="Arial" w:cs="Arial" w:eastAsia="Arial" w:hAnsi="Arial"/>
          <w:sz w:val="16"/>
          <w:szCs w:val="16"/>
          <w:b w:val="1"/>
          <w:bCs w:val="1"/>
          <w:color w:val="auto"/>
        </w:rPr>
        <w:t>Notification of notice of prepayment</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The Facility Agent shall notify the Lenders promptly upon receiving a prepayment notice, and shall provide any Lender which so requests with a copy of any document delivered by the Borrowers under Clause 8.6(c).</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Mandatory prepayment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Borrowers (or, subject to Clause 29.2, each Affected Borrower) shall be obliged to prepay the Relevant Amount:</w:t>
      </w:r>
    </w:p>
    <w:p>
      <w:pPr>
        <w:spacing w:after="0" w:line="131" w:lineRule="exact"/>
        <w:rPr>
          <w:sz w:val="20"/>
          <w:szCs w:val="20"/>
          <w:color w:val="auto"/>
        </w:rPr>
      </w:pPr>
    </w:p>
    <w:p>
      <w:pPr>
        <w:ind w:left="920" w:right="180" w:hanging="912"/>
        <w:spacing w:after="0" w:line="277" w:lineRule="auto"/>
        <w:tabs>
          <w:tab w:leader="none" w:pos="9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case of a sale at any time after the Delivery Date relative to that Ship, on or before the date on which the sale is completed by delivery of that Ship to the buyer; or</w:t>
      </w:r>
    </w:p>
    <w:p>
      <w:pPr>
        <w:spacing w:after="0" w:line="75" w:lineRule="exact"/>
        <w:rPr>
          <w:rFonts w:ascii="Arial" w:cs="Arial" w:eastAsia="Arial" w:hAnsi="Arial"/>
          <w:sz w:val="18"/>
          <w:szCs w:val="18"/>
          <w:color w:val="auto"/>
        </w:rPr>
      </w:pPr>
    </w:p>
    <w:p>
      <w:pPr>
        <w:ind w:left="920" w:right="180" w:hanging="912"/>
        <w:spacing w:after="0" w:line="277" w:lineRule="auto"/>
        <w:tabs>
          <w:tab w:leader="none" w:pos="9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case of a Total Loss, on the earlier of the date falling 180 days after the Total Loss Date and the date of receipt by the Security Trustee of the proceeds of insurance relating to such Total Loss;</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any of the following occurs, unless otherwise instructed by the Facility Agent (acting on the instructions of the Lenders):</w:t>
      </w:r>
    </w:p>
    <w:p>
      <w:pPr>
        <w:spacing w:after="0" w:line="130" w:lineRule="exact"/>
        <w:rPr>
          <w:rFonts w:ascii="Arial" w:cs="Arial" w:eastAsia="Arial" w:hAnsi="Arial"/>
          <w:sz w:val="18"/>
          <w:szCs w:val="18"/>
          <w:color w:val="auto"/>
        </w:rPr>
      </w:pPr>
    </w:p>
    <w:p>
      <w:pPr>
        <w:ind w:left="1700" w:right="100" w:hanging="787"/>
        <w:spacing w:after="0" w:line="271" w:lineRule="auto"/>
        <w:tabs>
          <w:tab w:leader="none" w:pos="170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 xml:space="preserve">without their prior consent and other than as the result of a Dropdown, a change has occurred after the date of this Agreement in the legal ownership of the Intermediate Shareholder or in the legal and beneficial ownership of any of the shares in any Borrower or the ultimate beneficial ownership of the Guarantor or any of them, in the control of the voting rights attaching to any of those shares unless such change results in the ultimate beneficial owners (or their immediate family members including their descendants) of any Borrower, the Intermediate Shareholder or the Guarantor (the identity of which has been disclosed to the Facility Agent in writing on the date of this Agreement) owning more shares in the capital of the Guarantor than any other person (save for any passive institutional investor)) and holding executive power in any Borrower, the Intermediate Shareholder or the Guarantor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above shall only apply to the Intermediate Shareholder following a Dropdown; and/or</w:t>
      </w:r>
    </w:p>
    <w:p>
      <w:pPr>
        <w:spacing w:after="0" w:line="84" w:lineRule="exact"/>
        <w:rPr>
          <w:rFonts w:ascii="Arial" w:cs="Arial" w:eastAsia="Arial" w:hAnsi="Arial"/>
          <w:sz w:val="17"/>
          <w:szCs w:val="17"/>
          <w:color w:val="auto"/>
        </w:rPr>
      </w:pPr>
    </w:p>
    <w:p>
      <w:pPr>
        <w:ind w:left="1700" w:hanging="787"/>
        <w:spacing w:after="0" w:line="259" w:lineRule="auto"/>
        <w:tabs>
          <w:tab w:leader="none" w:pos="17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ultimate beneficial owners (or their immediate family members including their descendants) of the largest number of common units in the Substitute Guarantor as at the date of this Agreement, whose identities have been disclosed to the Facility Agent in writing on the date of this Agreement, ceases to own more common units in the Substitute Guarantor than any other person (save for any passive institutional investor); and/or</w:t>
      </w:r>
    </w:p>
    <w:p>
      <w:pPr>
        <w:spacing w:after="0" w:line="92" w:lineRule="exact"/>
        <w:rPr>
          <w:rFonts w:ascii="Arial" w:cs="Arial" w:eastAsia="Arial" w:hAnsi="Arial"/>
          <w:sz w:val="18"/>
          <w:szCs w:val="18"/>
          <w:color w:val="auto"/>
        </w:rPr>
      </w:pPr>
    </w:p>
    <w:p>
      <w:pPr>
        <w:ind w:left="1700" w:right="100" w:hanging="787"/>
        <w:spacing w:after="0" w:line="257" w:lineRule="auto"/>
        <w:tabs>
          <w:tab w:leader="none" w:pos="17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person or group of persons acting in concert gains directly or indirectly Control of the Guarantor or the Substitute Guarantor, and for the purpose this paragraph “</w:t>
      </w:r>
      <w:r>
        <w:rPr>
          <w:rFonts w:ascii="Arial" w:cs="Arial" w:eastAsia="Arial" w:hAnsi="Arial"/>
          <w:sz w:val="18"/>
          <w:szCs w:val="18"/>
          <w:b w:val="1"/>
          <w:bCs w:val="1"/>
          <w:color w:val="auto"/>
        </w:rPr>
        <w:t>acting in concert</w:t>
      </w:r>
      <w:r>
        <w:rPr>
          <w:rFonts w:ascii="Arial" w:cs="Arial" w:eastAsia="Arial" w:hAnsi="Arial"/>
          <w:sz w:val="18"/>
          <w:szCs w:val="18"/>
          <w:color w:val="auto"/>
        </w:rPr>
        <w:t>” means a group of persons who, pursuant to an agreement or understanding (whether formal or informal), actively co-operate, through the acquisition (directly or indirectly) of shares in the Guarantor or the Substitute Guarantor, by any of them, either directly or indirectly, to obtain or consolidate Control of the Guarantor or the Substitute Guarantor; and/or</w:t>
      </w:r>
    </w:p>
    <w:p>
      <w:pPr>
        <w:spacing w:after="0" w:line="93" w:lineRule="exact"/>
        <w:rPr>
          <w:rFonts w:ascii="Arial" w:cs="Arial" w:eastAsia="Arial" w:hAnsi="Arial"/>
          <w:sz w:val="18"/>
          <w:szCs w:val="18"/>
          <w:color w:val="auto"/>
        </w:rPr>
      </w:pPr>
    </w:p>
    <w:p>
      <w:pPr>
        <w:ind w:left="1700" w:right="420" w:hanging="787"/>
        <w:spacing w:after="0" w:line="277" w:lineRule="auto"/>
        <w:tabs>
          <w:tab w:leader="none" w:pos="17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following a Dropdown, (A) Capital GP LLC has ceased to be the Substitute Guarantor’s general partner or (B) the Guarantor has ceased to hold legal ownership of the common units of Capital GP LLC;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following a Dropdown, the Substitute Guarantor ceases to wholly own or control any of the Affected Borrowers.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Clause 8.9, “</w:t>
      </w:r>
      <w:r>
        <w:rPr>
          <w:rFonts w:ascii="Arial" w:cs="Arial" w:eastAsia="Arial" w:hAnsi="Arial"/>
          <w:sz w:val="18"/>
          <w:szCs w:val="18"/>
          <w:b w:val="1"/>
          <w:bCs w:val="1"/>
          <w:color w:val="auto"/>
        </w:rPr>
        <w:t>Relevant Amount</w:t>
      </w:r>
      <w:r>
        <w:rPr>
          <w:rFonts w:ascii="Arial" w:cs="Arial" w:eastAsia="Arial" w:hAnsi="Arial"/>
          <w:sz w:val="18"/>
          <w:szCs w:val="18"/>
          <w:color w:val="auto"/>
        </w:rPr>
        <w:t>” means: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224" w:name="page225"/>
    <w:bookmarkEnd w:id="224"/>
    <w:p>
      <w:pPr>
        <w:ind w:left="1700" w:right="80" w:hanging="787"/>
        <w:spacing w:after="0" w:line="259" w:lineRule="auto"/>
        <w:tabs>
          <w:tab w:leader="none" w:pos="17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cases of sub-paragraphs (a) and (b), an amount equal to the higher of (A) the outstanding amount of the Advance which has been used in part-financing the Ship which has become subject to any of the events referred to in such sub-paragraphs and (B) an amount, which after giving credit to the prepayment required to be made pursuant to this Clause 8.9, results in the applicable Security Cover Ratio being equal to the minimum Security Cover Ratio; and</w:t>
      </w:r>
    </w:p>
    <w:p>
      <w:pPr>
        <w:spacing w:after="0" w:line="92" w:lineRule="exact"/>
        <w:rPr>
          <w:rFonts w:ascii="Arial" w:cs="Arial" w:eastAsia="Arial" w:hAnsi="Arial"/>
          <w:sz w:val="18"/>
          <w:szCs w:val="18"/>
          <w:color w:val="auto"/>
        </w:rPr>
      </w:pPr>
    </w:p>
    <w:p>
      <w:pPr>
        <w:ind w:left="1700" w:hanging="787"/>
        <w:spacing w:after="0"/>
        <w:tabs>
          <w:tab w:leader="none" w:pos="17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case of Clause 8.9(c), the Loan;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case of Clause 8.9(c)(i), the Advance owing by any Affected Borrower.</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Amounts payable on prepayment</w:t>
      </w:r>
    </w:p>
    <w:p>
      <w:pPr>
        <w:spacing w:after="0" w:line="12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A prepayment shall be made together with accrued interest (and any other amount payable under Clause 21 below or otherwise) in respect of the amount prepaid and, if the prepayment is not made on the last day of an Interest Period together with any sums payable under Clause 21.1(b) but without premium or penalty.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Application of partial prepayment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partial prepayment shall be applied:</w:t>
      </w:r>
    </w:p>
    <w:p>
      <w:pPr>
        <w:spacing w:after="0" w:line="131" w:lineRule="exact"/>
        <w:rPr>
          <w:sz w:val="20"/>
          <w:szCs w:val="20"/>
          <w:color w:val="auto"/>
        </w:rPr>
      </w:pPr>
    </w:p>
    <w:p>
      <w:pPr>
        <w:ind w:left="920" w:right="80" w:hanging="912"/>
        <w:spacing w:after="0" w:line="255" w:lineRule="auto"/>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if made pursuant to Clause 8.5 pro rata between the then outstanding Advances and thereafter in respect of each Advance, pro rata against the Instalments in respect of that Advance which are at the time being outstanding and the relevant Balloon Instalment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Borrowers may, at their option, request that a prepayment made in accordance with Clause 8.5 be applied against one Advance only in which case such prepayment shall be applied pro rata against the Instalments in respect of that Advance which are at the time being outstanding and the relevant Balloon Instalment or in any other manner of application requested by the Borrowers and agreed by the Lenders (in the Lenders’ absolute discretion);</w:t>
      </w:r>
    </w:p>
    <w:p>
      <w:pPr>
        <w:spacing w:after="0" w:line="98" w:lineRule="exact"/>
        <w:rPr>
          <w:rFonts w:ascii="Arial" w:cs="Arial" w:eastAsia="Arial" w:hAnsi="Arial"/>
          <w:sz w:val="18"/>
          <w:szCs w:val="18"/>
          <w:color w:val="auto"/>
        </w:rPr>
      </w:pPr>
    </w:p>
    <w:p>
      <w:pPr>
        <w:ind w:left="920" w:hanging="912"/>
        <w:spacing w:after="0" w:line="279" w:lineRule="auto"/>
        <w:tabs>
          <w:tab w:leader="none" w:pos="9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if made pursuant to Clauses 8.9 or 15.2, in the cases of sub-paragraphs (a), (b) and (c), first against the Balloon Instalment in respect of the Advance related to the Ship being sold or which has become a Total Loss, secondly towards reduction of the outstanding Instalments in respect of that Advance in inverse order of maturity, thirdly against the then outstanding Balloon Instalment in respect of the remaining Advance in inverse order of maturity and fourthly towards reduction of the Instalments in respect of the remaining advances; and</w:t>
      </w:r>
    </w:p>
    <w:p>
      <w:pPr>
        <w:spacing w:after="0" w:line="76" w:lineRule="exact"/>
        <w:rPr>
          <w:rFonts w:ascii="Arial" w:cs="Arial" w:eastAsia="Arial" w:hAnsi="Arial"/>
          <w:sz w:val="17"/>
          <w:szCs w:val="17"/>
          <w:color w:val="auto"/>
        </w:rPr>
      </w:pPr>
    </w:p>
    <w:p>
      <w:pPr>
        <w:ind w:left="920" w:right="160" w:hanging="912"/>
        <w:spacing w:after="0" w:line="277" w:lineRule="auto"/>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made pursuant to any other clause of this Agreement, pro-rata between the Advances, first against reduction of the Balloon Instalments of the Advances and secondly against the outstanding Instalments in respect of such Advances.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color w:val="auto"/>
        </w:rPr>
        <w:t>No reborrowing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amount prepaid or cancelled may be reborrowed.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color w:val="auto"/>
        </w:rPr>
        <w:t>Unwinding of Designated Transactions</w:t>
      </w:r>
    </w:p>
    <w:p>
      <w:pPr>
        <w:spacing w:after="0" w:line="121" w:lineRule="exact"/>
        <w:rPr>
          <w:sz w:val="20"/>
          <w:szCs w:val="20"/>
          <w:color w:val="auto"/>
        </w:rPr>
      </w:pPr>
    </w:p>
    <w:p>
      <w:pPr>
        <w:ind w:left="920" w:right="120"/>
        <w:spacing w:after="0" w:line="302" w:lineRule="auto"/>
        <w:rPr>
          <w:sz w:val="20"/>
          <w:szCs w:val="20"/>
          <w:color w:val="auto"/>
        </w:rPr>
      </w:pPr>
      <w:r>
        <w:rPr>
          <w:rFonts w:ascii="Arial" w:cs="Arial" w:eastAsia="Arial" w:hAnsi="Arial"/>
          <w:sz w:val="16"/>
          <w:szCs w:val="16"/>
          <w:color w:val="auto"/>
        </w:rPr>
        <w:t>On or prior to any repayment or prepayment of the Loan under this Clause 8 or any other provision of this Agreement, the Borrowers shall wholly or partially reverse, offset, unwind or otherwise terminate one or more of the continuing Designated Transactions to the extent necessary to ensure that the notional principal amount of the continuing Designated Transactions thereafter remaining does not and will not in the future (taking into account the scheduled amortisation) exceed the amount of the Loan as reducing from time to time thereafter pursuant to Clause 8.1.</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25" w:name="page226"/>
    <w:bookmarkEnd w:id="22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8.14</w:t>
      </w:r>
      <w:r>
        <w:rPr>
          <w:sz w:val="20"/>
          <w:szCs w:val="20"/>
          <w:color w:val="auto"/>
        </w:rPr>
        <w:tab/>
      </w:r>
      <w:r>
        <w:rPr>
          <w:rFonts w:ascii="Arial" w:cs="Arial" w:eastAsia="Arial" w:hAnsi="Arial"/>
          <w:sz w:val="16"/>
          <w:szCs w:val="16"/>
          <w:b w:val="1"/>
          <w:bCs w:val="1"/>
          <w:color w:val="auto"/>
        </w:rPr>
        <w:t>Prepayment of swap benefit</w:t>
      </w:r>
    </w:p>
    <w:p>
      <w:pPr>
        <w:spacing w:after="0" w:line="121" w:lineRule="exact"/>
        <w:rPr>
          <w:sz w:val="20"/>
          <w:szCs w:val="20"/>
          <w:color w:val="auto"/>
        </w:rPr>
      </w:pPr>
    </w:p>
    <w:p>
      <w:pPr>
        <w:jc w:val="both"/>
        <w:ind w:left="920" w:right="60"/>
        <w:spacing w:after="0" w:line="264" w:lineRule="auto"/>
        <w:rPr>
          <w:sz w:val="20"/>
          <w:szCs w:val="20"/>
          <w:color w:val="auto"/>
        </w:rPr>
      </w:pPr>
      <w:r>
        <w:rPr>
          <w:rFonts w:ascii="Arial" w:cs="Arial" w:eastAsia="Arial" w:hAnsi="Arial"/>
          <w:sz w:val="18"/>
          <w:szCs w:val="18"/>
          <w:color w:val="auto"/>
        </w:rPr>
        <w:t>If a Designated Transaction is terminated in circumstances where the Swap Bank would be obliged to pay an amount to any Borrower under a Master Agreement, each Borrower hereby agrees that such payment shall be applied in prepayment of the Loan in accordance with Clause 8.11 and authorises the Swap Bank to pay such amount to the Facility Agent for such purpose.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6"/>
          <w:szCs w:val="16"/>
          <w:b w:val="1"/>
          <w:bCs w:val="1"/>
          <w:color w:val="auto"/>
        </w:rPr>
        <w:t>Right of cancellation in relation to a Defaulting Lender</w:t>
      </w:r>
    </w:p>
    <w:p>
      <w:pPr>
        <w:spacing w:after="0" w:line="135" w:lineRule="exact"/>
        <w:rPr>
          <w:sz w:val="20"/>
          <w:szCs w:val="20"/>
          <w:color w:val="auto"/>
        </w:rPr>
      </w:pPr>
    </w:p>
    <w:p>
      <w:pPr>
        <w:ind w:left="920" w:right="300" w:hanging="912"/>
        <w:spacing w:after="0" w:line="277" w:lineRule="auto"/>
        <w:tabs>
          <w:tab w:leader="none" w:pos="9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Borrowers may, at any time whilst the Lender continues to be a Defaulting Lender, give the Facility Agent 5 Business Days’ notice of cancellation of the undrawn Commitment of that Lender;</w:t>
      </w:r>
    </w:p>
    <w:p>
      <w:pPr>
        <w:spacing w:after="0" w:line="75" w:lineRule="exact"/>
        <w:rPr>
          <w:rFonts w:ascii="Arial" w:cs="Arial" w:eastAsia="Arial" w:hAnsi="Arial"/>
          <w:sz w:val="18"/>
          <w:szCs w:val="18"/>
          <w:color w:val="auto"/>
        </w:rPr>
      </w:pPr>
    </w:p>
    <w:p>
      <w:pPr>
        <w:ind w:left="920" w:right="200" w:hanging="912"/>
        <w:spacing w:after="0" w:line="277" w:lineRule="auto"/>
        <w:tabs>
          <w:tab w:leader="none" w:pos="9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the notice referred to in paragraph (a) above becoming effective, the undrawn Commitment of the Defaulting Lender shall immediately be reduced to zero;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Facility Agent shall as soon as practicable after receipt of a notice referred to in paragraph (a) above, notify all the Lenders.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8.16</w:t>
      </w:r>
      <w:r>
        <w:rPr>
          <w:sz w:val="20"/>
          <w:szCs w:val="20"/>
          <w:color w:val="auto"/>
        </w:rPr>
        <w:tab/>
      </w:r>
      <w:r>
        <w:rPr>
          <w:rFonts w:ascii="Arial" w:cs="Arial" w:eastAsia="Arial" w:hAnsi="Arial"/>
          <w:sz w:val="16"/>
          <w:szCs w:val="16"/>
          <w:b w:val="1"/>
          <w:bCs w:val="1"/>
          <w:color w:val="auto"/>
        </w:rPr>
        <w:t>Right of repayment and cancellation in relation to a single Lender</w:t>
      </w:r>
    </w:p>
    <w:p>
      <w:pPr>
        <w:spacing w:after="0" w:line="135" w:lineRule="exact"/>
        <w:rPr>
          <w:sz w:val="20"/>
          <w:szCs w:val="20"/>
          <w:color w:val="auto"/>
        </w:rPr>
      </w:pPr>
    </w:p>
    <w:p>
      <w:pPr>
        <w:ind w:left="920" w:hanging="912"/>
        <w:spacing w:after="0"/>
        <w:tabs>
          <w:tab w:leader="none" w:pos="9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700" w:right="100" w:hanging="787"/>
        <w:spacing w:after="0" w:line="277" w:lineRule="auto"/>
        <w:tabs>
          <w:tab w:leader="none" w:pos="17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sum payable to any Lender by a Borrower is required to be increased under paragraph (c) of Clause 22.2 or under that clause as incorporated by reference or in full in any other Finance Document; or</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Lender claims indemnification from a Borrower under Clause 22.3 or Clause 24,</w:t>
      </w:r>
    </w:p>
    <w:p>
      <w:pPr>
        <w:spacing w:after="0" w:line="117" w:lineRule="exact"/>
        <w:rPr>
          <w:sz w:val="20"/>
          <w:szCs w:val="20"/>
          <w:color w:val="auto"/>
        </w:rPr>
      </w:pPr>
    </w:p>
    <w:p>
      <w:pPr>
        <w:ind w:left="920" w:right="280"/>
        <w:spacing w:after="0" w:line="264" w:lineRule="auto"/>
        <w:rPr>
          <w:sz w:val="20"/>
          <w:szCs w:val="20"/>
          <w:color w:val="auto"/>
        </w:rPr>
      </w:pPr>
      <w:r>
        <w:rPr>
          <w:rFonts w:ascii="Arial" w:cs="Arial" w:eastAsia="Arial" w:hAnsi="Arial"/>
          <w:sz w:val="18"/>
          <w:szCs w:val="18"/>
          <w:color w:val="auto"/>
        </w:rPr>
        <w:t>the Borrowers may whilst in the case of sub-paragraphs (i) and (ii) above the circumstance giving rise to the requirement for that increase or indemnification continues, give the Facility Agent notice of cancellation of the Commitment of that Lender and its intention to procure the repayment of that Lender’s participation in the Loan.</w:t>
      </w:r>
    </w:p>
    <w:p>
      <w:pPr>
        <w:spacing w:after="0" w:line="87" w:lineRule="exact"/>
        <w:rPr>
          <w:sz w:val="20"/>
          <w:szCs w:val="20"/>
          <w:color w:val="auto"/>
        </w:rPr>
      </w:pPr>
    </w:p>
    <w:p>
      <w:pPr>
        <w:ind w:left="920" w:hanging="912"/>
        <w:spacing w:after="0"/>
        <w:tabs>
          <w:tab w:leader="none" w:pos="9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On receipt of a notice of cancellation referred to in paragraph (a) above, the Commitment of that Lender shall immediately be reduced to zero.</w:t>
      </w:r>
    </w:p>
    <w:p>
      <w:pPr>
        <w:spacing w:after="0" w:line="153" w:lineRule="exact"/>
        <w:rPr>
          <w:rFonts w:ascii="Arial" w:cs="Arial" w:eastAsia="Arial" w:hAnsi="Arial"/>
          <w:sz w:val="16"/>
          <w:szCs w:val="16"/>
          <w:color w:val="auto"/>
        </w:rPr>
      </w:pPr>
    </w:p>
    <w:p>
      <w:pPr>
        <w:ind w:left="920" w:hanging="912"/>
        <w:spacing w:after="0" w:line="342" w:lineRule="auto"/>
        <w:tabs>
          <w:tab w:leader="none" w:pos="9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On the last day of each Interest Period which ends after the Borrowers have given notice of cancellation under paragraph (a) above in relation to a Lender (or, if earlier, the date specified by the Borrowers in that notice), the Borrowers shall repay that Lender’s participation in the Loan.</w:t>
      </w:r>
    </w:p>
    <w:p>
      <w:pPr>
        <w:spacing w:after="0" w:line="29" w:lineRule="exact"/>
        <w:rPr>
          <w:rFonts w:ascii="Arial" w:cs="Arial" w:eastAsia="Arial" w:hAnsi="Arial"/>
          <w:sz w:val="16"/>
          <w:szCs w:val="16"/>
          <w:color w:val="auto"/>
        </w:rPr>
      </w:pPr>
    </w:p>
    <w:p>
      <w:pPr>
        <w:ind w:left="920" w:right="80" w:hanging="912"/>
        <w:spacing w:after="0" w:line="277" w:lineRule="auto"/>
        <w:tabs>
          <w:tab w:leader="none" w:pos="9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Any partial prepayment under this Clause 8.16 shall reduce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the amount of each Instalment falling after that prepayment by the amount prepaid.</w:t>
      </w:r>
    </w:p>
    <w:p>
      <w:pPr>
        <w:spacing w:after="0" w:line="315" w:lineRule="exact"/>
        <w:rPr>
          <w:sz w:val="20"/>
          <w:szCs w:val="20"/>
          <w:color w:val="auto"/>
        </w:rPr>
      </w:pPr>
    </w:p>
    <w:p>
      <w:pPr>
        <w:ind w:left="920" w:hanging="912"/>
        <w:spacing w:after="0"/>
        <w:tabs>
          <w:tab w:leader="none" w:pos="92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Documents, fees and no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Lender’s obligation to contribute to an Advance is subject to the following conditions precedent:</w:t>
      </w:r>
    </w:p>
    <w:p>
      <w:pPr>
        <w:spacing w:after="0" w:line="131" w:lineRule="exact"/>
        <w:rPr>
          <w:sz w:val="20"/>
          <w:szCs w:val="20"/>
          <w:color w:val="auto"/>
        </w:rPr>
      </w:pPr>
    </w:p>
    <w:p>
      <w:pPr>
        <w:ind w:left="920" w:hanging="912"/>
        <w:spacing w:after="0"/>
        <w:tabs>
          <w:tab w:leader="none" w:pos="9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that on or before the date of this Agreement, the Facility Agent receives:</w:t>
      </w:r>
    </w:p>
    <w:p>
      <w:pPr>
        <w:spacing w:after="0" w:line="130" w:lineRule="exact"/>
        <w:rPr>
          <w:rFonts w:ascii="Arial" w:cs="Arial" w:eastAsia="Arial" w:hAnsi="Arial"/>
          <w:sz w:val="18"/>
          <w:szCs w:val="18"/>
          <w:color w:val="auto"/>
        </w:rPr>
      </w:pPr>
    </w:p>
    <w:p>
      <w:pPr>
        <w:ind w:left="5620" w:right="440" w:hanging="4707"/>
        <w:spacing w:after="0" w:line="449" w:lineRule="auto"/>
        <w:tabs>
          <w:tab w:leader="none" w:pos="1706"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documents described in Part A of Schedule 3 in a form and substance satisfactory to the Facility Agent and its lawyers; and 36</w:t>
      </w:r>
    </w:p>
    <w:p>
      <w:pPr>
        <w:sectPr>
          <w:pgSz w:w="11900" w:h="16838" w:orient="portrait"/>
          <w:cols w:equalWidth="0" w:num="1">
            <w:col w:w="11300"/>
          </w:cols>
          <w:pgMar w:left="240" w:top="270" w:right="359" w:bottom="1440" w:gutter="0" w:footer="0" w:header="0"/>
        </w:sectPr>
      </w:pPr>
    </w:p>
    <w:bookmarkStart w:id="226" w:name="page227"/>
    <w:bookmarkEnd w:id="226"/>
    <w:p>
      <w:pPr>
        <w:ind w:left="1700" w:hanging="787"/>
        <w:spacing w:after="0"/>
        <w:tabs>
          <w:tab w:leader="none" w:pos="17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in full of any expenses payable pursuant to Clause 20.2;</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that, on the Drawdown Date in respect of each Advance, the Facility Agent receives: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documents described in Part B of Schedule 3 in form and substance satisfactory to it and its lawyers; and</w:t>
      </w:r>
    </w:p>
    <w:p>
      <w:pPr>
        <w:spacing w:after="0" w:line="131" w:lineRule="exact"/>
        <w:rPr>
          <w:sz w:val="20"/>
          <w:szCs w:val="20"/>
          <w:color w:val="auto"/>
        </w:rPr>
      </w:pPr>
    </w:p>
    <w:p>
      <w:pPr>
        <w:ind w:left="1700" w:hanging="787"/>
        <w:spacing w:after="0"/>
        <w:tabs>
          <w:tab w:leader="none" w:pos="17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all accrued commitment fee due and payable pursuant to Clause 20.1;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payment in full of any expenses payable pursuant to Clause 20.2 which are due and payable on that Drawdown Date;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both at the date of each Drawdown Notice and at each Drawdown Date:</w:t>
      </w:r>
    </w:p>
    <w:p>
      <w:pPr>
        <w:spacing w:after="0" w:line="130" w:lineRule="exact"/>
        <w:rPr>
          <w:rFonts w:ascii="Arial" w:cs="Arial" w:eastAsia="Arial" w:hAnsi="Arial"/>
          <w:sz w:val="18"/>
          <w:szCs w:val="18"/>
          <w:color w:val="auto"/>
        </w:rPr>
      </w:pPr>
    </w:p>
    <w:p>
      <w:pPr>
        <w:ind w:left="1700" w:right="220" w:hanging="787"/>
        <w:spacing w:after="0" w:line="277" w:lineRule="auto"/>
        <w:tabs>
          <w:tab w:leader="none" w:pos="17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and is continuing or would result from the borrowing of the relevant Advance; and</w:t>
      </w:r>
    </w:p>
    <w:p>
      <w:pPr>
        <w:spacing w:after="0" w:line="75" w:lineRule="exact"/>
        <w:rPr>
          <w:rFonts w:ascii="Arial" w:cs="Arial" w:eastAsia="Arial" w:hAnsi="Arial"/>
          <w:sz w:val="18"/>
          <w:szCs w:val="18"/>
          <w:color w:val="auto"/>
        </w:rPr>
      </w:pPr>
    </w:p>
    <w:p>
      <w:pPr>
        <w:jc w:val="both"/>
        <w:ind w:left="1700" w:hanging="787"/>
        <w:spacing w:after="0" w:line="342" w:lineRule="auto"/>
        <w:tabs>
          <w:tab w:leader="none" w:pos="170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the representations and warranties in Clause 10 and those of any Borrower or any Security Party which are set out in the other Finance Documents would be true and not misleading if repeated on each of those dates with reference to the circumstances then existing; and</w:t>
      </w:r>
    </w:p>
    <w:p>
      <w:pPr>
        <w:spacing w:after="0" w:line="29" w:lineRule="exact"/>
        <w:rPr>
          <w:rFonts w:ascii="Arial" w:cs="Arial" w:eastAsia="Arial" w:hAnsi="Arial"/>
          <w:sz w:val="16"/>
          <w:szCs w:val="16"/>
          <w:color w:val="auto"/>
        </w:rPr>
      </w:pPr>
    </w:p>
    <w:p>
      <w:pPr>
        <w:ind w:left="1700" w:hanging="787"/>
        <w:spacing w:after="0"/>
        <w:tabs>
          <w:tab w:leader="none" w:pos="17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none of the circumstances contemplated by Clause 5.6 has occurred and is continuing;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there is no Material Adverse Change in existence;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Facility Agent receives any fees referred to in Clause 20.1 which are due and payable at that time;</w:t>
      </w:r>
    </w:p>
    <w:p>
      <w:pPr>
        <w:spacing w:after="0" w:line="130" w:lineRule="exact"/>
        <w:rPr>
          <w:rFonts w:ascii="Arial" w:cs="Arial" w:eastAsia="Arial" w:hAnsi="Arial"/>
          <w:sz w:val="18"/>
          <w:szCs w:val="18"/>
          <w:color w:val="auto"/>
        </w:rPr>
      </w:pPr>
    </w:p>
    <w:p>
      <w:pPr>
        <w:ind w:left="920" w:right="20" w:hanging="912"/>
        <w:spacing w:after="0" w:line="277" w:lineRule="auto"/>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if the applicable Security Cover Ratio were applied immediately following the making of the relevant Advance, the Borrowers would not be obliged to provide additional security or prepay part of the Loan under that Clause; and</w:t>
      </w:r>
    </w:p>
    <w:p>
      <w:pPr>
        <w:spacing w:after="0" w:line="75" w:lineRule="exact"/>
        <w:rPr>
          <w:rFonts w:ascii="Arial" w:cs="Arial" w:eastAsia="Arial" w:hAnsi="Arial"/>
          <w:sz w:val="18"/>
          <w:szCs w:val="18"/>
          <w:color w:val="auto"/>
        </w:rPr>
      </w:pPr>
    </w:p>
    <w:p>
      <w:pPr>
        <w:jc w:val="both"/>
        <w:ind w:left="920" w:right="260" w:hanging="912"/>
        <w:spacing w:after="0" w:line="264" w:lineRule="auto"/>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the Facility Agent has received, and found to be acceptable to it, any further opinions, consents, agreements and documents in connection with the Finance Documents which the Facility Agent may, with the authorisation of the Majority Lenders, request by notice to the Borrowers prior to the relevant Drawdown Date.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Waiver of conditions precedent</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If the Majority Lenders, at their discretion, permit an Advance to be borrowed before certain of the conditions referred to in Clause 9.1 are satisfied, the Facility Agent will, acting on the instructions of the Majority Lenders, issue a conditions precedent waiver letter and the Borrowers shall ensure that those conditions are satisfied within 5 Business Days of the date of such letter (or such longer period as the Facility Agent may, with the authorisation of the Majority Lenders, specify).</w:t>
      </w:r>
    </w:p>
    <w:p>
      <w:pPr>
        <w:spacing w:after="0" w:line="331" w:lineRule="exact"/>
        <w:rPr>
          <w:sz w:val="20"/>
          <w:szCs w:val="20"/>
          <w:color w:val="auto"/>
        </w:rPr>
      </w:pPr>
    </w:p>
    <w:p>
      <w:pPr>
        <w:ind w:left="920" w:hanging="912"/>
        <w:spacing w:after="0"/>
        <w:tabs>
          <w:tab w:leader="none" w:pos="92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w:t>
      </w:r>
      <w:r>
        <w:rPr>
          <w:rFonts w:ascii="Arial" w:cs="Arial" w:eastAsia="Arial" w:hAnsi="Arial"/>
          <w:sz w:val="16"/>
          <w:szCs w:val="16"/>
          <w:b w:val="1"/>
          <w:bCs w:val="1"/>
          <w:color w:val="auto"/>
        </w:rPr>
        <w:t>General</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Each Borrower represents and warrants to each Creditor Party as follows.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Status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Corporation is a company duly incorporated, validly existing and in good standing under the laws of the Republic of the Marshall Islands.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227" w:name="page228"/>
    <w:bookmarkEnd w:id="22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10.3</w:t>
      </w:r>
      <w:r>
        <w:rPr>
          <w:sz w:val="20"/>
          <w:szCs w:val="20"/>
          <w:color w:val="auto"/>
        </w:rPr>
        <w:tab/>
      </w:r>
      <w:r>
        <w:rPr>
          <w:rFonts w:ascii="Arial" w:cs="Arial" w:eastAsia="Arial" w:hAnsi="Arial"/>
          <w:sz w:val="16"/>
          <w:szCs w:val="16"/>
          <w:b w:val="1"/>
          <w:bCs w:val="1"/>
          <w:color w:val="auto"/>
        </w:rPr>
        <w:t>Capital</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Each Borrower has an authorised share capital divided into 100 registered and/or bearer shares, each of no par value, all of which shares have been fully paid issued in registered form and the legal title and beneficial ownership of all shares is held free of any Security Interests (except for Permitted Security Interests) or any other claim by the person or persons disclosed by the Borrowers to the Facility Agent in writing on or prior to the date of this Agreement.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Corporate power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has the corporate capacity, and has taken all corporate action and obtained all consents necessary for it:</w:t>
      </w:r>
    </w:p>
    <w:p>
      <w:pPr>
        <w:spacing w:after="0" w:line="131" w:lineRule="exact"/>
        <w:rPr>
          <w:sz w:val="20"/>
          <w:szCs w:val="20"/>
          <w:color w:val="auto"/>
        </w:rPr>
      </w:pPr>
    </w:p>
    <w:p>
      <w:pPr>
        <w:ind w:left="920" w:hanging="912"/>
        <w:spacing w:after="0" w:line="277" w:lineRule="auto"/>
        <w:tabs>
          <w:tab w:leader="none" w:pos="9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enter into, and perform its obligations under, any Charterparty (including, without limitation, the applicable Tesoro Charter) to which it is or, as the case may be, is to become a party;</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execute the Finance Documents to which that Borrower is a party; and</w:t>
      </w:r>
    </w:p>
    <w:p>
      <w:pPr>
        <w:spacing w:after="0" w:line="130" w:lineRule="exact"/>
        <w:rPr>
          <w:rFonts w:ascii="Arial" w:cs="Arial" w:eastAsia="Arial" w:hAnsi="Arial"/>
          <w:sz w:val="18"/>
          <w:szCs w:val="18"/>
          <w:color w:val="auto"/>
        </w:rPr>
      </w:pPr>
    </w:p>
    <w:p>
      <w:pPr>
        <w:ind w:left="920" w:right="40" w:hanging="912"/>
        <w:spacing w:after="0" w:line="277" w:lineRule="auto"/>
        <w:tabs>
          <w:tab w:leader="none" w:pos="9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borrow under this Agreement, to enter into Designated Transactions under a Master Agreement and to make all the payments contemplated by, and to comply with, those Finance Documents to which that Borrower is a party.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Consents in force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the consents referred to in Clause 10.4 remain in force and nothing has occurred which makes any of them liable to revocation.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Legal validity; effective Security Interests</w:t>
      </w:r>
    </w:p>
    <w:p>
      <w:pPr>
        <w:spacing w:after="0" w:line="121"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The Finance Documents to which each Borrower is a party, do now or, as the case may be, will, upon execution and delivery (and, where applicable, registration as provided for in the Finance Documents):</w:t>
      </w:r>
    </w:p>
    <w:p>
      <w:pPr>
        <w:spacing w:after="0" w:line="76" w:lineRule="exact"/>
        <w:rPr>
          <w:sz w:val="20"/>
          <w:szCs w:val="20"/>
          <w:color w:val="auto"/>
        </w:rPr>
      </w:pPr>
    </w:p>
    <w:p>
      <w:pPr>
        <w:ind w:left="920" w:hanging="912"/>
        <w:spacing w:after="0"/>
        <w:tabs>
          <w:tab w:leader="none" w:pos="9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constitute that Borrower’s legal, valid and binding obligations enforceable against that Borrower in accordance with their respective terms; and</w:t>
      </w:r>
    </w:p>
    <w:p>
      <w:pPr>
        <w:spacing w:after="0" w:line="153" w:lineRule="exact"/>
        <w:rPr>
          <w:rFonts w:ascii="Arial" w:cs="Arial" w:eastAsia="Arial" w:hAnsi="Arial"/>
          <w:sz w:val="16"/>
          <w:szCs w:val="16"/>
          <w:color w:val="auto"/>
        </w:rPr>
      </w:pPr>
    </w:p>
    <w:p>
      <w:pPr>
        <w:ind w:left="920" w:right="180" w:hanging="912"/>
        <w:spacing w:after="0" w:line="277" w:lineRule="auto"/>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create legal, valid and binding Security Interests enforceable in accordance with their respective terms over all the assets to which they, by their terms, relate,</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subject to any relevant insolvency laws affecting creditors’ rights generally.</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No third party Security Interests</w:t>
      </w:r>
    </w:p>
    <w:p>
      <w:pPr>
        <w:spacing w:after="0" w:line="121"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Without limiting the generality of Clause 10.6, at the time of the execution and delivery of each Finance Document to which that Borrower is a party:</w:t>
      </w:r>
    </w:p>
    <w:p>
      <w:pPr>
        <w:spacing w:after="0" w:line="76" w:lineRule="exact"/>
        <w:rPr>
          <w:sz w:val="20"/>
          <w:szCs w:val="20"/>
          <w:color w:val="auto"/>
        </w:rPr>
      </w:pPr>
    </w:p>
    <w:p>
      <w:pPr>
        <w:ind w:left="920" w:hanging="912"/>
        <w:spacing w:after="0"/>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that Borrower will have the right to create all the Security Interests which that Finance Document purports to create; and</w:t>
      </w:r>
    </w:p>
    <w:p>
      <w:pPr>
        <w:spacing w:after="0" w:line="130" w:lineRule="exact"/>
        <w:rPr>
          <w:rFonts w:ascii="Arial" w:cs="Arial" w:eastAsia="Arial" w:hAnsi="Arial"/>
          <w:sz w:val="18"/>
          <w:szCs w:val="18"/>
          <w:color w:val="auto"/>
        </w:rPr>
      </w:pPr>
    </w:p>
    <w:p>
      <w:pPr>
        <w:ind w:left="920" w:right="40" w:hanging="912"/>
        <w:spacing w:after="0" w:line="277" w:lineRule="auto"/>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 third party will have any Security Interest (except for Permitted Security Interests) or any other interest, right or claim over, in or in relation to any asset to which any such Security Interest, by its terms, relates.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0" w:right="239" w:bottom="1440" w:gutter="0" w:footer="0" w:header="0"/>
        </w:sectPr>
      </w:pPr>
    </w:p>
    <w:bookmarkStart w:id="228" w:name="page229"/>
    <w:bookmarkEnd w:id="22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10.8</w:t>
      </w:r>
      <w:r>
        <w:rPr>
          <w:sz w:val="20"/>
          <w:szCs w:val="20"/>
          <w:color w:val="auto"/>
        </w:rPr>
        <w:tab/>
      </w:r>
      <w:r>
        <w:rPr>
          <w:rFonts w:ascii="Arial" w:cs="Arial" w:eastAsia="Arial" w:hAnsi="Arial"/>
          <w:sz w:val="15"/>
          <w:szCs w:val="15"/>
          <w:b w:val="1"/>
          <w:bCs w:val="1"/>
          <w:color w:val="auto"/>
        </w:rPr>
        <w:t>No conflicts</w:t>
      </w:r>
    </w:p>
    <w:p>
      <w:pPr>
        <w:spacing w:after="0" w:line="121"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The execution by each Borrower of each Finance Document to which it is a party, and the borrowing by that Borrower of the Loan, and its compliance with each Finance Document to which it is a party will not involve or lead to a contravention of:</w:t>
      </w:r>
    </w:p>
    <w:p>
      <w:pPr>
        <w:sectPr>
          <w:pgSz w:w="11900" w:h="16838" w:orient="portrait"/>
          <w:cols w:equalWidth="0" w:num="1">
            <w:col w:w="11360"/>
          </w:cols>
          <w:pgMar w:left="240" w:top="270" w:right="29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any law or regulation; or</w:t>
      </w:r>
    </w:p>
    <w:p>
      <w:pPr>
        <w:spacing w:after="0" w:line="154" w:lineRule="exact"/>
        <w:rPr>
          <w:sz w:val="20"/>
          <w:szCs w:val="20"/>
          <w:color w:val="auto"/>
        </w:rPr>
      </w:pPr>
    </w:p>
    <w:p>
      <w:pPr>
        <w:sectPr>
          <w:pgSz w:w="11900" w:h="16838" w:orient="portrait"/>
          <w:cols w:equalWidth="0" w:num="2">
            <w:col w:w="200" w:space="720"/>
            <w:col w:w="10440"/>
          </w:cols>
          <w:pgMar w:left="240" w:top="270"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constitutional documents of that Borrower; or</w:t>
      </w:r>
    </w:p>
    <w:p>
      <w:pPr>
        <w:spacing w:after="0" w:line="153" w:lineRule="exact"/>
        <w:rPr>
          <w:sz w:val="20"/>
          <w:szCs w:val="20"/>
          <w:color w:val="auto"/>
        </w:rPr>
      </w:pPr>
    </w:p>
    <w:p>
      <w:pPr>
        <w:sectPr>
          <w:pgSz w:w="11900" w:h="16838" w:orient="portrait"/>
          <w:cols w:equalWidth="0" w:num="2">
            <w:col w:w="220" w:space="700"/>
            <w:col w:w="1044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contractual or other obligation or restriction which is binding on that Borrower or any of its assets,</w:t>
      </w:r>
    </w:p>
    <w:p>
      <w:pPr>
        <w:spacing w:after="0" w:line="140" w:lineRule="exact"/>
        <w:rPr>
          <w:sz w:val="20"/>
          <w:szCs w:val="20"/>
          <w:color w:val="auto"/>
        </w:rPr>
      </w:pPr>
    </w:p>
    <w:p>
      <w:pPr>
        <w:sectPr>
          <w:pgSz w:w="11900" w:h="16838" w:orient="portrait"/>
          <w:cols w:equalWidth="0" w:num="2">
            <w:col w:w="200" w:space="720"/>
            <w:col w:w="10440"/>
          </w:cols>
          <w:pgMar w:left="240" w:top="270" w:right="29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and will not have a Material Adverse Effect.</w:t>
      </w:r>
    </w:p>
    <w:p>
      <w:pPr>
        <w:sectPr>
          <w:pgSz w:w="11900" w:h="16838" w:orient="portrait"/>
          <w:cols w:equalWidth="0" w:num="1">
            <w:col w:w="11360"/>
          </w:cols>
          <w:pgMar w:left="240" w:top="270" w:right="299" w:bottom="1440" w:gutter="0" w:footer="0" w:header="0"/>
          <w:type w:val="continuous"/>
        </w:sect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10.9</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withholding taxes</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All payments which each Borrower is liable to make under the Finance Documents may be made without deduction or withholding for or on</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account of any tax payable under any law of any Pertinent Jurisdiction.</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10.10</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default</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No Event of Default or Potential Event of Default has occurred and is continuing.</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10.11</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Information</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All information which has been provided in writing by or on behalf of each Borrower or any Security Party to any Creditor Party in connection</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with any Finance Document satisfied the requirements of Clause 11.5; all audited and unaudited accounts which have been so provided satisfied</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the requirements of Clause 11.7; and there has been no material adverse change in the financial position or state of affairs of any Borrower from</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that disclosed in the latest of those accounts which is likely to have a Material Adverse Effect.</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10.12</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litigation</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No legal or administrative action involving any Borrower or any Security Party (including action relating to any alleged or actual breach of the</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ISM Code or the ISPC Code) has been commenced or taken or, to any Borrower’s knowledge, is likely to be commenced or taken which would,</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in either case, be likely to have a Material Adverse Effect.</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10.13</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Validity and completeness of Underlying Documents</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Each of the Underlying Documents constitutes valid, binding and enforceable obligations of the parties thereto in accordance with its terms; and:</w:t>
            </w:r>
          </w:p>
        </w:tc>
      </w:tr>
    </w:tbl>
    <w:p>
      <w:pPr>
        <w:spacing w:after="0" w:line="107" w:lineRule="exact"/>
        <w:rPr>
          <w:sz w:val="20"/>
          <w:szCs w:val="20"/>
          <w:color w:val="auto"/>
        </w:rPr>
      </w:pPr>
    </w:p>
    <w:p>
      <w:pPr>
        <w:ind w:left="920" w:right="160" w:hanging="912"/>
        <w:spacing w:after="0" w:line="277" w:lineRule="auto"/>
        <w:tabs>
          <w:tab w:leader="none" w:pos="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copies of each Underlying Document delivered to the Facility Agent before the date of this Agreement is a true and complete copy thereof; and</w:t>
      </w:r>
    </w:p>
    <w:p>
      <w:pPr>
        <w:spacing w:after="0" w:line="75" w:lineRule="exact"/>
        <w:rPr>
          <w:rFonts w:ascii="Arial" w:cs="Arial" w:eastAsia="Arial" w:hAnsi="Arial"/>
          <w:sz w:val="18"/>
          <w:szCs w:val="18"/>
          <w:color w:val="auto"/>
        </w:rPr>
      </w:pPr>
    </w:p>
    <w:p>
      <w:pPr>
        <w:ind w:left="920" w:right="360" w:hanging="912"/>
        <w:spacing w:after="0" w:line="277" w:lineRule="auto"/>
        <w:tabs>
          <w:tab w:leader="none" w:pos="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 amendments or additions to any Underlying Document have been agreed nor has any of the parties thereto waived any of their respective rights thereunder</w:t>
      </w:r>
    </w:p>
    <w:p>
      <w:pPr>
        <w:spacing w:after="0" w:line="58" w:lineRule="exact"/>
        <w:rPr>
          <w:rFonts w:ascii="Arial" w:cs="Arial" w:eastAsia="Arial" w:hAnsi="Arial"/>
          <w:sz w:val="18"/>
          <w:szCs w:val="18"/>
          <w:color w:val="auto"/>
        </w:rPr>
      </w:pPr>
    </w:p>
    <w:p>
      <w:pPr>
        <w:ind w:left="920" w:right="120"/>
        <w:spacing w:after="0" w:line="313" w:lineRule="auto"/>
        <w:rPr>
          <w:rFonts w:ascii="Arial" w:cs="Arial" w:eastAsia="Arial" w:hAnsi="Arial"/>
          <w:sz w:val="18"/>
          <w:szCs w:val="18"/>
          <w:color w:val="auto"/>
        </w:rPr>
      </w:pPr>
      <w:r>
        <w:rPr>
          <w:rFonts w:ascii="Arial" w:cs="Arial" w:eastAsia="Arial" w:hAnsi="Arial"/>
          <w:sz w:val="17"/>
          <w:szCs w:val="17"/>
          <w:b w:val="1"/>
          <w:bCs w:val="1"/>
          <w:color w:val="auto"/>
        </w:rPr>
        <w:t xml:space="preserve">Provided that </w:t>
      </w:r>
      <w:r>
        <w:rPr>
          <w:rFonts w:ascii="Arial" w:cs="Arial" w:eastAsia="Arial" w:hAnsi="Arial"/>
          <w:sz w:val="17"/>
          <w:szCs w:val="17"/>
          <w:color w:val="auto"/>
        </w:rPr>
        <w:t>these representations shall only be made in connection with each Tesoro Charter from the date of service of a Drawdown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in respect of the Tesoro Charter relative to the Ship which is the subject of the Advance referred to in that Drawdown Notice.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70" w:right="299" w:bottom="1440" w:gutter="0" w:footer="0" w:header="0"/>
          <w:type w:val="continuous"/>
        </w:sectPr>
      </w:pPr>
    </w:p>
    <w:bookmarkStart w:id="229" w:name="page230"/>
    <w:bookmarkEnd w:id="22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10.14</w:t>
      </w:r>
      <w:r>
        <w:rPr>
          <w:sz w:val="20"/>
          <w:szCs w:val="20"/>
          <w:color w:val="auto"/>
        </w:rPr>
        <w:tab/>
      </w:r>
      <w:r>
        <w:rPr>
          <w:rFonts w:ascii="Arial" w:cs="Arial" w:eastAsia="Arial" w:hAnsi="Arial"/>
          <w:sz w:val="15"/>
          <w:szCs w:val="15"/>
          <w:b w:val="1"/>
          <w:bCs w:val="1"/>
          <w:color w:val="auto"/>
        </w:rPr>
        <w:t>No rebates etc.</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There is no agreement or understanding to allow or pay any rebate, premium, commission, discount or other benefit or payment (howsoever described) to any Borrower, any other member of a Group or any affiliate thereof (including, without limitation, the Substitute Guarantor or any subsidiary of the Substitute Guarantor) in connection with the acquisition of any of the Ships other than any brokerage commissions disclosed to the Lenders in writing on or prior to the date of this Agreement.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10.15</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Compliance with certain undertakings</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At the date of this Agreement, each Borrower is in compliance with Clauses 11.2, 11.4, 11.7 and 11.12.</w:t>
            </w:r>
          </w:p>
        </w:tc>
      </w:tr>
      <w:tr>
        <w:trPr>
          <w:trHeight w:val="581"/>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10.16</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Taxes paid</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Each Borrower has paid all taxes applicable to, or imposed on or in relation to that Borrower and its business.</w:t>
            </w:r>
          </w:p>
        </w:tc>
      </w:tr>
      <w:tr>
        <w:trPr>
          <w:trHeight w:val="581"/>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10.17</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ISM and ISPS Code compliance</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All requirements of (i) the ISM Code as they relate to the Approved Manager have been complied with and (ii) the ISM Code and the ISPS Code</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as they relate to each Borrower and each Ship will be complied with by no later than the actual Delivery Date relative thereto.</w:t>
            </w:r>
          </w:p>
        </w:tc>
      </w:tr>
      <w:tr>
        <w:trPr>
          <w:trHeight w:val="581"/>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10.18</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Money laundering</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It is acting for its own account in relation to the Loan and in relation to the performance and the discharge of its obligations and liabilities under</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the Finance Documents and the transactions and other arrangements effected or contemplated by the Finance Documents to which a Security</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6"/>
              </w:rPr>
              <w:t>Party is a party, and the foregoing will not involve or lead to contravention of any law, official requirement or other regulatory measure or</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procedure implemented to combat money laundering (as defined in Article 1 of the Directive (2001/97EC of the European Parliament and of</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4 December 2001) including, but not limited to Directive 2005/60 amending Council Directive 91/308).</w:t>
            </w:r>
          </w:p>
        </w:tc>
      </w:tr>
      <w:tr>
        <w:trPr>
          <w:trHeight w:val="581"/>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10.19</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Immunity</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Each Borrower is subject to suit and to commercial law and neither it nor any of its properties have any right of immunity from suit, execution,</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attachment or other legal process in the Republic of the Marshall Islands.</w:t>
            </w:r>
          </w:p>
        </w:tc>
      </w:tr>
      <w:tr>
        <w:trPr>
          <w:trHeight w:val="581"/>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10.20</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Sanctions</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No Borrower, no Security Party nor any of their Affiliates and no member of the Group nor any of their joint ventures nor any of their respective</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directors, officers or agent or representatives or any other persons acting on any of their behalf:</w:t>
            </w:r>
          </w:p>
        </w:tc>
      </w:tr>
    </w:tbl>
    <w:p>
      <w:pPr>
        <w:spacing w:after="0" w:line="107" w:lineRule="exact"/>
        <w:rPr>
          <w:sz w:val="20"/>
          <w:szCs w:val="20"/>
          <w:color w:val="auto"/>
        </w:rPr>
      </w:pPr>
    </w:p>
    <w:p>
      <w:pPr>
        <w:ind w:left="920" w:hanging="912"/>
        <w:spacing w:after="0"/>
        <w:tabs>
          <w:tab w:leader="none" w:pos="9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has violated or is violating any applicable Sanctions;</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is a Designated Person;</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is using or will use, directly or indirectly, the proceeds of the Loan, or lend, contribute or otherwise make available such proceeds to any person,</w:t>
      </w:r>
    </w:p>
    <w:p>
      <w:pPr>
        <w:spacing w:after="0" w:line="46" w:lineRule="exact"/>
        <w:rPr>
          <w:rFonts w:ascii="Arial" w:cs="Arial" w:eastAsia="Arial" w:hAnsi="Arial"/>
          <w:sz w:val="16"/>
          <w:szCs w:val="16"/>
          <w:color w:val="auto"/>
        </w:rPr>
      </w:pPr>
    </w:p>
    <w:p>
      <w:pPr>
        <w:ind w:left="920" w:right="260"/>
        <w:spacing w:after="0" w:line="277" w:lineRule="auto"/>
        <w:rPr>
          <w:rFonts w:ascii="Arial" w:cs="Arial" w:eastAsia="Arial" w:hAnsi="Arial"/>
          <w:sz w:val="16"/>
          <w:szCs w:val="16"/>
          <w:color w:val="auto"/>
        </w:rPr>
      </w:pPr>
      <w:r>
        <w:rPr>
          <w:rFonts w:ascii="Arial" w:cs="Arial" w:eastAsia="Arial" w:hAnsi="Arial"/>
          <w:sz w:val="17"/>
          <w:szCs w:val="17"/>
          <w:color w:val="auto"/>
        </w:rPr>
        <w:t>(i) to fund any activities or business of or with any person, or in any country or territory, that, at the time of such funding, is, or whose government is, the subject of Sanctions or is an UHRC, or (ii) in any other manner that would result in a violation of Sanctions by any person (including any person participating in the Loan, whether as underwriter, advisor, investor, or otherwise).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0" w:right="299" w:bottom="1440" w:gutter="0" w:footer="0" w:header="0"/>
        </w:sectPr>
      </w:pPr>
    </w:p>
    <w:bookmarkStart w:id="230" w:name="page231"/>
    <w:bookmarkEnd w:id="23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10.21</w:t>
      </w:r>
      <w:r>
        <w:rPr>
          <w:sz w:val="20"/>
          <w:szCs w:val="20"/>
          <w:color w:val="auto"/>
        </w:rPr>
        <w:tab/>
      </w:r>
      <w:r>
        <w:rPr>
          <w:rFonts w:ascii="Arial" w:cs="Arial" w:eastAsia="Arial" w:hAnsi="Arial"/>
          <w:sz w:val="16"/>
          <w:szCs w:val="16"/>
          <w:b w:val="1"/>
          <w:bCs w:val="1"/>
          <w:color w:val="auto"/>
        </w:rPr>
        <w:t>Corrupt Practices</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It has observed and, to the best of its knowledge and belief, parties acting on its behalf have observed in the course of acting for it, all applicable laws and regulations relating to bribery and corrupt practices.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10.22</w:t>
      </w:r>
      <w:r>
        <w:rPr>
          <w:sz w:val="20"/>
          <w:szCs w:val="20"/>
          <w:color w:val="auto"/>
        </w:rPr>
        <w:tab/>
      </w:r>
      <w:r>
        <w:rPr>
          <w:rFonts w:ascii="Arial" w:cs="Arial" w:eastAsia="Arial" w:hAnsi="Arial"/>
          <w:sz w:val="16"/>
          <w:szCs w:val="16"/>
          <w:b w:val="1"/>
          <w:bCs w:val="1"/>
          <w:color w:val="auto"/>
        </w:rPr>
        <w:t>Choice of law</w:t>
      </w:r>
    </w:p>
    <w:p>
      <w:pPr>
        <w:spacing w:after="0" w:line="121"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The choice of the laws of England to govern the Loan Agreement and those other Finance Documents which are expressed to be governed by the laws of England constitutes a valid choice of law and the submission by each Borrower thereunder to the non-exclusive jurisdiction of the Courts of England is a valid submission and does not contravene the laws of the Marshall Islands and the laws of England will be applied by the Courts of the Marshall Islands if the Loan Agreement or those other Finance Documents or any claim thereunder comes under their jurisdiction upon proof of the relevant provisions of the laws of England.</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10.23</w:t>
      </w:r>
      <w:r>
        <w:rPr>
          <w:sz w:val="20"/>
          <w:szCs w:val="20"/>
          <w:color w:val="auto"/>
        </w:rPr>
        <w:tab/>
      </w:r>
      <w:r>
        <w:rPr>
          <w:rFonts w:ascii="Arial" w:cs="Arial" w:eastAsia="Arial" w:hAnsi="Arial"/>
          <w:sz w:val="16"/>
          <w:szCs w:val="16"/>
          <w:b w:val="1"/>
          <w:bCs w:val="1"/>
          <w:color w:val="auto"/>
        </w:rPr>
        <w:t>Repetition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representations and warranties in this Clause 10 shall be deemed to be repeated by each Borrower:</w:t>
      </w:r>
    </w:p>
    <w:p>
      <w:pPr>
        <w:spacing w:after="0" w:line="131" w:lineRule="exact"/>
        <w:rPr>
          <w:sz w:val="20"/>
          <w:szCs w:val="20"/>
          <w:color w:val="auto"/>
        </w:rPr>
      </w:pPr>
    </w:p>
    <w:p>
      <w:pPr>
        <w:ind w:left="920" w:hanging="912"/>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on the date of service of each Drawdown Notice;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on each Drawdown Date; and</w:t>
      </w:r>
    </w:p>
    <w:p>
      <w:pPr>
        <w:spacing w:after="0" w:line="130" w:lineRule="exact"/>
        <w:rPr>
          <w:rFonts w:ascii="Arial" w:cs="Arial" w:eastAsia="Arial" w:hAnsi="Arial"/>
          <w:sz w:val="18"/>
          <w:szCs w:val="18"/>
          <w:color w:val="auto"/>
        </w:rPr>
      </w:pPr>
    </w:p>
    <w:p>
      <w:pPr>
        <w:ind w:left="920" w:right="4380" w:hanging="912"/>
        <w:spacing w:after="0" w:line="483" w:lineRule="auto"/>
        <w:tabs>
          <w:tab w:leader="none" w:pos="91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with the exception of Clauses 10.9 and 10.12, on the first day of each Interest Period, as if made with reference to the facts and circumstances existing on each such day.</w:t>
      </w:r>
    </w:p>
    <w:p>
      <w:pPr>
        <w:spacing w:after="0" w:line="160" w:lineRule="exact"/>
        <w:rPr>
          <w:sz w:val="20"/>
          <w:szCs w:val="20"/>
          <w:color w:val="auto"/>
        </w:rPr>
      </w:pPr>
    </w:p>
    <w:p>
      <w:pPr>
        <w:ind w:left="920" w:hanging="912"/>
        <w:spacing w:after="0"/>
        <w:tabs>
          <w:tab w:leader="none" w:pos="92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Each Borrower undertakes with each Creditor Party to comply with the following provisions of this Clause 11 at all times during the Security Period except as the Facility Agent may, with the authorisation of the Majority Lenders, or, where specified, all Lenders, otherwise permit (which permission shall not be unreasonably withheld or delayed in connection with Clause 11.11).</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Title; negative pledge and pari passu ranking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will:</w:t>
      </w:r>
    </w:p>
    <w:p>
      <w:pPr>
        <w:spacing w:after="0" w:line="131" w:lineRule="exact"/>
        <w:rPr>
          <w:sz w:val="20"/>
          <w:szCs w:val="20"/>
          <w:color w:val="auto"/>
        </w:rPr>
      </w:pPr>
    </w:p>
    <w:p>
      <w:pPr>
        <w:ind w:left="920" w:hanging="912"/>
        <w:spacing w:after="0" w:line="264" w:lineRule="auto"/>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as from the Delivery Date of its Ship, hold the legal title to, and own the entire beneficial interest in its Ship free from all Security Interests and other interests and rights of every kind, except for those created by the Finance Documents and the effect of assignments contained in the Finance Documents and except for Permitted Security Interests;</w:t>
      </w:r>
    </w:p>
    <w:p>
      <w:pPr>
        <w:spacing w:after="0" w:line="86" w:lineRule="exact"/>
        <w:rPr>
          <w:rFonts w:ascii="Arial" w:cs="Arial" w:eastAsia="Arial" w:hAnsi="Arial"/>
          <w:sz w:val="18"/>
          <w:szCs w:val="18"/>
          <w:color w:val="auto"/>
        </w:rPr>
      </w:pPr>
    </w:p>
    <w:p>
      <w:pPr>
        <w:ind w:left="920" w:right="100" w:hanging="912"/>
        <w:spacing w:after="0" w:line="277" w:lineRule="auto"/>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 create or permit to arise any Security Interest over any other asset, present or future other than in the normal course of its business of owning and operating of the Ship owned by it; and</w:t>
      </w:r>
    </w:p>
    <w:p>
      <w:pPr>
        <w:spacing w:after="0" w:line="75" w:lineRule="exact"/>
        <w:rPr>
          <w:rFonts w:ascii="Arial" w:cs="Arial" w:eastAsia="Arial" w:hAnsi="Arial"/>
          <w:sz w:val="18"/>
          <w:szCs w:val="18"/>
          <w:color w:val="auto"/>
        </w:rPr>
      </w:pPr>
    </w:p>
    <w:p>
      <w:pPr>
        <w:ind w:left="920" w:right="360" w:hanging="912"/>
        <w:spacing w:after="0" w:line="277" w:lineRule="auto"/>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procure that its liabilities under the Finance Documents to which it is a party do and will rank at least pari passu with all its other present and future unsecured liabilities, except for liabilities which are mandatorily preferred by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231" w:name="page232"/>
    <w:bookmarkEnd w:id="23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w:t>
      </w:r>
      <w:r>
        <w:rPr>
          <w:sz w:val="20"/>
          <w:szCs w:val="20"/>
          <w:color w:val="auto"/>
        </w:rPr>
        <w:tab/>
      </w:r>
      <w:r>
        <w:rPr>
          <w:rFonts w:ascii="Arial" w:cs="Arial" w:eastAsia="Arial" w:hAnsi="Arial"/>
          <w:sz w:val="15"/>
          <w:szCs w:val="15"/>
          <w:b w:val="1"/>
          <w:bCs w:val="1"/>
          <w:color w:val="auto"/>
        </w:rPr>
        <w:t>No disposal of assets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will transfer, lease or otherwise dispose of:</w:t>
      </w:r>
    </w:p>
    <w:p>
      <w:pPr>
        <w:spacing w:after="0" w:line="131" w:lineRule="exact"/>
        <w:rPr>
          <w:sz w:val="20"/>
          <w:szCs w:val="20"/>
          <w:color w:val="auto"/>
        </w:rPr>
      </w:pPr>
    </w:p>
    <w:p>
      <w:pPr>
        <w:ind w:left="920" w:right="480" w:hanging="912"/>
        <w:spacing w:after="0" w:line="277" w:lineRule="auto"/>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or a substantial part of its assets, whether by one transaction or a number of transactions, whether related or not if such transfer, lease or disposal results or in the occurrence of an Event of Default; or</w:t>
      </w:r>
    </w:p>
    <w:p>
      <w:pPr>
        <w:spacing w:after="0" w:line="75" w:lineRule="exact"/>
        <w:rPr>
          <w:rFonts w:ascii="Arial" w:cs="Arial" w:eastAsia="Arial" w:hAnsi="Arial"/>
          <w:sz w:val="18"/>
          <w:szCs w:val="18"/>
          <w:color w:val="auto"/>
        </w:rPr>
      </w:pPr>
    </w:p>
    <w:p>
      <w:pPr>
        <w:ind w:left="920" w:right="1000" w:hanging="912"/>
        <w:spacing w:after="0" w:line="277" w:lineRule="auto"/>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debt payable to it or any other right (present, future or contingent right) to receive a payment, including any right to damages or compensation,</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but paragraph (a) does not apply to any charter of a Ship as to which Clause 14.14 applies.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11.4</w:t>
            </w:r>
          </w:p>
        </w:tc>
        <w:tc>
          <w:tcPr>
            <w:tcW w:w="10640" w:type="dxa"/>
            <w:vAlign w:val="bottom"/>
          </w:tcPr>
          <w:p>
            <w:pPr>
              <w:ind w:left="300"/>
              <w:spacing w:after="0"/>
              <w:rPr>
                <w:sz w:val="20"/>
                <w:szCs w:val="20"/>
                <w:color w:val="auto"/>
              </w:rPr>
            </w:pPr>
            <w:r>
              <w:rPr>
                <w:rFonts w:ascii="Arial" w:cs="Arial" w:eastAsia="Arial" w:hAnsi="Arial"/>
                <w:sz w:val="18"/>
                <w:szCs w:val="18"/>
                <w:b w:val="1"/>
                <w:bCs w:val="1"/>
                <w:color w:val="auto"/>
              </w:rPr>
              <w:t>Information provided to be accurate</w:t>
            </w:r>
          </w:p>
        </w:tc>
      </w:tr>
      <w:tr>
        <w:trPr>
          <w:trHeight w:val="310"/>
        </w:trPr>
        <w:tc>
          <w:tcPr>
            <w:tcW w:w="620" w:type="dxa"/>
            <w:vAlign w:val="bottom"/>
          </w:tcPr>
          <w:p>
            <w:pPr>
              <w:spacing w:after="0"/>
              <w:rPr>
                <w:sz w:val="24"/>
                <w:szCs w:val="24"/>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w w:val="93"/>
              </w:rPr>
              <w:t>All financial and other information, including, but not limited to factual information, exhibits and reports, which is provided in writing by or on</w:t>
            </w:r>
          </w:p>
        </w:tc>
      </w:tr>
      <w:tr>
        <w:trPr>
          <w:trHeight w:val="216"/>
        </w:trPr>
        <w:tc>
          <w:tcPr>
            <w:tcW w:w="620" w:type="dxa"/>
            <w:vAlign w:val="bottom"/>
          </w:tcPr>
          <w:p>
            <w:pPr>
              <w:spacing w:after="0"/>
              <w:rPr>
                <w:sz w:val="18"/>
                <w:szCs w:val="18"/>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w w:val="92"/>
              </w:rPr>
              <w:t>behalf of a Borrower under or in connection with any Finance Document will be true and not misleading and will not omit any material fact or</w:t>
            </w:r>
          </w:p>
        </w:tc>
      </w:tr>
      <w:tr>
        <w:trPr>
          <w:trHeight w:val="230"/>
        </w:trPr>
        <w:tc>
          <w:tcPr>
            <w:tcW w:w="62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consideration.</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11.5</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No other liabilities or obligations to be incurred</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No Borrower will incur any liability or obligation (including, without limitation, any Financial Indebtedness) except (a) liabilities and obligations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under the Underlying Documents and the Finance Documents to which it is a party and (b) liabilities or obligations reasonably incurred in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ordinary course of operating and chartering its Ship and, should the Lenders consent to the incurrence by a Borrower of any such obligations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and/or liabilities (other than those referred to in paragraphs (a) and (b), then that Borrower shall ensure that any such obligations and/or liabilities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shall at all times be subordinated in priority to the obligations and liabilities of such Borrower under this Agreement and the other Finance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Documents.</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11.6</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rPr>
              <w:t>Creditor notices</w:t>
            </w:r>
          </w:p>
        </w:tc>
      </w:tr>
      <w:tr>
        <w:trPr>
          <w:trHeight w:val="310"/>
        </w:trPr>
        <w:tc>
          <w:tcPr>
            <w:tcW w:w="620" w:type="dxa"/>
            <w:vAlign w:val="bottom"/>
          </w:tcPr>
          <w:p>
            <w:pPr>
              <w:spacing w:after="0"/>
              <w:rPr>
                <w:sz w:val="24"/>
                <w:szCs w:val="24"/>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Each Borrower will send to the Facility Agent, at the same time as they are despatched, copies of all communications which are despatched to all</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of its creditors or to the whole or any class of them for any claim which exceeds, on an individual basis, $25,000.</w:t>
            </w:r>
          </w:p>
        </w:tc>
      </w:tr>
      <w:tr>
        <w:trPr>
          <w:trHeight w:val="58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11.7</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rPr>
              <w:t>Consents</w:t>
            </w:r>
          </w:p>
        </w:tc>
      </w:tr>
      <w:tr>
        <w:trPr>
          <w:trHeight w:val="310"/>
        </w:trPr>
        <w:tc>
          <w:tcPr>
            <w:tcW w:w="620" w:type="dxa"/>
            <w:vAlign w:val="bottom"/>
          </w:tcPr>
          <w:p>
            <w:pPr>
              <w:spacing w:after="0"/>
              <w:rPr>
                <w:sz w:val="24"/>
                <w:szCs w:val="24"/>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Each Borrower will maintain in force and promptly obtain or renew, and will promptly send certified copies to the Facility Agent of, all consents</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required:</w:t>
            </w:r>
          </w:p>
        </w:tc>
      </w:tr>
    </w:tbl>
    <w:p>
      <w:pPr>
        <w:spacing w:after="0" w:line="107" w:lineRule="exact"/>
        <w:rPr>
          <w:sz w:val="20"/>
          <w:szCs w:val="20"/>
          <w:color w:val="auto"/>
        </w:rPr>
      </w:pPr>
    </w:p>
    <w:p>
      <w:pPr>
        <w:ind w:left="920" w:right="380" w:hanging="912"/>
        <w:spacing w:after="0" w:line="277" w:lineRule="auto"/>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for that Borrower to perform its obligations under any Finance Document and any Underlying Document to which that Borrower is party (in respect of the applicable Tesoro Charter, from the Delivery Date of its Ship);</w:t>
      </w:r>
    </w:p>
    <w:p>
      <w:pPr>
        <w:spacing w:after="0" w:line="75" w:lineRule="exact"/>
        <w:rPr>
          <w:rFonts w:ascii="Arial" w:cs="Arial" w:eastAsia="Arial" w:hAnsi="Arial"/>
          <w:sz w:val="18"/>
          <w:szCs w:val="18"/>
          <w:color w:val="auto"/>
        </w:rPr>
      </w:pPr>
    </w:p>
    <w:p>
      <w:pPr>
        <w:ind w:left="920" w:right="140" w:hanging="912"/>
        <w:spacing w:after="0" w:line="277" w:lineRule="auto"/>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for the validity or enforceability of any Finance Document and any Underlying Document (in respect of the applicable Tesoro Charter, from the Delivery Date of its Ship) to which that Borrower is party;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after the Delivery Date of its Ship, for that Borrower to own and operate that Ship,</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that Borrower will comply (or procure compliance as the case may be) with the terms of all such consents.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Maintenance of Security Interests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will: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0" w:right="259" w:bottom="1440" w:gutter="0" w:footer="0" w:header="0"/>
        </w:sectPr>
      </w:pPr>
    </w:p>
    <w:bookmarkStart w:id="232" w:name="page233"/>
    <w:bookmarkEnd w:id="232"/>
    <w:p>
      <w:pPr>
        <w:ind w:left="920" w:right="120" w:hanging="912"/>
        <w:spacing w:after="0" w:line="277" w:lineRule="auto"/>
        <w:tabs>
          <w:tab w:leader="none" w:pos="9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its own cost, do all that it reasonably can to ensure that any Finance Document validly creates the obligations and the Security Interests which it purports to create; and</w:t>
      </w:r>
    </w:p>
    <w:p>
      <w:pPr>
        <w:spacing w:after="0" w:line="75" w:lineRule="exact"/>
        <w:rPr>
          <w:rFonts w:ascii="Arial" w:cs="Arial" w:eastAsia="Arial" w:hAnsi="Arial"/>
          <w:sz w:val="18"/>
          <w:szCs w:val="18"/>
          <w:color w:val="auto"/>
        </w:rPr>
      </w:pPr>
    </w:p>
    <w:p>
      <w:pPr>
        <w:ind w:left="920" w:right="100" w:hanging="912"/>
        <w:spacing w:after="0" w:line="302" w:lineRule="auto"/>
        <w:tabs>
          <w:tab w:leader="none" w:pos="9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without limiting the generality of paragraph (a) above, at its own cost, promptly register, file, record or enrol any Finance Document with any court or authority in all Pertinent Jurisdictions, pay any stamp, registration or similar tax in all Pertinent Jurisdictions in respect of any Finance Document, give any notice or take any other step which, in the opinion of the Majority Lenders, is or has become necessary or desirable for any Finance Document to be valid, enforceable or admissible in evidence or to ensure or protect the priority of any Security Interest which it creates.</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Notification of litigation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will provide the Facility Agent with:</w:t>
      </w:r>
    </w:p>
    <w:p>
      <w:pPr>
        <w:spacing w:after="0" w:line="131" w:lineRule="exact"/>
        <w:rPr>
          <w:sz w:val="20"/>
          <w:szCs w:val="20"/>
          <w:color w:val="auto"/>
        </w:rPr>
      </w:pPr>
    </w:p>
    <w:p>
      <w:pPr>
        <w:ind w:left="920" w:hanging="912"/>
        <w:spacing w:after="0" w:line="264" w:lineRule="auto"/>
        <w:tabs>
          <w:tab w:leader="none" w:pos="9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details of any legal or administrative action involving that Borrower, any Security Party, any Underlying Document to which it is a party, its Ship, its Earnings or its Insurances as soon as such action is instituted unless it is clear that the legal or administrative action cannot be considered material in the context of any Finance Document.</w:t>
      </w:r>
    </w:p>
    <w:p>
      <w:pPr>
        <w:spacing w:after="0" w:line="86" w:lineRule="exact"/>
        <w:rPr>
          <w:rFonts w:ascii="Arial" w:cs="Arial" w:eastAsia="Arial" w:hAnsi="Arial"/>
          <w:sz w:val="18"/>
          <w:szCs w:val="18"/>
          <w:color w:val="auto"/>
        </w:rPr>
      </w:pPr>
    </w:p>
    <w:p>
      <w:pPr>
        <w:ind w:left="920" w:hanging="912"/>
        <w:spacing w:after="0" w:line="264" w:lineRule="auto"/>
        <w:tabs>
          <w:tab w:leader="none" w:pos="9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claim, action, suit, proceeding or investigation with respect to Sanctions against it, any of its direct or indirect owners, subsidiaries, any of their joint ventures or any of their respective directors, officers, employees, agents or representatives.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No amendment to Master Agreements; Transactions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will:</w:t>
      </w:r>
    </w:p>
    <w:p>
      <w:pPr>
        <w:spacing w:after="0" w:line="131" w:lineRule="exact"/>
        <w:rPr>
          <w:sz w:val="20"/>
          <w:szCs w:val="20"/>
          <w:color w:val="auto"/>
        </w:rPr>
      </w:pPr>
    </w:p>
    <w:p>
      <w:pPr>
        <w:ind w:left="920" w:hanging="912"/>
        <w:spacing w:after="0"/>
        <w:tabs>
          <w:tab w:leader="none" w:pos="9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agree to any amendment or supplement to, or waive or fail to enforce, a Master Agreement or any of its provisions;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enter into any Transaction pursuant to a Master Agreement except Designated Transactions.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No amendment to any Underlying Document (other than the Tesoro Charters)</w:t>
      </w:r>
    </w:p>
    <w:p>
      <w:pPr>
        <w:spacing w:after="0" w:line="121" w:lineRule="exact"/>
        <w:rPr>
          <w:sz w:val="20"/>
          <w:szCs w:val="20"/>
          <w:color w:val="auto"/>
        </w:rPr>
      </w:pPr>
    </w:p>
    <w:p>
      <w:pPr>
        <w:ind w:left="920" w:right="460"/>
        <w:spacing w:after="0" w:line="342" w:lineRule="auto"/>
        <w:rPr>
          <w:sz w:val="20"/>
          <w:szCs w:val="20"/>
          <w:color w:val="auto"/>
        </w:rPr>
      </w:pPr>
      <w:r>
        <w:rPr>
          <w:rFonts w:ascii="Arial" w:cs="Arial" w:eastAsia="Arial" w:hAnsi="Arial"/>
          <w:sz w:val="16"/>
          <w:szCs w:val="16"/>
          <w:color w:val="auto"/>
        </w:rPr>
        <w:t>No Borrower will agree to any amendment or supplement to, or waive or fail to enforce, any Underlying Document (other than the Tesoro Charters) or any of its provisions without the prior written consent of the Lenders such consent not to be unreasonably withheld or delayed.</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5"/>
          <w:szCs w:val="15"/>
          <w:b w:val="1"/>
          <w:bCs w:val="1"/>
          <w:color w:val="auto"/>
        </w:rPr>
        <w:t>Principal place of business</w:t>
      </w:r>
    </w:p>
    <w:p>
      <w:pPr>
        <w:spacing w:after="0" w:line="121" w:lineRule="exact"/>
        <w:rPr>
          <w:sz w:val="20"/>
          <w:szCs w:val="20"/>
          <w:color w:val="auto"/>
        </w:rPr>
      </w:pPr>
    </w:p>
    <w:p>
      <w:pPr>
        <w:jc w:val="both"/>
        <w:ind w:left="920" w:right="120"/>
        <w:spacing w:after="0" w:line="264" w:lineRule="auto"/>
        <w:rPr>
          <w:sz w:val="20"/>
          <w:szCs w:val="20"/>
          <w:color w:val="auto"/>
        </w:rPr>
      </w:pPr>
      <w:r>
        <w:rPr>
          <w:rFonts w:ascii="Arial" w:cs="Arial" w:eastAsia="Arial" w:hAnsi="Arial"/>
          <w:sz w:val="18"/>
          <w:szCs w:val="18"/>
          <w:color w:val="auto"/>
        </w:rPr>
        <w:t>Each Borrower will maintain its place of business, and keep its corporate documents and records, at the address stated at Clause 28.2(a) and that Borrower will not establish nor do anything as a result of which it would be deemed to have, a place of business in England or the United States of America.</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b w:val="1"/>
          <w:bCs w:val="1"/>
          <w:color w:val="auto"/>
        </w:rPr>
        <w:t>Confirmation of no default</w:t>
      </w:r>
    </w:p>
    <w:p>
      <w:pPr>
        <w:spacing w:after="0" w:line="12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Each Borrower will, within 2 Business Days after service by the Facility Agent of a written request, serve on the Facility Agent a notice which is signed by an officer of that Borrower and which:</w:t>
      </w:r>
    </w:p>
    <w:p>
      <w:pPr>
        <w:spacing w:after="0" w:line="76" w:lineRule="exact"/>
        <w:rPr>
          <w:sz w:val="20"/>
          <w:szCs w:val="20"/>
          <w:color w:val="auto"/>
        </w:rPr>
      </w:pPr>
    </w:p>
    <w:p>
      <w:pPr>
        <w:ind w:left="920" w:hanging="912"/>
        <w:spacing w:after="0"/>
        <w:tabs>
          <w:tab w:leader="none" w:pos="9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states that no Event of Default has occurred; or</w:t>
      </w:r>
    </w:p>
    <w:p>
      <w:pPr>
        <w:spacing w:after="0" w:line="130" w:lineRule="exact"/>
        <w:rPr>
          <w:rFonts w:ascii="Arial" w:cs="Arial" w:eastAsia="Arial" w:hAnsi="Arial"/>
          <w:sz w:val="18"/>
          <w:szCs w:val="18"/>
          <w:color w:val="auto"/>
        </w:rPr>
      </w:pPr>
    </w:p>
    <w:p>
      <w:pPr>
        <w:ind w:left="5620" w:right="1740" w:hanging="5612"/>
        <w:spacing w:after="0" w:line="449" w:lineRule="auto"/>
        <w:tabs>
          <w:tab w:leader="none" w:pos="90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states that no Event of Default has occurred, except for a specified event or matter, of which all material details are given, 43</w:t>
      </w:r>
    </w:p>
    <w:p>
      <w:pPr>
        <w:sectPr>
          <w:pgSz w:w="11900" w:h="16838" w:orient="portrait"/>
          <w:cols w:equalWidth="0" w:num="1">
            <w:col w:w="11420"/>
          </w:cols>
          <w:pgMar w:left="240" w:top="274" w:right="239" w:bottom="1440" w:gutter="0" w:footer="0" w:header="0"/>
        </w:sectPr>
      </w:pPr>
    </w:p>
    <w:bookmarkStart w:id="233" w:name="page234"/>
    <w:bookmarkEnd w:id="233"/>
    <w:p>
      <w:pPr>
        <w:ind w:left="92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Facility Agent may serve requests under this Clause 11.13 from time to time but only if asked to do so by a Lender or Lenders having Contributions exceeding 10 per cent. of the Loan or Commitments exceeding 10 per cent. of the Total Commitments; this Clause 11.13 does not affect that Borrower’s obligations under Clause 11.14.</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Notification of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will notify the Facility Agent as soon as that Borrower becomes aware of:</w:t>
      </w:r>
    </w:p>
    <w:p>
      <w:pPr>
        <w:spacing w:after="0" w:line="131" w:lineRule="exact"/>
        <w:rPr>
          <w:sz w:val="20"/>
          <w:szCs w:val="20"/>
          <w:color w:val="auto"/>
        </w:rPr>
      </w:pPr>
    </w:p>
    <w:p>
      <w:pPr>
        <w:ind w:left="920" w:right="280" w:hanging="912"/>
        <w:spacing w:after="0" w:line="277" w:lineRule="auto"/>
        <w:tabs>
          <w:tab w:leader="none" w:pos="9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occurrence of a Potential Event of Default and/or an Event of Default (and the steps, if any, being taken to remedy such Potential Event of Default and/or Event of Default);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may have occurred,</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will thereafter keep the Facility Agent fully up-to-date with all developments.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Provision of further information</w:t>
      </w:r>
    </w:p>
    <w:p>
      <w:pPr>
        <w:spacing w:after="0" w:line="135" w:lineRule="exact"/>
        <w:rPr>
          <w:sz w:val="20"/>
          <w:szCs w:val="20"/>
          <w:color w:val="auto"/>
        </w:rPr>
      </w:pPr>
    </w:p>
    <w:p>
      <w:pPr>
        <w:ind w:left="920" w:right="160" w:hanging="912"/>
        <w:spacing w:after="0" w:line="277" w:lineRule="auto"/>
        <w:tabs>
          <w:tab w:leader="none" w:pos="9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Borrower will provide the Facility Agent with annual budgets in respect of operated expenses and accruals of the Ships which, in the case of accruals, are due and payable within 6 months.</w:t>
      </w:r>
    </w:p>
    <w:p>
      <w:pPr>
        <w:spacing w:after="0" w:line="75" w:lineRule="exact"/>
        <w:rPr>
          <w:rFonts w:ascii="Arial" w:cs="Arial" w:eastAsia="Arial" w:hAnsi="Arial"/>
          <w:sz w:val="18"/>
          <w:szCs w:val="18"/>
          <w:color w:val="auto"/>
        </w:rPr>
      </w:pPr>
    </w:p>
    <w:p>
      <w:pPr>
        <w:ind w:left="920" w:right="800" w:hanging="912"/>
        <w:spacing w:after="0" w:line="277" w:lineRule="auto"/>
        <w:tabs>
          <w:tab w:leader="none" w:pos="9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Borrower will, as soon as practicable after receiving the request, provide the Facility Agent with any additional financial or other information relating:</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to it, the Ship owned by it, its Insurances and its Earnings; 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to any other matter relevant to, or to any provision of, a Finance Document,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may be requested by the Facility Agent, the Security Trustee or any Lender at any time.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General and administrative costs</w:t>
      </w:r>
    </w:p>
    <w:p>
      <w:pPr>
        <w:spacing w:after="0" w:line="121" w:lineRule="exact"/>
        <w:rPr>
          <w:sz w:val="20"/>
          <w:szCs w:val="20"/>
          <w:color w:val="auto"/>
        </w:rPr>
      </w:pPr>
    </w:p>
    <w:p>
      <w:pPr>
        <w:jc w:val="both"/>
        <w:ind w:left="920" w:right="300"/>
        <w:spacing w:after="0" w:line="312" w:lineRule="auto"/>
        <w:rPr>
          <w:sz w:val="20"/>
          <w:szCs w:val="20"/>
          <w:color w:val="auto"/>
        </w:rPr>
      </w:pPr>
      <w:r>
        <w:rPr>
          <w:rFonts w:ascii="Arial" w:cs="Arial" w:eastAsia="Arial" w:hAnsi="Arial"/>
          <w:sz w:val="16"/>
          <w:szCs w:val="16"/>
          <w:color w:val="auto"/>
        </w:rPr>
        <w:t>Each Borrower shall ensure that the payment of all its general and administrative costs in connection with the ownership and operation of the Ship owned by it (including, without limitation, the payment of the management fees pursuant to the Management Agreements) shall be fully subordinated to its payment obligations under this Agreement and the other Finance Documents throughout the Security Period.</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5"/>
          <w:szCs w:val="15"/>
          <w:b w:val="1"/>
          <w:bCs w:val="1"/>
          <w:color w:val="auto"/>
        </w:rPr>
        <w:t>Provision of copies and translation of documents</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Each Borrower will supply the Facility Agent with a sufficient number of copies of the documents referred to above to provide one copy for each Creditor Party; and if the Facility Agent so requires in respect of any of those documents, the Borrowers will provide a certified English translation prepared by a translator approved by the Facility Agent.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Hedging of interest rate risks</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Each Borrower may from time to time enter into Designated Transactions with the Swap Bank in order to hedge all or part of the interest rate risk under this Agreement.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“Know your customer” checks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20" w:right="260" w:hanging="912"/>
        <w:spacing w:after="0" w:line="277" w:lineRule="auto"/>
        <w:tabs>
          <w:tab w:leader="none" w:pos="9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234" w:name="page235"/>
    <w:bookmarkEnd w:id="234"/>
    <w:p>
      <w:pPr>
        <w:ind w:left="920" w:hanging="912"/>
        <w:spacing w:after="0" w:line="277" w:lineRule="auto"/>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change in the status of that Borrower or any Security Party after the date of this Agreement (including a situation where a shareholder’s share in a Borrower or any Security Party rises above 10% of the total number of shares); or</w:t>
      </w:r>
    </w:p>
    <w:p>
      <w:pPr>
        <w:spacing w:after="0" w:line="75" w:lineRule="exact"/>
        <w:rPr>
          <w:rFonts w:ascii="Arial" w:cs="Arial" w:eastAsia="Arial" w:hAnsi="Arial"/>
          <w:sz w:val="18"/>
          <w:szCs w:val="18"/>
          <w:color w:val="auto"/>
        </w:rPr>
      </w:pPr>
    </w:p>
    <w:p>
      <w:pPr>
        <w:ind w:left="920" w:right="300" w:hanging="912"/>
        <w:spacing w:after="0" w:line="277" w:lineRule="auto"/>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62" w:lineRule="exact"/>
        <w:rPr>
          <w:rFonts w:ascii="Arial" w:cs="Arial" w:eastAsia="Arial" w:hAnsi="Arial"/>
          <w:sz w:val="18"/>
          <w:szCs w:val="18"/>
          <w:color w:val="auto"/>
        </w:rPr>
      </w:pPr>
    </w:p>
    <w:p>
      <w:pPr>
        <w:ind w:left="920" w:right="60"/>
        <w:spacing w:after="0" w:line="291" w:lineRule="auto"/>
        <w:rPr>
          <w:rFonts w:ascii="Arial" w:cs="Arial" w:eastAsia="Arial" w:hAnsi="Arial"/>
          <w:sz w:val="18"/>
          <w:szCs w:val="18"/>
          <w:color w:val="auto"/>
        </w:rPr>
      </w:pPr>
      <w:r>
        <w:rPr>
          <w:rFonts w:ascii="Arial" w:cs="Arial" w:eastAsia="Arial" w:hAnsi="Arial"/>
          <w:sz w:val="16"/>
          <w:szCs w:val="16"/>
          <w:color w:val="auto"/>
        </w:rPr>
        <w:t>obliges the Facility Agent or any Lender (or, in the case of paragraph (c), any prospective new Lender) to comply with “know your customer” or similar identification procedures in circumstances where the necessary information is not already available to it, the Borrowers shall promptly upon the request of the Facility Agent or the Lender concerned supply, or procure the supply of, such documentation and other evidence as is reasonably requested by the Facility Agent (for itself or on behalf of any Lender) or the Lender concerned (for itself or, in the case of the event described in paragraph (c), on behalf of any prospective new Lender) in order for the Facility Agent, the Lender concerned or, in the case of the event described in paragraph (c),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5"/>
          <w:szCs w:val="15"/>
          <w:b w:val="1"/>
          <w:bCs w:val="1"/>
          <w:color w:val="auto"/>
        </w:rPr>
        <w:t>Sanctions</w:t>
      </w:r>
    </w:p>
    <w:p>
      <w:pPr>
        <w:spacing w:after="0" w:line="135" w:lineRule="exact"/>
        <w:rPr>
          <w:sz w:val="20"/>
          <w:szCs w:val="20"/>
          <w:color w:val="auto"/>
        </w:rPr>
      </w:pPr>
    </w:p>
    <w:p>
      <w:pPr>
        <w:ind w:left="920" w:hanging="912"/>
        <w:spacing w:after="0"/>
        <w:tabs>
          <w:tab w:leader="none" w:pos="9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Borrower shall and shall procure that Security Party and each member of the Group and Security Party: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will comply in all respects with Sanctions;</w:t>
      </w:r>
    </w:p>
    <w:p>
      <w:pPr>
        <w:spacing w:after="0" w:line="130" w:lineRule="exact"/>
        <w:rPr>
          <w:rFonts w:ascii="Arial" w:cs="Arial" w:eastAsia="Arial" w:hAnsi="Arial"/>
          <w:sz w:val="18"/>
          <w:szCs w:val="18"/>
          <w:color w:val="auto"/>
        </w:rPr>
      </w:pPr>
    </w:p>
    <w:p>
      <w:pPr>
        <w:ind w:left="1700" w:right="80" w:hanging="787"/>
        <w:spacing w:after="0" w:line="302" w:lineRule="auto"/>
        <w:tabs>
          <w:tab w:leader="none" w:pos="170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will not, directly or indirectly, use the proceeds of the Loan, or lend, contribute or otherwise make available such proceeds to any person, (i) to fund any activities or business of or with any person, or in any country or territory, that, at the time of such funding, is, or whose government is, the subject of Sanctions or is an UHRC, or (ii) in any other manner that would result in a violation of Sanctions by any person (including any person participating in the Loan, whether as underwriter, advisor, investor, or otherwise); and</w:t>
      </w:r>
    </w:p>
    <w:p>
      <w:pPr>
        <w:spacing w:after="0" w:line="59" w:lineRule="exact"/>
        <w:rPr>
          <w:rFonts w:ascii="Arial" w:cs="Arial" w:eastAsia="Arial" w:hAnsi="Arial"/>
          <w:sz w:val="16"/>
          <w:szCs w:val="16"/>
          <w:color w:val="auto"/>
        </w:rPr>
      </w:pPr>
    </w:p>
    <w:p>
      <w:pPr>
        <w:ind w:left="1700" w:hanging="787"/>
        <w:spacing w:after="0" w:line="264" w:lineRule="auto"/>
        <w:tabs>
          <w:tab w:leader="none" w:pos="17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shall not fund all or part of any payment under a Finance Document out of proceeds derived from business or transactions with a Designated Person or from any action which would be prohibited by Sanctions or would otherwise cause any person to be in breach of Sanctions;</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Borrower nor any member of the Group shall be a Designated Person;</w:t>
      </w:r>
    </w:p>
    <w:p>
      <w:pPr>
        <w:spacing w:after="0" w:line="130" w:lineRule="exact"/>
        <w:rPr>
          <w:rFonts w:ascii="Arial" w:cs="Arial" w:eastAsia="Arial" w:hAnsi="Arial"/>
          <w:sz w:val="18"/>
          <w:szCs w:val="18"/>
          <w:color w:val="auto"/>
        </w:rPr>
      </w:pPr>
    </w:p>
    <w:p>
      <w:pPr>
        <w:ind w:left="920" w:right="320" w:hanging="912"/>
        <w:spacing w:after="0" w:line="264" w:lineRule="auto"/>
        <w:tabs>
          <w:tab w:leader="none" w:pos="9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shareholder (or shareholders acting in concert) owning 5% or more of the shares of the Borrower, and (y) no shareholder (or shareholders acting in concert) of any of the Borrower’s Subsidiaries owning 5% or more of shares in such Subsidiary (other than the Borrower), is/are a Designated Person(s);</w:t>
      </w:r>
    </w:p>
    <w:p>
      <w:pPr>
        <w:spacing w:after="0" w:line="86" w:lineRule="exact"/>
        <w:rPr>
          <w:rFonts w:ascii="Arial" w:cs="Arial" w:eastAsia="Arial" w:hAnsi="Arial"/>
          <w:sz w:val="18"/>
          <w:szCs w:val="18"/>
          <w:color w:val="auto"/>
        </w:rPr>
      </w:pPr>
    </w:p>
    <w:p>
      <w:pPr>
        <w:jc w:val="both"/>
        <w:ind w:left="920" w:right="280" w:hanging="912"/>
        <w:spacing w:after="0" w:line="264" w:lineRule="auto"/>
        <w:tabs>
          <w:tab w:leader="none" w:pos="9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Neither the Borrower nor any member of the Group is a Designated Person or is deemed as such on the basis of ownership or control (as such terms are interpreted in the relevant regulations in respect of the Sanctions or in any guidance in relation to such regulations) by a Designated Person;</w:t>
      </w:r>
    </w:p>
    <w:p>
      <w:pPr>
        <w:spacing w:after="0" w:line="86" w:lineRule="exact"/>
        <w:rPr>
          <w:rFonts w:ascii="Arial" w:cs="Arial" w:eastAsia="Arial" w:hAnsi="Arial"/>
          <w:sz w:val="18"/>
          <w:szCs w:val="18"/>
          <w:color w:val="auto"/>
        </w:rPr>
      </w:pPr>
    </w:p>
    <w:p>
      <w:pPr>
        <w:ind w:left="920" w:right="520" w:hanging="912"/>
        <w:spacing w:after="0" w:line="342" w:lineRule="auto"/>
        <w:tabs>
          <w:tab w:leader="none" w:pos="9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 Designated Person has not been involved in the negotiation or execution of the Finance Documents on behalf of the Borrower nor in the performance by the Borrower of its obligations under this Agreement nor in the use by the Borrower of the proceeds of the Loan;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235" w:name="page236"/>
    <w:bookmarkEnd w:id="235"/>
    <w:p>
      <w:pPr>
        <w:ind w:left="920" w:right="320" w:hanging="912"/>
        <w:spacing w:after="0" w:line="312" w:lineRule="auto"/>
        <w:tabs>
          <w:tab w:leader="none" w:pos="9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Designated Person does not own or control (as such terms are interpreted in the relevant regulations in respect of the Sanctions or in any guidance in relation to such regulations) the Borrower or any of its Subsidiaries and, to the best of the Borrower’s knowledge after due and careful inquiry, has no legal or beneficial interest, whether directly or indirectly, in any shares of the Borrower or any of its Subsidiaries; and</w:t>
      </w:r>
    </w:p>
    <w:p>
      <w:pPr>
        <w:spacing w:after="0" w:line="52" w:lineRule="exact"/>
        <w:rPr>
          <w:rFonts w:ascii="Arial" w:cs="Arial" w:eastAsia="Arial" w:hAnsi="Arial"/>
          <w:sz w:val="16"/>
          <w:szCs w:val="16"/>
          <w:color w:val="auto"/>
        </w:rPr>
      </w:pPr>
    </w:p>
    <w:p>
      <w:pPr>
        <w:ind w:left="920" w:right="260" w:hanging="912"/>
        <w:spacing w:after="0" w:line="277" w:lineRule="auto"/>
        <w:tabs>
          <w:tab w:leader="none" w:pos="9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Designated Person is not the subject of Sanctions other than the Sanctions by the United States of America, including OFAC, the European Union, including its Member States and the United Nations.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7"/>
          <w:szCs w:val="17"/>
          <w:b w:val="1"/>
          <w:bCs w:val="1"/>
          <w:color w:val="auto"/>
        </w:rPr>
        <w:t>Minimum Working Capital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maintain standing to the credit of its Minimum Working Capital Account the aggregate of:</w:t>
      </w:r>
    </w:p>
    <w:p>
      <w:pPr>
        <w:spacing w:after="0" w:line="131" w:lineRule="exact"/>
        <w:rPr>
          <w:sz w:val="20"/>
          <w:szCs w:val="20"/>
          <w:color w:val="auto"/>
        </w:rPr>
      </w:pPr>
    </w:p>
    <w:p>
      <w:pPr>
        <w:ind w:left="920" w:hanging="912"/>
        <w:spacing w:after="0" w:line="264" w:lineRule="auto"/>
        <w:tabs>
          <w:tab w:leader="none" w:pos="9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throughout the Security Period, a cash buffer representing the estimated cost of all regulatory surveys included in that Borrower’s budget prior to the fifth anniversary from the relevant Drawdown Date and thereafter, the estimated cost of all regulatory surveys included in that Borrowers’ budget until the end of the Security Period; and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1700" w:right="180" w:hanging="787"/>
        <w:spacing w:after="0" w:line="308" w:lineRule="auto"/>
        <w:tabs>
          <w:tab w:leader="none" w:pos="170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from the Drawdown Date until the date falling one day prior to the date falling on the second anniversary of the Drawdown Date of the relevant Ship’s Advance (the “</w:t>
      </w:r>
      <w:r>
        <w:rPr>
          <w:rFonts w:ascii="Arial" w:cs="Arial" w:eastAsia="Arial" w:hAnsi="Arial"/>
          <w:sz w:val="17"/>
          <w:szCs w:val="17"/>
          <w:b w:val="1"/>
          <w:bCs w:val="1"/>
          <w:color w:val="auto"/>
        </w:rPr>
        <w:t>Second Anniversary Date</w:t>
      </w:r>
      <w:r>
        <w:rPr>
          <w:rFonts w:ascii="Arial" w:cs="Arial" w:eastAsia="Arial" w:hAnsi="Arial"/>
          <w:sz w:val="17"/>
          <w:szCs w:val="17"/>
          <w:color w:val="auto"/>
        </w:rPr>
        <w:t>”) of the relevant Ship’s Advance, $300,000;</w:t>
      </w:r>
    </w:p>
    <w:p>
      <w:pPr>
        <w:spacing w:after="0" w:line="51" w:lineRule="exact"/>
        <w:rPr>
          <w:rFonts w:ascii="Arial" w:cs="Arial" w:eastAsia="Arial" w:hAnsi="Arial"/>
          <w:sz w:val="17"/>
          <w:szCs w:val="17"/>
          <w:color w:val="auto"/>
        </w:rPr>
      </w:pPr>
    </w:p>
    <w:p>
      <w:pPr>
        <w:ind w:left="1700" w:right="160" w:hanging="787"/>
        <w:spacing w:after="0" w:line="277" w:lineRule="auto"/>
        <w:tabs>
          <w:tab w:leader="none" w:pos="17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from the Second Anniversary Date until the date falling one day prior to the date falling on the fourth anniversary of the Drawdown Date of the relevant Ship’s Advance (the “</w:t>
      </w:r>
      <w:r>
        <w:rPr>
          <w:rFonts w:ascii="Arial" w:cs="Arial" w:eastAsia="Arial" w:hAnsi="Arial"/>
          <w:sz w:val="18"/>
          <w:szCs w:val="18"/>
          <w:b w:val="1"/>
          <w:bCs w:val="1"/>
          <w:color w:val="auto"/>
        </w:rPr>
        <w:t>Fourth Anniversary Date</w:t>
      </w:r>
      <w:r>
        <w:rPr>
          <w:rFonts w:ascii="Arial" w:cs="Arial" w:eastAsia="Arial" w:hAnsi="Arial"/>
          <w:sz w:val="18"/>
          <w:szCs w:val="18"/>
          <w:color w:val="auto"/>
        </w:rPr>
        <w:t>”), $500,000;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after the Fourth Anniversary and until the end of the Security Period, $700,000.</w:t>
      </w:r>
    </w:p>
    <w:p>
      <w:pPr>
        <w:spacing w:after="0" w:line="370" w:lineRule="exact"/>
        <w:rPr>
          <w:sz w:val="20"/>
          <w:szCs w:val="20"/>
          <w:color w:val="auto"/>
        </w:rPr>
      </w:pPr>
    </w:p>
    <w:p>
      <w:pPr>
        <w:ind w:left="920" w:hanging="912"/>
        <w:spacing w:after="0"/>
        <w:tabs>
          <w:tab w:leader="none" w:pos="92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380"/>
        <w:spacing w:after="0" w:line="264" w:lineRule="auto"/>
        <w:rPr>
          <w:sz w:val="20"/>
          <w:szCs w:val="20"/>
          <w:color w:val="auto"/>
        </w:rPr>
      </w:pPr>
      <w:r>
        <w:rPr>
          <w:rFonts w:ascii="Arial" w:cs="Arial" w:eastAsia="Arial" w:hAnsi="Arial"/>
          <w:sz w:val="18"/>
          <w:szCs w:val="18"/>
          <w:color w:val="auto"/>
        </w:rPr>
        <w:t>Each Borrower also undertakes with each Creditor Party to comply with the following provisions of this Clause 12 at all times during the Security Period except as the Facility Agent may, with the authorisation of the Majority Lenders, otherwise permit or as otherwise provided below.</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Maintenance of status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Borrower will maintain its separate existence as a company and remain in good standing under the laws of the Marshall Islands.</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Negative Undertakings</w:t>
      </w:r>
    </w:p>
    <w:p>
      <w:pPr>
        <w:spacing w:after="0" w:line="135" w:lineRule="exact"/>
        <w:rPr>
          <w:sz w:val="20"/>
          <w:szCs w:val="20"/>
          <w:color w:val="auto"/>
        </w:rPr>
      </w:pPr>
    </w:p>
    <w:p>
      <w:pPr>
        <w:ind w:left="920" w:hanging="912"/>
        <w:spacing w:after="0"/>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Borrower will:</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carry on any business other than the ownership, chartering and operation of its Ship; 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effect any form of redemption, purchase or return of share capital; 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pay any dividend or make any other form of distribution or:</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unless at the relevant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236" w:name="page237"/>
    <w:bookmarkEnd w:id="236"/>
    <w:p>
      <w:pPr>
        <w:ind w:left="3200" w:hanging="802"/>
        <w:spacing w:after="0"/>
        <w:tabs>
          <w:tab w:leader="none" w:pos="3200" w:val="left"/>
        </w:tabs>
        <w:numPr>
          <w:ilvl w:val="2"/>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in compliance with Clause 11.21; and</w:t>
      </w:r>
    </w:p>
    <w:p>
      <w:pPr>
        <w:spacing w:after="0" w:line="130" w:lineRule="exact"/>
        <w:rPr>
          <w:rFonts w:ascii="Arial" w:cs="Arial" w:eastAsia="Arial" w:hAnsi="Arial"/>
          <w:sz w:val="18"/>
          <w:szCs w:val="18"/>
          <w:color w:val="auto"/>
        </w:rPr>
      </w:pPr>
    </w:p>
    <w:p>
      <w:pPr>
        <w:ind w:left="3200" w:right="180" w:hanging="802"/>
        <w:spacing w:after="0" w:line="308" w:lineRule="auto"/>
        <w:tabs>
          <w:tab w:leader="none" w:pos="3200" w:val="left"/>
        </w:tabs>
        <w:numPr>
          <w:ilvl w:val="2"/>
          <w:numId w:val="307"/>
        </w:numPr>
        <w:rPr>
          <w:rFonts w:ascii="Arial" w:cs="Arial" w:eastAsia="Arial" w:hAnsi="Arial"/>
          <w:sz w:val="17"/>
          <w:szCs w:val="17"/>
          <w:color w:val="auto"/>
        </w:rPr>
      </w:pPr>
      <w:r>
        <w:rPr>
          <w:rFonts w:ascii="Arial" w:cs="Arial" w:eastAsia="Arial" w:hAnsi="Arial"/>
          <w:sz w:val="17"/>
          <w:szCs w:val="17"/>
          <w:color w:val="auto"/>
        </w:rPr>
        <w:t>the applicable Security Cover Ratio which is required to be maintained under Clause 15.1 is maintained other than as a result of a reduction of such Security Cover Ratio being agreed between the Parties; or</w:t>
      </w:r>
    </w:p>
    <w:p>
      <w:pPr>
        <w:spacing w:after="0" w:line="51" w:lineRule="exact"/>
        <w:rPr>
          <w:rFonts w:ascii="Arial" w:cs="Arial" w:eastAsia="Arial" w:hAnsi="Arial"/>
          <w:sz w:val="17"/>
          <w:szCs w:val="17"/>
          <w:color w:val="auto"/>
        </w:rPr>
      </w:pPr>
    </w:p>
    <w:p>
      <w:pPr>
        <w:ind w:left="2380" w:hanging="670"/>
        <w:spacing w:after="0"/>
        <w:tabs>
          <w:tab w:leader="none" w:pos="238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or would result from such payment or distribution; 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any Borrower’s share or loan capital; or</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company in or with which such a person is directly or indirectly interested or connected,</w:t>
      </w:r>
    </w:p>
    <w:p>
      <w:pPr>
        <w:spacing w:after="0" w:line="117" w:lineRule="exact"/>
        <w:rPr>
          <w:sz w:val="20"/>
          <w:szCs w:val="20"/>
          <w:color w:val="auto"/>
        </w:rPr>
      </w:pPr>
    </w:p>
    <w:p>
      <w:pPr>
        <w:ind w:left="1720" w:right="320"/>
        <w:spacing w:after="0" w:line="277" w:lineRule="auto"/>
        <w:rPr>
          <w:sz w:val="20"/>
          <w:szCs w:val="20"/>
          <w:color w:val="auto"/>
        </w:rPr>
      </w:pPr>
      <w:r>
        <w:rPr>
          <w:rFonts w:ascii="Arial" w:cs="Arial" w:eastAsia="Arial" w:hAnsi="Arial"/>
          <w:sz w:val="18"/>
          <w:szCs w:val="18"/>
          <w:color w:val="auto"/>
        </w:rPr>
        <w:t>enter into any transaction with or involving such a person or company on terms which are, in any respect, less favourable to any Borrower than those which it could obtain in a bargain made at arms’ length;</w:t>
      </w:r>
    </w:p>
    <w:p>
      <w:pPr>
        <w:spacing w:after="0" w:line="76" w:lineRule="exact"/>
        <w:rPr>
          <w:sz w:val="20"/>
          <w:szCs w:val="20"/>
          <w:color w:val="auto"/>
        </w:rPr>
      </w:pPr>
    </w:p>
    <w:p>
      <w:pPr>
        <w:ind w:left="1700" w:right="40" w:hanging="787"/>
        <w:spacing w:after="0" w:line="277" w:lineRule="auto"/>
        <w:tabs>
          <w:tab w:leader="none" w:pos="1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open or maintain any account with any bank or financial institution except accounts with the Creditor Parties for the purposes of the Finance Documents including, without limitation, its Operating Account;</w:t>
      </w:r>
    </w:p>
    <w:p>
      <w:pPr>
        <w:spacing w:after="0" w:line="75" w:lineRule="exact"/>
        <w:rPr>
          <w:rFonts w:ascii="Arial" w:cs="Arial" w:eastAsia="Arial" w:hAnsi="Arial"/>
          <w:sz w:val="18"/>
          <w:szCs w:val="18"/>
          <w:color w:val="auto"/>
        </w:rPr>
      </w:pPr>
    </w:p>
    <w:p>
      <w:pPr>
        <w:ind w:left="1700" w:right="200" w:hanging="787"/>
        <w:spacing w:after="0" w:line="277" w:lineRule="auto"/>
        <w:tabs>
          <w:tab w:leader="none" w:pos="1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issue, allot or grant any person a right to any shares in its capital or repurchase or reduce its issued share capital except to existing beneficial owners as already disclosed to the Majority Lenders;</w:t>
      </w:r>
    </w:p>
    <w:p>
      <w:pPr>
        <w:spacing w:after="0" w:line="75" w:lineRule="exact"/>
        <w:rPr>
          <w:rFonts w:ascii="Arial" w:cs="Arial" w:eastAsia="Arial" w:hAnsi="Arial"/>
          <w:sz w:val="18"/>
          <w:szCs w:val="18"/>
          <w:color w:val="auto"/>
        </w:rPr>
      </w:pPr>
    </w:p>
    <w:p>
      <w:pPr>
        <w:ind w:left="1700" w:hanging="787"/>
        <w:spacing w:after="0" w:line="264" w:lineRule="auto"/>
        <w:tabs>
          <w:tab w:leader="none" w:pos="1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acquire any shares or other securities other than US or UK Treasury bills and certificates of deposit issued by major North American or European banks, or enter into any transaction in a derivative excluding Designated Transactions and any transactions made with any other Lender pursuant to Clause 2.5;</w:t>
      </w:r>
    </w:p>
    <w:p>
      <w:pPr>
        <w:spacing w:after="0" w:line="86" w:lineRule="exact"/>
        <w:rPr>
          <w:rFonts w:ascii="Arial" w:cs="Arial" w:eastAsia="Arial" w:hAnsi="Arial"/>
          <w:sz w:val="18"/>
          <w:szCs w:val="18"/>
          <w:color w:val="auto"/>
        </w:rPr>
      </w:pPr>
    </w:p>
    <w:p>
      <w:pPr>
        <w:ind w:left="1700" w:hanging="787"/>
        <w:spacing w:after="0"/>
        <w:tabs>
          <w:tab w:leader="none" w:pos="1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enter into any form of amalgamation, merger or de-merger or any form of reconstruction or reorganisation; 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acquire any vessel other than its Ship.</w:t>
      </w:r>
    </w:p>
    <w:p>
      <w:pPr>
        <w:spacing w:after="0" w:line="370" w:lineRule="exact"/>
        <w:rPr>
          <w:sz w:val="20"/>
          <w:szCs w:val="20"/>
          <w:color w:val="auto"/>
        </w:rPr>
      </w:pPr>
    </w:p>
    <w:p>
      <w:pPr>
        <w:ind w:left="920" w:hanging="912"/>
        <w:spacing w:after="0"/>
        <w:tabs>
          <w:tab w:leader="none" w:pos="92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Each Borrower undertakes with each Creditor Party to comply with the following provisions of this Clause 13 at all times during the Security Period (as from the Delivery Date of the Ship owned by that Borrower and at all times thereafter) except as the Facility Agent may, with the authorisation of the Majority Lenders, otherwise permit.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Maintenance of obligatory insurances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keep the Ship owned by it insured at the expense of that Borrower against:</w:t>
      </w:r>
    </w:p>
    <w:p>
      <w:pPr>
        <w:spacing w:after="0" w:line="131" w:lineRule="exact"/>
        <w:rPr>
          <w:sz w:val="20"/>
          <w:szCs w:val="20"/>
          <w:color w:val="auto"/>
        </w:rPr>
      </w:pPr>
    </w:p>
    <w:p>
      <w:pPr>
        <w:ind w:left="920" w:hanging="912"/>
        <w:spacing w:after="0"/>
        <w:tabs>
          <w:tab w:leader="none" w:pos="9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fire and usual marine risks (including hull and machinery and excess risks); and</w:t>
      </w:r>
    </w:p>
    <w:p>
      <w:pPr>
        <w:spacing w:after="0" w:line="130" w:lineRule="exact"/>
        <w:rPr>
          <w:rFonts w:ascii="Arial" w:cs="Arial" w:eastAsia="Arial" w:hAnsi="Arial"/>
          <w:sz w:val="18"/>
          <w:szCs w:val="18"/>
          <w:color w:val="auto"/>
        </w:rPr>
      </w:pPr>
    </w:p>
    <w:p>
      <w:pPr>
        <w:ind w:left="5620" w:right="3020" w:hanging="5612"/>
        <w:spacing w:after="0" w:line="449" w:lineRule="auto"/>
        <w:tabs>
          <w:tab w:leader="none" w:pos="90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war risks (including protection and indemnity war risks with a separate limit not less than hull value); 47</w:t>
      </w:r>
    </w:p>
    <w:p>
      <w:pPr>
        <w:sectPr>
          <w:pgSz w:w="11900" w:h="16838" w:orient="portrait"/>
          <w:cols w:equalWidth="0" w:num="1">
            <w:col w:w="11260"/>
          </w:cols>
          <w:pgMar w:left="240" w:top="274" w:right="399" w:bottom="1440" w:gutter="0" w:footer="0" w:header="0"/>
        </w:sectPr>
      </w:pPr>
    </w:p>
    <w:bookmarkStart w:id="237" w:name="page238"/>
    <w:bookmarkEnd w:id="237"/>
    <w:p>
      <w:pPr>
        <w:ind w:left="920" w:right="200" w:hanging="912"/>
        <w:spacing w:after="0" w:line="277" w:lineRule="auto"/>
        <w:tabs>
          <w:tab w:leader="none" w:pos="9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protection and indemnity risks (including, without limitation, pollution risks and protection and indemnity war risks in excess of the amount of war risks (hull) each in the highest amount available in the international insurance market); and</w:t>
      </w:r>
    </w:p>
    <w:p>
      <w:pPr>
        <w:spacing w:after="0" w:line="75" w:lineRule="exact"/>
        <w:rPr>
          <w:rFonts w:ascii="Arial" w:cs="Arial" w:eastAsia="Arial" w:hAnsi="Arial"/>
          <w:sz w:val="18"/>
          <w:szCs w:val="18"/>
          <w:color w:val="auto"/>
        </w:rPr>
      </w:pPr>
    </w:p>
    <w:p>
      <w:pPr>
        <w:ind w:left="920" w:right="100" w:hanging="912"/>
        <w:spacing w:after="0" w:line="308" w:lineRule="auto"/>
        <w:tabs>
          <w:tab w:leader="none" w:pos="92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any other risks against which the Facility Agent acting on the instructions of the Majority Lenders, having regard to practices, recommendations and other circumstances prevailing at the relevant time may from time to time require by notice to that Borrower.</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Terms of obligatory insurances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effect such insurances:</w:t>
      </w:r>
    </w:p>
    <w:p>
      <w:pPr>
        <w:spacing w:after="0" w:line="131" w:lineRule="exact"/>
        <w:rPr>
          <w:sz w:val="20"/>
          <w:szCs w:val="20"/>
          <w:color w:val="auto"/>
        </w:rPr>
      </w:pPr>
    </w:p>
    <w:p>
      <w:pPr>
        <w:ind w:left="920" w:hanging="912"/>
        <w:spacing w:after="0"/>
        <w:tabs>
          <w:tab w:leader="none" w:pos="9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Dollars;</w:t>
      </w:r>
    </w:p>
    <w:p>
      <w:pPr>
        <w:spacing w:after="0" w:line="130" w:lineRule="exact"/>
        <w:rPr>
          <w:rFonts w:ascii="Arial" w:cs="Arial" w:eastAsia="Arial" w:hAnsi="Arial"/>
          <w:sz w:val="18"/>
          <w:szCs w:val="18"/>
          <w:color w:val="auto"/>
        </w:rPr>
      </w:pPr>
    </w:p>
    <w:p>
      <w:pPr>
        <w:ind w:left="920" w:hanging="912"/>
        <w:spacing w:after="0" w:line="302" w:lineRule="auto"/>
        <w:tabs>
          <w:tab w:leader="none" w:pos="92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 the case of fire and usual marine risks and war risks (including, blocking and trapping), on an agreed value basis in approved amounts but not in any event and at any time less than (i) the higher of (i) the amount which when aggregated with the insured amounts for the other Ship which is then subject to a Mortgage is equal to 120 per cent. of the aggregate of (a) Loan and (b) the Swap Exposure as determined on the date on which such insurances are effected or renewed, as the case may be and (ii) the Market Value of the Ship owned by that Borrower;</w:t>
      </w:r>
    </w:p>
    <w:p>
      <w:pPr>
        <w:spacing w:after="0" w:line="59" w:lineRule="exact"/>
        <w:rPr>
          <w:rFonts w:ascii="Arial" w:cs="Arial" w:eastAsia="Arial" w:hAnsi="Arial"/>
          <w:sz w:val="16"/>
          <w:szCs w:val="16"/>
          <w:color w:val="auto"/>
        </w:rPr>
      </w:pPr>
    </w:p>
    <w:p>
      <w:pPr>
        <w:jc w:val="both"/>
        <w:ind w:left="920" w:right="400" w:hanging="912"/>
        <w:spacing w:after="0" w:line="264" w:lineRule="auto"/>
        <w:tabs>
          <w:tab w:leader="none" w:pos="9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case of oil pollution liability risks, for an aggregate amount equal to the highest level of cover from time to time available under basic protection and indemnity club entry (with the international group of protection and indemnity clubs) and the international marine insurance market (currently $1,000,000,000);</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relation to protection and indemnity risks in respect of the full value and tonnage of the Ship owned by that Borrower;</w:t>
      </w:r>
    </w:p>
    <w:p>
      <w:pPr>
        <w:spacing w:after="0" w:line="130" w:lineRule="exact"/>
        <w:rPr>
          <w:rFonts w:ascii="Arial" w:cs="Arial" w:eastAsia="Arial" w:hAnsi="Arial"/>
          <w:sz w:val="18"/>
          <w:szCs w:val="18"/>
          <w:color w:val="auto"/>
        </w:rPr>
      </w:pPr>
    </w:p>
    <w:p>
      <w:pPr>
        <w:ind w:left="920" w:right="180" w:hanging="912"/>
        <w:spacing w:after="0" w:line="277" w:lineRule="auto"/>
        <w:tabs>
          <w:tab w:leader="none" w:pos="9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relation to war risks insurance, extended to cover piracy and terrorism where piracy or, as the case may be, terrorism, are excluded under the fire and usual marine risks insurance;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on approved terms; and</w:t>
      </w:r>
    </w:p>
    <w:p>
      <w:pPr>
        <w:spacing w:after="0" w:line="130" w:lineRule="exact"/>
        <w:rPr>
          <w:rFonts w:ascii="Arial" w:cs="Arial" w:eastAsia="Arial" w:hAnsi="Arial"/>
          <w:sz w:val="18"/>
          <w:szCs w:val="18"/>
          <w:color w:val="auto"/>
        </w:rPr>
      </w:pPr>
    </w:p>
    <w:p>
      <w:pPr>
        <w:ind w:left="920" w:right="140" w:hanging="912"/>
        <w:spacing w:after="0" w:line="259" w:lineRule="auto"/>
        <w:tabs>
          <w:tab w:leader="none" w:pos="9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through approved brokers and with approved insurance companies and/or underwriters or, in the case of war risks and protection and indemnity risks, in approved war risks and protection and indemnity risks associations which are members of the International Group of Protection and Indemnity Associations, and have a Standard &amp; Poor’s rating of at least BBB or a comparable rating by any other rating agency reasonably acceptable to the Facility Agent (acting with the authorisation of the Majority Lenders).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Further protections for the Creditor Parties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to the terms set out in Clause 13.3, each Borrower shall procure that:</w:t>
      </w:r>
    </w:p>
    <w:p>
      <w:pPr>
        <w:spacing w:after="0" w:line="131" w:lineRule="exact"/>
        <w:rPr>
          <w:sz w:val="20"/>
          <w:szCs w:val="20"/>
          <w:color w:val="auto"/>
        </w:rPr>
      </w:pPr>
    </w:p>
    <w:p>
      <w:pPr>
        <w:ind w:left="920" w:right="480" w:hanging="912"/>
        <w:spacing w:after="0" w:line="277" w:lineRule="auto"/>
        <w:tabs>
          <w:tab w:leader="none" w:pos="9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it and any and all third parties who are named assured or co-assured under any obligatory insurance shall assign their interest in any and all obligatory insurances and other Insurances if so required by the Facility Agent;</w:t>
      </w:r>
    </w:p>
    <w:p>
      <w:pPr>
        <w:spacing w:after="0" w:line="75" w:lineRule="exact"/>
        <w:rPr>
          <w:rFonts w:ascii="Arial" w:cs="Arial" w:eastAsia="Arial" w:hAnsi="Arial"/>
          <w:sz w:val="18"/>
          <w:szCs w:val="18"/>
          <w:color w:val="auto"/>
        </w:rPr>
      </w:pPr>
    </w:p>
    <w:p>
      <w:pPr>
        <w:ind w:left="920" w:hanging="912"/>
        <w:spacing w:after="0" w:line="259" w:lineRule="auto"/>
        <w:tabs>
          <w:tab w:leader="none" w:pos="9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whenever the Security Trustee requires, the obligatory insurances name (or be amended to name) the Security Trustee as additional named assured for its rights and interests, warranted no operational interest and with full waiver of rights of subrogation against the Security Trustee, but without the Security Trustee thereby being liable to pay (but having the right to pay) premiums, calls or other assessments in respect of such insurances;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238" w:name="page239"/>
    <w:bookmarkEnd w:id="238"/>
    <w:p>
      <w:pPr>
        <w:ind w:left="920" w:right="160" w:hanging="912"/>
        <w:spacing w:after="0" w:line="277" w:lineRule="auto"/>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interest of the Security Trustee as assignee and as loss payee shall be duly endorsed on all slips, cover notes, policies, certificates of entry or other instruments of insurance in respect of the obligatory insurances;</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obligatory insurances shall name the Security Trustee as sole loss payee with such directions for payment as the Security Trustee may specify;</w:t>
      </w:r>
    </w:p>
    <w:p>
      <w:pPr>
        <w:spacing w:after="0" w:line="153" w:lineRule="exact"/>
        <w:rPr>
          <w:rFonts w:ascii="Arial" w:cs="Arial" w:eastAsia="Arial" w:hAnsi="Arial"/>
          <w:sz w:val="16"/>
          <w:szCs w:val="16"/>
          <w:color w:val="auto"/>
        </w:rPr>
      </w:pPr>
    </w:p>
    <w:p>
      <w:pPr>
        <w:ind w:left="920" w:right="240" w:hanging="912"/>
        <w:spacing w:after="0" w:line="277" w:lineRule="auto"/>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obligatory insurances shall provide that all payments by or on behalf of the insurers under the obligatory insurances to the Security Trustee shall be made without set-off, counterclaim or deductions or condition whatsoever;</w:t>
      </w:r>
    </w:p>
    <w:p>
      <w:pPr>
        <w:spacing w:after="0" w:line="75" w:lineRule="exact"/>
        <w:rPr>
          <w:rFonts w:ascii="Arial" w:cs="Arial" w:eastAsia="Arial" w:hAnsi="Arial"/>
          <w:sz w:val="18"/>
          <w:szCs w:val="18"/>
          <w:color w:val="auto"/>
        </w:rPr>
      </w:pPr>
    </w:p>
    <w:p>
      <w:pPr>
        <w:ind w:left="920" w:right="20" w:hanging="912"/>
        <w:spacing w:after="0" w:line="255" w:lineRule="auto"/>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obligatory insurances shall provide that the insurers shall waive, to the fullest extent permitted by English law, their entitlement (if any) (whether by statute, common law, equity, or otherwise) to be subrogated to the rights and remedies of the Security Trustee in respect of any rights or interests (secured or not) held by or available to the Security Trustee in respect of the Secured Liabilities, until the Secured Liabilities shall have been fully repaid and discharged, except that the insurers shall not be restricted by the terms of this paragraph (f) from making personal claims against persons (other than the Borrowers or any other Creditor Party) in circumstances where the insurers have fully discharged their liabilities and obligations under the relevant obligatory insurances;</w:t>
      </w:r>
    </w:p>
    <w:p>
      <w:pPr>
        <w:spacing w:after="0" w:line="98" w:lineRule="exact"/>
        <w:rPr>
          <w:rFonts w:ascii="Arial" w:cs="Arial" w:eastAsia="Arial" w:hAnsi="Arial"/>
          <w:sz w:val="18"/>
          <w:szCs w:val="18"/>
          <w:color w:val="auto"/>
        </w:rPr>
      </w:pPr>
    </w:p>
    <w:p>
      <w:pPr>
        <w:ind w:left="920" w:right="20" w:hanging="912"/>
        <w:spacing w:after="0" w:line="277" w:lineRule="auto"/>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obligatory insurances shall provide that such obligatory insurances shall be primary without right of contribution from other insurances which may be carried by the Security Trustee;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obligatory insurances shall provide that the Security Trustee may make proof of loss if that Borrower fails to do so; and</w:t>
      </w:r>
    </w:p>
    <w:p>
      <w:pPr>
        <w:spacing w:after="0" w:line="130" w:lineRule="exact"/>
        <w:rPr>
          <w:rFonts w:ascii="Arial" w:cs="Arial" w:eastAsia="Arial" w:hAnsi="Arial"/>
          <w:sz w:val="18"/>
          <w:szCs w:val="18"/>
          <w:color w:val="auto"/>
        </w:rPr>
      </w:pPr>
    </w:p>
    <w:p>
      <w:pPr>
        <w:ind w:left="920" w:right="40" w:hanging="912"/>
        <w:spacing w:after="0" w:line="279" w:lineRule="auto"/>
        <w:tabs>
          <w:tab w:leader="none" w:pos="9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obligatory insurances shall provide that if any obligatory insurance is cancelled, or if any substantial change is made in the coverage which adversely affects the interest of the Security Trustee, or if any obligatory insurance is allowed to lapse for non-payment of premium, such cancellation, charge or lapse shall not be effective with respect to the Security Trustee for 30 days (or 7 days in the case of war risks) after receipt by the Security Trustee of prior written notice from the insurers of such cancellation, change or lapse.</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color w:val="auto"/>
        </w:rPr>
        <w:t>Renewal of obligatory insurances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w:t>
      </w:r>
    </w:p>
    <w:p>
      <w:pPr>
        <w:spacing w:after="0" w:line="131" w:lineRule="exact"/>
        <w:rPr>
          <w:sz w:val="20"/>
          <w:szCs w:val="20"/>
          <w:color w:val="auto"/>
        </w:rPr>
      </w:pPr>
    </w:p>
    <w:p>
      <w:pPr>
        <w:ind w:left="920" w:hanging="912"/>
        <w:spacing w:after="0"/>
        <w:tabs>
          <w:tab w:leader="none" w:pos="9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at least 21 days before the expiry of any obligatory insurance:</w:t>
      </w:r>
    </w:p>
    <w:p>
      <w:pPr>
        <w:spacing w:after="0" w:line="130" w:lineRule="exact"/>
        <w:rPr>
          <w:rFonts w:ascii="Arial" w:cs="Arial" w:eastAsia="Arial" w:hAnsi="Arial"/>
          <w:sz w:val="18"/>
          <w:szCs w:val="18"/>
          <w:color w:val="auto"/>
        </w:rPr>
      </w:pPr>
    </w:p>
    <w:p>
      <w:pPr>
        <w:ind w:left="1700" w:right="720" w:hanging="787"/>
        <w:spacing w:after="0" w:line="342" w:lineRule="auto"/>
        <w:tabs>
          <w:tab w:leader="none" w:pos="170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notify the Security Trustee of the brokers, underwriters, insurance companies and any protection and indemnity or war risks association through or with whom that Borrower proposes to renew that insurance and of the proposed terms of renewal; and</w:t>
      </w:r>
    </w:p>
    <w:p>
      <w:pPr>
        <w:spacing w:after="0" w:line="29" w:lineRule="exact"/>
        <w:rPr>
          <w:rFonts w:ascii="Arial" w:cs="Arial" w:eastAsia="Arial" w:hAnsi="Arial"/>
          <w:sz w:val="16"/>
          <w:szCs w:val="16"/>
          <w:color w:val="auto"/>
        </w:rPr>
      </w:pPr>
    </w:p>
    <w:p>
      <w:pPr>
        <w:ind w:left="1700" w:hanging="787"/>
        <w:spacing w:after="0"/>
        <w:tabs>
          <w:tab w:leader="none" w:pos="170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in case of any substantial change in insurance cover, obtain the Majority Lenders’ approval to the matters referred to in paragraph</w:t>
      </w:r>
    </w:p>
    <w:p>
      <w:pPr>
        <w:spacing w:after="0" w:line="46" w:lineRule="exact"/>
        <w:rPr>
          <w:rFonts w:ascii="Arial" w:cs="Arial" w:eastAsia="Arial" w:hAnsi="Arial"/>
          <w:sz w:val="16"/>
          <w:szCs w:val="16"/>
          <w:color w:val="auto"/>
        </w:rPr>
      </w:pPr>
    </w:p>
    <w:p>
      <w:pPr>
        <w:ind w:left="1700"/>
        <w:spacing w:after="0"/>
        <w:rPr>
          <w:rFonts w:ascii="Arial" w:cs="Arial" w:eastAsia="Arial" w:hAnsi="Arial"/>
          <w:sz w:val="16"/>
          <w:szCs w:val="16"/>
          <w:color w:val="auto"/>
        </w:rPr>
      </w:pPr>
      <w:r>
        <w:rPr>
          <w:rFonts w:ascii="Arial" w:cs="Arial" w:eastAsia="Arial" w:hAnsi="Arial"/>
          <w:sz w:val="18"/>
          <w:szCs w:val="18"/>
          <w:color w:val="auto"/>
        </w:rPr>
        <w:t>(i) above;</w:t>
      </w:r>
    </w:p>
    <w:p>
      <w:pPr>
        <w:spacing w:after="0" w:line="116" w:lineRule="exact"/>
        <w:rPr>
          <w:rFonts w:ascii="Arial" w:cs="Arial" w:eastAsia="Arial" w:hAnsi="Arial"/>
          <w:sz w:val="16"/>
          <w:szCs w:val="16"/>
          <w:color w:val="auto"/>
        </w:rPr>
      </w:pPr>
    </w:p>
    <w:p>
      <w:pPr>
        <w:ind w:left="920" w:right="40" w:hanging="912"/>
        <w:spacing w:after="0" w:line="277" w:lineRule="auto"/>
        <w:tabs>
          <w:tab w:leader="none" w:pos="9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at least 14 days before the expiry of any obligatory insurance, renew that obligatory insurance in accordance with the Majority Lenders’ approval pursuant to paragraph (a); and</w:t>
      </w:r>
    </w:p>
    <w:p>
      <w:pPr>
        <w:spacing w:after="0" w:line="75" w:lineRule="exact"/>
        <w:rPr>
          <w:rFonts w:ascii="Arial" w:cs="Arial" w:eastAsia="Arial" w:hAnsi="Arial"/>
          <w:sz w:val="18"/>
          <w:szCs w:val="18"/>
          <w:color w:val="auto"/>
        </w:rPr>
      </w:pPr>
    </w:p>
    <w:p>
      <w:pPr>
        <w:ind w:left="920" w:right="400" w:hanging="912"/>
        <w:spacing w:after="0" w:line="277" w:lineRule="auto"/>
        <w:tabs>
          <w:tab w:leader="none" w:pos="9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procure that the approved brokers and/or the war risks and protection and indemnity associations with which such a renewal is effected shall promptly after the renewal notify the Security Trustee in writing of the terms and conditions of the renewal.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239" w:name="page240"/>
    <w:bookmarkEnd w:id="23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13.6</w:t>
      </w:r>
      <w:r>
        <w:rPr>
          <w:sz w:val="20"/>
          <w:szCs w:val="20"/>
          <w:color w:val="auto"/>
        </w:rPr>
        <w:tab/>
      </w:r>
      <w:r>
        <w:rPr>
          <w:rFonts w:ascii="Arial" w:cs="Arial" w:eastAsia="Arial" w:hAnsi="Arial"/>
          <w:sz w:val="15"/>
          <w:szCs w:val="15"/>
          <w:b w:val="1"/>
          <w:bCs w:val="1"/>
          <w:color w:val="auto"/>
        </w:rPr>
        <w:t>Copies of policies; letters of undertaking</w:t>
      </w:r>
    </w:p>
    <w:p>
      <w:pPr>
        <w:spacing w:after="0" w:line="121"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Each Borrower shall ensure that all approved brokers provide the Security Trustee with copies of all policies relating to the obligatory insurances which they effect or renew and of a letter or letters of undertaking in a form required by the Majority Lenders and including undertakings by the approved brokers that:</w:t>
      </w:r>
    </w:p>
    <w:p>
      <w:pPr>
        <w:spacing w:after="0" w:line="87" w:lineRule="exact"/>
        <w:rPr>
          <w:sz w:val="20"/>
          <w:szCs w:val="20"/>
          <w:color w:val="auto"/>
        </w:rPr>
      </w:pPr>
    </w:p>
    <w:p>
      <w:pPr>
        <w:ind w:left="920" w:right="80" w:hanging="912"/>
        <w:spacing w:after="0" w:line="277" w:lineRule="auto"/>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they will have endorsed on each policy, immediately upon issue, a loss payable clause and a notice of assignment complying with the provisions of Clause 13.4;</w:t>
      </w:r>
    </w:p>
    <w:p>
      <w:pPr>
        <w:spacing w:after="0" w:line="75" w:lineRule="exact"/>
        <w:rPr>
          <w:rFonts w:ascii="Arial" w:cs="Arial" w:eastAsia="Arial" w:hAnsi="Arial"/>
          <w:sz w:val="18"/>
          <w:szCs w:val="18"/>
          <w:color w:val="auto"/>
        </w:rPr>
      </w:pPr>
    </w:p>
    <w:p>
      <w:pPr>
        <w:ind w:left="920" w:right="420" w:hanging="912"/>
        <w:spacing w:after="0" w:line="277" w:lineRule="auto"/>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they will hold such policies, and the benefit of such insurances, to the order of the Security Trustee in accordance with the said loss payable clause;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they will advise the Security Trustee immediately of any material change to the terms of the obligatory insurances;</w:t>
      </w:r>
    </w:p>
    <w:p>
      <w:pPr>
        <w:spacing w:after="0" w:line="130" w:lineRule="exact"/>
        <w:rPr>
          <w:rFonts w:ascii="Arial" w:cs="Arial" w:eastAsia="Arial" w:hAnsi="Arial"/>
          <w:sz w:val="18"/>
          <w:szCs w:val="18"/>
          <w:color w:val="auto"/>
        </w:rPr>
      </w:pPr>
    </w:p>
    <w:p>
      <w:pPr>
        <w:jc w:val="both"/>
        <w:ind w:left="920" w:hanging="912"/>
        <w:spacing w:after="0" w:line="264" w:lineRule="auto"/>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they will notify the Security Trustee, not less than 14 days before the expiry of the obligatory insurances, in the event of their not having received notice of renewal instructions from that Borrower or its agents and, in the event of their receiving instructions to renew, they will promptly notify the Security Trustee of the terms of the instructions; and</w:t>
      </w:r>
    </w:p>
    <w:p>
      <w:pPr>
        <w:spacing w:after="0" w:line="86" w:lineRule="exact"/>
        <w:rPr>
          <w:rFonts w:ascii="Arial" w:cs="Arial" w:eastAsia="Arial" w:hAnsi="Arial"/>
          <w:sz w:val="18"/>
          <w:szCs w:val="18"/>
          <w:color w:val="auto"/>
        </w:rPr>
      </w:pPr>
    </w:p>
    <w:p>
      <w:pPr>
        <w:ind w:left="920" w:right="120" w:hanging="912"/>
        <w:spacing w:after="0" w:line="276" w:lineRule="auto"/>
        <w:tabs>
          <w:tab w:leader="none" w:pos="9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that Ship forthwith upon being so requested by the Security Trustee.</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Copies of certificates of entry</w:t>
      </w:r>
    </w:p>
    <w:p>
      <w:pPr>
        <w:spacing w:after="0" w:line="12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Each Borrower shall ensure that any protection and indemnity and/or war risks associations in which the Ship owned by that Borrower is entered provides the Security Trustee with:</w:t>
      </w:r>
    </w:p>
    <w:p>
      <w:pPr>
        <w:spacing w:after="0" w:line="76" w:lineRule="exact"/>
        <w:rPr>
          <w:sz w:val="20"/>
          <w:szCs w:val="20"/>
          <w:color w:val="auto"/>
        </w:rPr>
      </w:pPr>
    </w:p>
    <w:p>
      <w:pPr>
        <w:ind w:left="920" w:hanging="912"/>
        <w:spacing w:after="0"/>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certified copy of the certificate of entry for that Ship;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letter or letters of undertaking in the Agreed Form; and</w:t>
      </w:r>
    </w:p>
    <w:p>
      <w:pPr>
        <w:spacing w:after="0" w:line="130" w:lineRule="exact"/>
        <w:rPr>
          <w:rFonts w:ascii="Arial" w:cs="Arial" w:eastAsia="Arial" w:hAnsi="Arial"/>
          <w:sz w:val="18"/>
          <w:szCs w:val="18"/>
          <w:color w:val="auto"/>
        </w:rPr>
      </w:pPr>
    </w:p>
    <w:p>
      <w:pPr>
        <w:jc w:val="both"/>
        <w:ind w:left="920" w:right="20" w:hanging="912"/>
        <w:spacing w:after="0" w:line="286" w:lineRule="auto"/>
        <w:tabs>
          <w:tab w:leader="none" w:pos="9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where required to be issued under the terms of insurance/indemnity provided by that Borrower’s protection and indemnity association, a certified copy of each United States of America voyage quarterly declaration (or other similar document or documents) made by that Borrower in relation to its Ship in accordance with the requirements of such protections and indemnity association; and</w:t>
      </w:r>
    </w:p>
    <w:p>
      <w:pPr>
        <w:spacing w:after="0" w:line="70" w:lineRule="exact"/>
        <w:rPr>
          <w:rFonts w:ascii="Arial" w:cs="Arial" w:eastAsia="Arial" w:hAnsi="Arial"/>
          <w:sz w:val="17"/>
          <w:szCs w:val="17"/>
          <w:color w:val="auto"/>
        </w:rPr>
      </w:pPr>
    </w:p>
    <w:p>
      <w:pPr>
        <w:ind w:left="920" w:right="500" w:hanging="912"/>
        <w:spacing w:after="0" w:line="277" w:lineRule="auto"/>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certified copy of each certificate of financial responsibility for pollution by oil or other Environmentally Sensitive Material issued by the relevant certifying authority in relation to that Ship.</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5"/>
          <w:szCs w:val="15"/>
          <w:b w:val="1"/>
          <w:bCs w:val="1"/>
          <w:color w:val="auto"/>
        </w:rPr>
        <w:t>Deposit of original policies</w:t>
      </w:r>
    </w:p>
    <w:p>
      <w:pPr>
        <w:spacing w:after="0" w:line="121" w:lineRule="exact"/>
        <w:rPr>
          <w:sz w:val="20"/>
          <w:szCs w:val="20"/>
          <w:color w:val="auto"/>
        </w:rPr>
      </w:pPr>
    </w:p>
    <w:p>
      <w:pPr>
        <w:ind w:left="920" w:right="660"/>
        <w:spacing w:after="0" w:line="277" w:lineRule="auto"/>
        <w:rPr>
          <w:sz w:val="20"/>
          <w:szCs w:val="20"/>
          <w:color w:val="auto"/>
        </w:rPr>
      </w:pPr>
      <w:r>
        <w:rPr>
          <w:rFonts w:ascii="Arial" w:cs="Arial" w:eastAsia="Arial" w:hAnsi="Arial"/>
          <w:sz w:val="18"/>
          <w:szCs w:val="18"/>
          <w:color w:val="auto"/>
        </w:rPr>
        <w:t>Each Borrower shall ensure that all policies relating to obligatory insurances are deposited with the approved brokers through which the insurances are effected or renewed.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0" w:right="279" w:bottom="1440" w:gutter="0" w:footer="0" w:header="0"/>
        </w:sectPr>
      </w:pPr>
    </w:p>
    <w:bookmarkStart w:id="240" w:name="page241"/>
    <w:bookmarkEnd w:id="24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13.9</w:t>
      </w:r>
      <w:r>
        <w:rPr>
          <w:sz w:val="20"/>
          <w:szCs w:val="20"/>
          <w:color w:val="auto"/>
        </w:rPr>
        <w:tab/>
      </w:r>
      <w:r>
        <w:rPr>
          <w:rFonts w:ascii="Arial" w:cs="Arial" w:eastAsia="Arial" w:hAnsi="Arial"/>
          <w:sz w:val="16"/>
          <w:szCs w:val="16"/>
          <w:b w:val="1"/>
          <w:bCs w:val="1"/>
          <w:color w:val="auto"/>
        </w:rPr>
        <w:t>Payment of premiums</w:t>
      </w:r>
    </w:p>
    <w:p>
      <w:pPr>
        <w:spacing w:after="0" w:line="121"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Each Borrower shall punctually pay all premiums or other sums payable in respect of the obligatory insurances and produce all relevant receipts when so required by the Security Trustee.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5"/>
          <w:szCs w:val="15"/>
          <w:b w:val="1"/>
          <w:bCs w:val="1"/>
          <w:color w:val="auto"/>
        </w:rPr>
        <w:t>Guarantees</w:t>
      </w:r>
    </w:p>
    <w:p>
      <w:pPr>
        <w:spacing w:after="0" w:line="121"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Each Borrower shall ensure that any guarantees required by a protection and indemnity or war risks association are promptly issued and remain in full force and effect.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5"/>
          <w:szCs w:val="15"/>
          <w:b w:val="1"/>
          <w:bCs w:val="1"/>
          <w:color w:val="auto"/>
        </w:rPr>
        <w:t>Restrictions on employment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Borrower shall employ the Ship owned by it, nor shall permit her to be employed, outside the cover provided by any obligatory insurances.</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6"/>
          <w:szCs w:val="16"/>
          <w:b w:val="1"/>
          <w:bCs w:val="1"/>
          <w:color w:val="auto"/>
        </w:rPr>
        <w:t>Compliance with terms of insurances</w:t>
      </w:r>
    </w:p>
    <w:p>
      <w:pPr>
        <w:spacing w:after="0" w:line="121" w:lineRule="exact"/>
        <w:rPr>
          <w:sz w:val="20"/>
          <w:szCs w:val="20"/>
          <w:color w:val="auto"/>
        </w:rPr>
      </w:pPr>
    </w:p>
    <w:p>
      <w:pPr>
        <w:ind w:left="920" w:right="560"/>
        <w:spacing w:after="0" w:line="342" w:lineRule="auto"/>
        <w:rPr>
          <w:sz w:val="20"/>
          <w:szCs w:val="20"/>
          <w:color w:val="auto"/>
        </w:rPr>
      </w:pPr>
      <w:r>
        <w:rPr>
          <w:rFonts w:ascii="Arial" w:cs="Arial" w:eastAsia="Arial" w:hAnsi="Arial"/>
          <w:sz w:val="16"/>
          <w:szCs w:val="16"/>
          <w:color w:val="auto"/>
        </w:rPr>
        <w:t>No Borrower shall do or omit to do (or permits to be done or not to be done) any act or thing which would or might render any obligatory insurance invalid, void, voidable or unenforceable or render any sum payable thereunder repayable in whole or in part; and in particular:</w:t>
      </w:r>
    </w:p>
    <w:p>
      <w:pPr>
        <w:spacing w:after="0" w:line="29" w:lineRule="exact"/>
        <w:rPr>
          <w:sz w:val="20"/>
          <w:szCs w:val="20"/>
          <w:color w:val="auto"/>
        </w:rPr>
      </w:pPr>
    </w:p>
    <w:p>
      <w:pPr>
        <w:ind w:left="920" w:right="80" w:hanging="912"/>
        <w:spacing w:after="0" w:line="264"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each Borrower shall take all necessary action and comply with all requirements which may from time to time be applicable to the obligatory insurances, and (without limiting the obligation contained in Clause 13.6(c) above) ensure that the obligatory insurances are not made subject to any exclusions or qualifications to which the Security Trustee has not given its prior approval;</w:t>
      </w:r>
    </w:p>
    <w:p>
      <w:pPr>
        <w:spacing w:after="0" w:line="86" w:lineRule="exact"/>
        <w:rPr>
          <w:rFonts w:ascii="Arial" w:cs="Arial" w:eastAsia="Arial" w:hAnsi="Arial"/>
          <w:sz w:val="18"/>
          <w:szCs w:val="18"/>
          <w:color w:val="auto"/>
        </w:rPr>
      </w:pPr>
    </w:p>
    <w:p>
      <w:pPr>
        <w:ind w:left="920" w:right="600" w:hanging="912"/>
        <w:spacing w:after="0" w:line="277"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 Borrower shall make any changes relating to the classification or classification society or manager or operator of the Ship owned by it approved by the underwriters of the obligatory insurances;</w:t>
      </w:r>
    </w:p>
    <w:p>
      <w:pPr>
        <w:spacing w:after="0" w:line="75" w:lineRule="exact"/>
        <w:rPr>
          <w:rFonts w:ascii="Arial" w:cs="Arial" w:eastAsia="Arial" w:hAnsi="Arial"/>
          <w:sz w:val="18"/>
          <w:szCs w:val="18"/>
          <w:color w:val="auto"/>
        </w:rPr>
      </w:pPr>
    </w:p>
    <w:p>
      <w:pPr>
        <w:ind w:left="920" w:hanging="912"/>
        <w:spacing w:after="0" w:line="279" w:lineRule="auto"/>
        <w:tabs>
          <w:tab w:leader="none" w:pos="92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each Borrower shall make (and promptly supply copies to the Facility Agent (upon its request)) of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 if applicable, shall procure that the Approved Manager complies with this requirement; and</w:t>
      </w:r>
    </w:p>
    <w:p>
      <w:pPr>
        <w:spacing w:after="0" w:line="76" w:lineRule="exact"/>
        <w:rPr>
          <w:rFonts w:ascii="Arial" w:cs="Arial" w:eastAsia="Arial" w:hAnsi="Arial"/>
          <w:sz w:val="17"/>
          <w:szCs w:val="17"/>
          <w:color w:val="auto"/>
        </w:rPr>
      </w:pPr>
    </w:p>
    <w:p>
      <w:pPr>
        <w:ind w:left="920" w:right="40" w:hanging="912"/>
        <w:spacing w:after="0" w:line="264"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 Borrower shall employ the Ship owned by it, nor shall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6"/>
          <w:szCs w:val="16"/>
          <w:b w:val="1"/>
          <w:bCs w:val="1"/>
          <w:color w:val="auto"/>
        </w:rPr>
        <w:t>Alteration to terms of insurances</w:t>
      </w:r>
    </w:p>
    <w:p>
      <w:pPr>
        <w:spacing w:after="0" w:line="121"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No Borrower shall either make or agree to any alteration to the terms of any obligatory insurance or waive any right relating to any obligatory insurance other than where the alternatives are mandatory to comply with international conventions or Sanctions without the prior written consent of the Security Trustee.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5"/>
          <w:szCs w:val="15"/>
          <w:b w:val="1"/>
          <w:bCs w:val="1"/>
          <w:color w:val="auto"/>
        </w:rPr>
        <w:t>Settlement of claims</w:t>
      </w:r>
    </w:p>
    <w:p>
      <w:pPr>
        <w:spacing w:after="0" w:line="121" w:lineRule="exact"/>
        <w:rPr>
          <w:sz w:val="20"/>
          <w:szCs w:val="20"/>
          <w:color w:val="auto"/>
        </w:rPr>
      </w:pPr>
    </w:p>
    <w:p>
      <w:pPr>
        <w:jc w:val="both"/>
        <w:ind w:left="920" w:right="100"/>
        <w:spacing w:after="0" w:line="264" w:lineRule="auto"/>
        <w:rPr>
          <w:sz w:val="20"/>
          <w:szCs w:val="20"/>
          <w:color w:val="auto"/>
        </w:rPr>
      </w:pPr>
      <w:r>
        <w:rPr>
          <w:rFonts w:ascii="Arial" w:cs="Arial" w:eastAsia="Arial" w:hAnsi="Arial"/>
          <w:sz w:val="18"/>
          <w:szCs w:val="18"/>
          <w:color w:val="auto"/>
        </w:rPr>
        <w:t>No Borrower shall settle, compromise or abandon any claim under any obligatory insurance for Total Loss or for a Major Casualty, and shall do all things necessary and provide all documents, evidence and information to enable the Security Trustee to collect or recover any moneys which at any time become payable in respect of the obligatory insurances.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0" w:right="279" w:bottom="1440" w:gutter="0" w:footer="0" w:header="0"/>
        </w:sectPr>
      </w:pPr>
    </w:p>
    <w:bookmarkStart w:id="241" w:name="page242"/>
    <w:bookmarkEnd w:id="24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13.15</w:t>
      </w:r>
      <w:r>
        <w:rPr>
          <w:sz w:val="20"/>
          <w:szCs w:val="20"/>
          <w:color w:val="auto"/>
        </w:rPr>
        <w:tab/>
      </w:r>
      <w:r>
        <w:rPr>
          <w:rFonts w:ascii="Arial" w:cs="Arial" w:eastAsia="Arial" w:hAnsi="Arial"/>
          <w:sz w:val="15"/>
          <w:szCs w:val="15"/>
          <w:b w:val="1"/>
          <w:bCs w:val="1"/>
          <w:color w:val="auto"/>
        </w:rPr>
        <w:t>Provision of copies of communications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Each Borrower shall provide the Security Trustee, upon its request, copies of all written communications between that Borrower and:</w:t>
      </w:r>
    </w:p>
    <w:p>
      <w:pPr>
        <w:spacing w:after="0" w:line="131" w:lineRule="exact"/>
        <w:rPr>
          <w:sz w:val="20"/>
          <w:szCs w:val="20"/>
          <w:color w:val="auto"/>
        </w:rPr>
      </w:pPr>
    </w:p>
    <w:p>
      <w:pPr>
        <w:ind w:left="920" w:hanging="912"/>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approved brokers;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approved protection and indemnity and/or war risks associations;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approved insurance companies and/or underwriters, which relate directly or indirectly to:</w:t>
      </w:r>
    </w:p>
    <w:p>
      <w:pPr>
        <w:spacing w:after="0" w:line="130" w:lineRule="exact"/>
        <w:rPr>
          <w:rFonts w:ascii="Arial" w:cs="Arial" w:eastAsia="Arial" w:hAnsi="Arial"/>
          <w:sz w:val="18"/>
          <w:szCs w:val="18"/>
          <w:color w:val="auto"/>
        </w:rPr>
      </w:pPr>
    </w:p>
    <w:p>
      <w:pPr>
        <w:ind w:left="1700" w:right="80" w:hanging="787"/>
        <w:spacing w:after="0" w:line="277" w:lineRule="auto"/>
        <w:tabs>
          <w:tab w:leader="none" w:pos="17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that Borrower’s obligations relating to the obligatory insurances including, without limitation, all requisite declarations and payments of additional premiums or calls; and</w:t>
      </w:r>
    </w:p>
    <w:p>
      <w:pPr>
        <w:spacing w:after="0" w:line="75" w:lineRule="exact"/>
        <w:rPr>
          <w:rFonts w:ascii="Arial" w:cs="Arial" w:eastAsia="Arial" w:hAnsi="Arial"/>
          <w:sz w:val="18"/>
          <w:szCs w:val="18"/>
          <w:color w:val="auto"/>
        </w:rPr>
      </w:pPr>
    </w:p>
    <w:p>
      <w:pPr>
        <w:ind w:left="1700" w:right="40" w:hanging="787"/>
        <w:spacing w:after="0" w:line="277" w:lineRule="auto"/>
        <w:tabs>
          <w:tab w:leader="none" w:pos="17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credit arrangements made between that Borrower and any of the persons referred to in paragraphs (a) or (b) above relating wholly or partly to the effecting or maintenance of the obligatory insurances.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6"/>
          <w:szCs w:val="16"/>
          <w:b w:val="1"/>
          <w:bCs w:val="1"/>
          <w:color w:val="auto"/>
        </w:rPr>
        <w:t>Provision of information and further undertakings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each Borrower shall promptly provide the Security Trustee (or any persons which it may designate) with any information which the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Security Trustee (or any such designated person) requests for the purpose of:</w:t>
      </w:r>
    </w:p>
    <w:p>
      <w:pPr>
        <w:spacing w:after="0" w:line="116" w:lineRule="exact"/>
        <w:rPr>
          <w:sz w:val="20"/>
          <w:szCs w:val="20"/>
          <w:color w:val="auto"/>
        </w:rPr>
      </w:pPr>
    </w:p>
    <w:p>
      <w:pPr>
        <w:ind w:left="920" w:right="540" w:hanging="912"/>
        <w:spacing w:after="0" w:line="277" w:lineRule="auto"/>
        <w:tabs>
          <w:tab w:leader="none" w:pos="9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obtaining or preparing any report from an independent marine insurance broker as to the adequacy of the obligatory insurances effected or proposed to be effected; and/or</w:t>
      </w:r>
    </w:p>
    <w:p>
      <w:pPr>
        <w:spacing w:after="0" w:line="75" w:lineRule="exact"/>
        <w:rPr>
          <w:rFonts w:ascii="Arial" w:cs="Arial" w:eastAsia="Arial" w:hAnsi="Arial"/>
          <w:sz w:val="18"/>
          <w:szCs w:val="18"/>
          <w:color w:val="auto"/>
        </w:rPr>
      </w:pPr>
    </w:p>
    <w:p>
      <w:pPr>
        <w:ind w:left="920" w:right="500" w:hanging="912"/>
        <w:spacing w:after="0" w:line="277" w:lineRule="auto"/>
        <w:tabs>
          <w:tab w:leader="none" w:pos="9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effecting, maintaining or renewing any such insurances as are referred to in Clause 13.17 below or dealing with or considering any matters relating to any such insurances,</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shall:</w:t>
      </w:r>
    </w:p>
    <w:p>
      <w:pPr>
        <w:spacing w:after="0" w:line="130" w:lineRule="exact"/>
        <w:rPr>
          <w:rFonts w:ascii="Arial" w:cs="Arial" w:eastAsia="Arial" w:hAnsi="Arial"/>
          <w:sz w:val="18"/>
          <w:szCs w:val="18"/>
          <w:color w:val="auto"/>
        </w:rPr>
      </w:pPr>
    </w:p>
    <w:p>
      <w:pPr>
        <w:ind w:left="1700" w:right="220" w:hanging="787"/>
        <w:spacing w:after="0" w:line="264" w:lineRule="auto"/>
        <w:tabs>
          <w:tab w:leader="none" w:pos="17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do all things necessary and provide the Facility Agent and the Security Trustee with all documents and information to enable the Security Trustee to collect or recover any moneys in respect of the Insurances which are payable to the Security Trustee pursuant to the Finance Documents; and</w:t>
      </w:r>
    </w:p>
    <w:p>
      <w:pPr>
        <w:spacing w:after="0" w:line="86" w:lineRule="exact"/>
        <w:rPr>
          <w:rFonts w:ascii="Arial" w:cs="Arial" w:eastAsia="Arial" w:hAnsi="Arial"/>
          <w:sz w:val="18"/>
          <w:szCs w:val="18"/>
          <w:color w:val="auto"/>
        </w:rPr>
      </w:pPr>
    </w:p>
    <w:p>
      <w:pPr>
        <w:ind w:left="1700" w:right="40" w:hanging="787"/>
        <w:spacing w:after="0" w:line="264" w:lineRule="auto"/>
        <w:tabs>
          <w:tab w:leader="none" w:pos="17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promptly provide the Facility Agent with full information regarding any Major Casualty or in consequence whereof the Ship owned by that Borrower has become or may become a Total Loss and agree to any settlement of such casualty or other accident or damage to that Ship only with the Facility Agent’s prior written consent,</w:t>
      </w:r>
    </w:p>
    <w:p>
      <w:pPr>
        <w:spacing w:after="0" w:line="73" w:lineRule="exact"/>
        <w:rPr>
          <w:sz w:val="20"/>
          <w:szCs w:val="20"/>
          <w:color w:val="auto"/>
        </w:rPr>
      </w:pPr>
    </w:p>
    <w:p>
      <w:pPr>
        <w:ind w:left="920" w:right="580"/>
        <w:spacing w:after="0" w:line="342" w:lineRule="auto"/>
        <w:rPr>
          <w:sz w:val="20"/>
          <w:szCs w:val="20"/>
          <w:color w:val="auto"/>
        </w:rPr>
      </w:pPr>
      <w:r>
        <w:rPr>
          <w:rFonts w:ascii="Arial" w:cs="Arial" w:eastAsia="Arial" w:hAnsi="Arial"/>
          <w:sz w:val="16"/>
          <w:szCs w:val="16"/>
          <w:color w:val="auto"/>
        </w:rPr>
        <w:t>and that each Borrower shall, forthwith upon demand, indemnify the Security Trustee in respect of all reasonable fees and other expenses incurred by or for the account of the Security Trustee in connection with any such report as is referred to in paragraph (a) above.</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13.17</w:t>
      </w:r>
      <w:r>
        <w:rPr>
          <w:sz w:val="20"/>
          <w:szCs w:val="20"/>
          <w:color w:val="auto"/>
        </w:rPr>
        <w:tab/>
      </w:r>
      <w:r>
        <w:rPr>
          <w:rFonts w:ascii="Arial" w:cs="Arial" w:eastAsia="Arial" w:hAnsi="Arial"/>
          <w:sz w:val="16"/>
          <w:szCs w:val="16"/>
          <w:b w:val="1"/>
          <w:bCs w:val="1"/>
          <w:color w:val="auto"/>
        </w:rPr>
        <w:t>Mortgagee’s interest, additional perils</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Security Trustee shall be entitled from time to time to effect, maintain and renew all or any of the following insurances in an amount equal to either (a) 120 per cent. of the Loan or (b) the aggregate of (i) 110 per cent of the Loan and (ii) the Swap Exposure as determined on the date on which such insurances are effected or renewed, as the case may be at any time, on such terms, through such insurers and generally in such manner as the Majority Lenders may from time to time consider appropriate: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0" w:right="259" w:bottom="1440" w:gutter="0" w:footer="0" w:header="0"/>
        </w:sectPr>
      </w:pPr>
    </w:p>
    <w:bookmarkStart w:id="242" w:name="page243"/>
    <w:bookmarkEnd w:id="242"/>
    <w:p>
      <w:pPr>
        <w:ind w:left="920" w:right="60" w:hanging="912"/>
        <w:spacing w:after="0" w:line="279" w:lineRule="auto"/>
        <w:tabs>
          <w:tab w:leader="none" w:pos="920" w:val="left"/>
        </w:tabs>
        <w:numPr>
          <w:ilvl w:val="0"/>
          <w:numId w:val="3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mortgagee’s interest marine insurance in relation to each Ship, providing for the indemnification of the Security Trustee for any losses under or in connection with any Finance Document which directly or indirectly result from loss of or damage to any Ship or a liability of any Ship or of any Borrower, being a loss or damage which is prima facie covered by an obligatory insurance but in respect of which there is a non-payment (or reduced payment) by the underwriters by reason of, or on the basis of an allegation concerning:</w:t>
      </w:r>
    </w:p>
    <w:p>
      <w:pPr>
        <w:spacing w:after="0" w:line="76" w:lineRule="exact"/>
        <w:rPr>
          <w:rFonts w:ascii="Arial" w:cs="Arial" w:eastAsia="Arial" w:hAnsi="Arial"/>
          <w:sz w:val="17"/>
          <w:szCs w:val="17"/>
          <w:color w:val="auto"/>
        </w:rPr>
      </w:pPr>
    </w:p>
    <w:p>
      <w:pPr>
        <w:ind w:left="1700" w:right="240" w:hanging="787"/>
        <w:spacing w:after="0" w:line="264" w:lineRule="auto"/>
        <w:tabs>
          <w:tab w:leader="none" w:pos="17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act or omission on the part of a Borrower, of any operator, charterer, manager or sub-manager of the Ship owned by it or of any officer, employee or agent of that Borrower or of any such person, including any breach of warranty or condition or any non-disclosure relating to such obligatory insurance;</w:t>
      </w:r>
    </w:p>
    <w:p>
      <w:pPr>
        <w:spacing w:after="0" w:line="86" w:lineRule="exact"/>
        <w:rPr>
          <w:rFonts w:ascii="Arial" w:cs="Arial" w:eastAsia="Arial" w:hAnsi="Arial"/>
          <w:sz w:val="18"/>
          <w:szCs w:val="18"/>
          <w:color w:val="auto"/>
        </w:rPr>
      </w:pPr>
    </w:p>
    <w:p>
      <w:pPr>
        <w:ind w:left="1700" w:right="100" w:hanging="787"/>
        <w:spacing w:after="0" w:line="264" w:lineRule="auto"/>
        <w:tabs>
          <w:tab w:leader="none" w:pos="17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act or omission, whether deliberate, negligent or accidental, or any knowledge or privity of a Borrower, any other person referred to in paragraph (i) above, or of any officer, employee or agent of that Borrower or of such a person, including the casting away or damaging of the Ship owned by it and/or the Ship owned by it being unseaworthy; and/or</w:t>
      </w:r>
    </w:p>
    <w:p>
      <w:pPr>
        <w:spacing w:after="0" w:line="86" w:lineRule="exact"/>
        <w:rPr>
          <w:rFonts w:ascii="Arial" w:cs="Arial" w:eastAsia="Arial" w:hAnsi="Arial"/>
          <w:sz w:val="18"/>
          <w:szCs w:val="18"/>
          <w:color w:val="auto"/>
        </w:rPr>
      </w:pPr>
    </w:p>
    <w:p>
      <w:pPr>
        <w:ind w:left="1700" w:right="720" w:hanging="787"/>
        <w:spacing w:after="0" w:line="277" w:lineRule="auto"/>
        <w:tabs>
          <w:tab w:leader="none" w:pos="17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other matter capable of being insured against under a mortgagee’s interest marine insurance whether or not similar to the foregoing;</w:t>
      </w:r>
    </w:p>
    <w:p>
      <w:pPr>
        <w:spacing w:after="0" w:line="75" w:lineRule="exact"/>
        <w:rPr>
          <w:rFonts w:ascii="Arial" w:cs="Arial" w:eastAsia="Arial" w:hAnsi="Arial"/>
          <w:sz w:val="18"/>
          <w:szCs w:val="18"/>
          <w:color w:val="auto"/>
        </w:rPr>
      </w:pPr>
    </w:p>
    <w:p>
      <w:pPr>
        <w:ind w:left="920" w:right="160" w:hanging="912"/>
        <w:spacing w:after="0" w:line="259" w:lineRule="auto"/>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mortgagee’s interest additional perils insurance in relation to each Ship, providing for the indemnification of the Security Trustee against, among other things, any possible losses or other consequences of any Environmental Claim, including the risk of expropriation, arrest or any form of detention of a Ship, the imposition of any Security Interest over a Ship and/or any other matter capable of being insured against under a mortgagee’s interest additional perils insurance whether or not similar to the foregoing,</w:t>
      </w:r>
    </w:p>
    <w:p>
      <w:pPr>
        <w:spacing w:after="0" w:line="78" w:lineRule="exact"/>
        <w:rPr>
          <w:rFonts w:ascii="Arial" w:cs="Arial" w:eastAsia="Arial" w:hAnsi="Arial"/>
          <w:sz w:val="18"/>
          <w:szCs w:val="18"/>
          <w:color w:val="auto"/>
        </w:rPr>
      </w:pPr>
    </w:p>
    <w:p>
      <w:pPr>
        <w:ind w:left="920"/>
        <w:spacing w:after="0" w:line="264" w:lineRule="auto"/>
        <w:rPr>
          <w:rFonts w:ascii="Arial" w:cs="Arial" w:eastAsia="Arial" w:hAnsi="Arial"/>
          <w:sz w:val="18"/>
          <w:szCs w:val="18"/>
          <w:color w:val="auto"/>
        </w:rPr>
      </w:pPr>
      <w:r>
        <w:rPr>
          <w:rFonts w:ascii="Arial" w:cs="Arial" w:eastAsia="Arial" w:hAnsi="Arial"/>
          <w:sz w:val="18"/>
          <w:szCs w:val="18"/>
          <w:color w:val="auto"/>
        </w:rPr>
        <w:t>and that Borrower shall upon demand fully indemnify the Security Trustee in respect of all premiums and other expenses which are incurred in connection with or with a view to effecting, maintaining or renewing any such insurance or dealing with, or considering, any matter arising out of any such insurance under this Clause 13.17.</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13.18</w:t>
      </w:r>
      <w:r>
        <w:rPr>
          <w:sz w:val="20"/>
          <w:szCs w:val="20"/>
          <w:color w:val="auto"/>
        </w:rPr>
        <w:tab/>
      </w:r>
      <w:r>
        <w:rPr>
          <w:rFonts w:ascii="Arial" w:cs="Arial" w:eastAsia="Arial" w:hAnsi="Arial"/>
          <w:sz w:val="16"/>
          <w:szCs w:val="16"/>
          <w:b w:val="1"/>
          <w:bCs w:val="1"/>
          <w:color w:val="auto"/>
        </w:rPr>
        <w:t>Review of insurance requirements</w:t>
      </w:r>
    </w:p>
    <w:p>
      <w:pPr>
        <w:spacing w:after="0" w:line="121" w:lineRule="exact"/>
        <w:rPr>
          <w:sz w:val="20"/>
          <w:szCs w:val="20"/>
          <w:color w:val="auto"/>
        </w:rPr>
      </w:pPr>
    </w:p>
    <w:p>
      <w:pPr>
        <w:ind w:left="920" w:right="40"/>
        <w:spacing w:after="0" w:line="293" w:lineRule="auto"/>
        <w:rPr>
          <w:sz w:val="20"/>
          <w:szCs w:val="20"/>
          <w:color w:val="auto"/>
        </w:rPr>
      </w:pPr>
      <w:r>
        <w:rPr>
          <w:rFonts w:ascii="Arial" w:cs="Arial" w:eastAsia="Arial" w:hAnsi="Arial"/>
          <w:sz w:val="16"/>
          <w:szCs w:val="16"/>
          <w:color w:val="auto"/>
        </w:rPr>
        <w:t>The Majority Lenders shall be entitled to review the requirements of this Clause 13 from time to time in order to take account of any changes in circumstances after the date of this Agreement which are, in the opinion of the Majority Lenders, significant and capable of affecting any Borrower or the Ship owned by it and its or their insurance (including, without limitation, changes in the availability or the cost of insurance coverage or the risks to which that Borrower may be subject), and may appoint insurance consultants in relation to this review at the cost of that Borrower and that Borrower shall upon demand fully indemnify the Facility Agent in respect of all fees and other expenses incurred by or for the account of the Facility Agent in appointing an independent marine insurance broker or adviser to conduct such review.</w:t>
      </w:r>
    </w:p>
    <w:p>
      <w:pPr>
        <w:spacing w:after="0" w:line="3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13.19</w:t>
      </w:r>
      <w:r>
        <w:rPr>
          <w:sz w:val="20"/>
          <w:szCs w:val="20"/>
          <w:color w:val="auto"/>
        </w:rPr>
        <w:tab/>
      </w:r>
      <w:r>
        <w:rPr>
          <w:rFonts w:ascii="Arial" w:cs="Arial" w:eastAsia="Arial" w:hAnsi="Arial"/>
          <w:sz w:val="16"/>
          <w:szCs w:val="16"/>
          <w:b w:val="1"/>
          <w:bCs w:val="1"/>
          <w:color w:val="auto"/>
        </w:rPr>
        <w:t>Modification of insurance requirements</w:t>
      </w:r>
    </w:p>
    <w:p>
      <w:pPr>
        <w:spacing w:after="0" w:line="121" w:lineRule="exact"/>
        <w:rPr>
          <w:sz w:val="20"/>
          <w:szCs w:val="20"/>
          <w:color w:val="auto"/>
        </w:rPr>
      </w:pPr>
    </w:p>
    <w:p>
      <w:pPr>
        <w:ind w:left="920" w:right="240"/>
        <w:spacing w:after="0" w:line="286" w:lineRule="auto"/>
        <w:rPr>
          <w:sz w:val="20"/>
          <w:szCs w:val="20"/>
          <w:color w:val="auto"/>
        </w:rPr>
      </w:pPr>
      <w:r>
        <w:rPr>
          <w:rFonts w:ascii="Arial" w:cs="Arial" w:eastAsia="Arial" w:hAnsi="Arial"/>
          <w:sz w:val="17"/>
          <w:szCs w:val="17"/>
          <w:color w:val="auto"/>
        </w:rPr>
        <w:t>The Security Trustee shall notify each Borrower of any proposed modification under Clause 13.18 to the requirements of this Clause 13 which the Majority Lenders reasonably consider appropriate in the circumstances, and such modification shall take effect on and from the date it is notified in writing to the Borrowers as an amendment to this Clause 13 and shall bind the Borrowers accordingly.</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13.20</w:t>
      </w:r>
      <w:r>
        <w:rPr>
          <w:sz w:val="20"/>
          <w:szCs w:val="20"/>
          <w:color w:val="auto"/>
        </w:rPr>
        <w:tab/>
      </w:r>
      <w:r>
        <w:rPr>
          <w:rFonts w:ascii="Arial" w:cs="Arial" w:eastAsia="Arial" w:hAnsi="Arial"/>
          <w:sz w:val="16"/>
          <w:szCs w:val="16"/>
          <w:b w:val="1"/>
          <w:bCs w:val="1"/>
          <w:color w:val="auto"/>
        </w:rPr>
        <w:t>Compliance with mortgagee’s instructions</w:t>
      </w:r>
    </w:p>
    <w:p>
      <w:pPr>
        <w:spacing w:after="0" w:line="121"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 Security Trustee shall be entitled (without prejudice to or limitation of any other rights which it may have or acquire under any Finance Document) to require a Ship to remain at any safe port or to proceed to and remain at any safe port designated by the Security Trustee until the relevant Borrower implements any amendments to the terms of the obligatory insurances and any operational changes required as a result of a notice served under Clause 13.19.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243" w:name="page244"/>
    <w:bookmarkEnd w:id="243"/>
    <w:p>
      <w:pPr>
        <w:ind w:left="920" w:hanging="912"/>
        <w:spacing w:after="0"/>
        <w:tabs>
          <w:tab w:leader="none" w:pos="92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SHIP COVENANTS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Each Borrower also undertakes with each Creditor Party to comply with the following provisions of this Clause 14 at all times during the Security Period (after the Ship owned by it has been delivered to it under the relevant Shipbuilding Contract) except as the Facility Agent, with the authorisation of the Majority Lenders, may otherwise permit (in the case of the Clauses 14.2, 14.3(b), 14.13(e) and 14.14, such permission not to be unreasonably withheld).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Ship’s name and registration</w:t>
      </w:r>
    </w:p>
    <w:p>
      <w:pPr>
        <w:spacing w:after="0" w:line="121"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Each Borrower shall keep the Ship owned by it registered in its name under the relevant Approved Flag; shall not do, omit to do or allow to be done anything as a result of which such registration might be cancelled or imperilled and shall not change the name or port of registry of that Ship.</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Repair and classification</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Each Borrower shall keep the Ship owned by it in a good and safe condition and state of repair, sea and cargo worthy in all respects:</w:t>
      </w:r>
    </w:p>
    <w:p>
      <w:pPr>
        <w:spacing w:after="0" w:line="131" w:lineRule="exact"/>
        <w:rPr>
          <w:sz w:val="20"/>
          <w:szCs w:val="20"/>
          <w:color w:val="auto"/>
        </w:rPr>
      </w:pPr>
    </w:p>
    <w:p>
      <w:pPr>
        <w:ind w:left="920" w:hanging="912"/>
        <w:spacing w:after="0"/>
        <w:tabs>
          <w:tab w:leader="none" w:pos="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consistent with first-class ship ownership and management practice;</w:t>
      </w:r>
    </w:p>
    <w:p>
      <w:pPr>
        <w:spacing w:after="0" w:line="130" w:lineRule="exact"/>
        <w:rPr>
          <w:rFonts w:ascii="Arial" w:cs="Arial" w:eastAsia="Arial" w:hAnsi="Arial"/>
          <w:sz w:val="18"/>
          <w:szCs w:val="18"/>
          <w:color w:val="auto"/>
        </w:rPr>
      </w:pPr>
    </w:p>
    <w:p>
      <w:pPr>
        <w:ind w:left="920" w:right="80" w:hanging="912"/>
        <w:spacing w:after="0" w:line="259" w:lineRule="auto"/>
        <w:tabs>
          <w:tab w:leader="none" w:pos="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so as to maintain the highest class with a classification society acceptable to the Majority Lenders (it being agreed that Lloyd’s Register and the American Bureau of Shipping shall be deemed acceptable) free of overdue recommendations and conditions and, upon the Security Trustee’s request, such classification society shall provide the Security Trustee with any information and documentation required in respect of that Ship as the same is maintained in the records of such classification society; and</w:t>
      </w:r>
    </w:p>
    <w:p>
      <w:pPr>
        <w:spacing w:after="0" w:line="92" w:lineRule="exact"/>
        <w:rPr>
          <w:rFonts w:ascii="Arial" w:cs="Arial" w:eastAsia="Arial" w:hAnsi="Arial"/>
          <w:sz w:val="18"/>
          <w:szCs w:val="18"/>
          <w:color w:val="auto"/>
        </w:rPr>
      </w:pPr>
    </w:p>
    <w:p>
      <w:pPr>
        <w:ind w:left="920" w:hanging="912"/>
        <w:spacing w:after="0" w:line="264" w:lineRule="auto"/>
        <w:tabs>
          <w:tab w:leader="none" w:pos="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so as to comply with all laws and regulations applicable to vessels registered at ports in the relevant Approved Flag State or to vessels trading to any jurisdiction to which that Ship may trade from time to time, including but not limited to the ISM Code, the ISM Code Documentation and the ISPS Code,</w:t>
      </w:r>
    </w:p>
    <w:p>
      <w:pPr>
        <w:spacing w:after="0" w:line="73" w:lineRule="exact"/>
        <w:rPr>
          <w:rFonts w:ascii="Arial" w:cs="Arial" w:eastAsia="Arial" w:hAnsi="Arial"/>
          <w:sz w:val="18"/>
          <w:szCs w:val="18"/>
          <w:color w:val="auto"/>
        </w:rPr>
      </w:pPr>
    </w:p>
    <w:p>
      <w:pPr>
        <w:ind w:left="920" w:right="40"/>
        <w:spacing w:after="0" w:line="259" w:lineRule="auto"/>
        <w:rPr>
          <w:rFonts w:ascii="Arial" w:cs="Arial" w:eastAsia="Arial" w:hAnsi="Arial"/>
          <w:sz w:val="18"/>
          <w:szCs w:val="18"/>
          <w:color w:val="auto"/>
        </w:rPr>
      </w:pPr>
      <w:r>
        <w:rPr>
          <w:rFonts w:ascii="Arial" w:cs="Arial" w:eastAsia="Arial" w:hAnsi="Arial"/>
          <w:sz w:val="18"/>
          <w:szCs w:val="18"/>
          <w:color w:val="auto"/>
        </w:rPr>
        <w:t>and the Facility Agent shall be given power of attorney in the form attached as Schedule 6 to act on behalf of that Borrower in order to, inspect the class records and any files held by the classification society and to require the classification society to provide the Facility Agent or any of its nominees with any information, document or file, it might reasonably request and the classification society shall be fully entitled to rely hereon without any further inquiry.</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Classification society undertaking</w:t>
      </w:r>
    </w:p>
    <w:p>
      <w:pPr>
        <w:spacing w:after="0" w:line="121" w:lineRule="exact"/>
        <w:rPr>
          <w:sz w:val="20"/>
          <w:szCs w:val="20"/>
          <w:color w:val="auto"/>
        </w:rPr>
      </w:pPr>
    </w:p>
    <w:p>
      <w:pPr>
        <w:ind w:left="920" w:right="920"/>
        <w:spacing w:after="0" w:line="277" w:lineRule="auto"/>
        <w:rPr>
          <w:sz w:val="20"/>
          <w:szCs w:val="20"/>
          <w:color w:val="auto"/>
        </w:rPr>
      </w:pPr>
      <w:r>
        <w:rPr>
          <w:rFonts w:ascii="Arial" w:cs="Arial" w:eastAsia="Arial" w:hAnsi="Arial"/>
          <w:sz w:val="18"/>
          <w:szCs w:val="18"/>
          <w:color w:val="auto"/>
        </w:rPr>
        <w:t>Each Borrower shall instruct the classification society referred to in Clause 14.3 (and shall use its best endeavours to procure that the classification society undertakes with the Security Trustee) in relation to the Ship owned by it:</w:t>
      </w:r>
    </w:p>
    <w:p>
      <w:pPr>
        <w:spacing w:after="0" w:line="76" w:lineRule="exact"/>
        <w:rPr>
          <w:sz w:val="20"/>
          <w:szCs w:val="20"/>
          <w:color w:val="auto"/>
        </w:rPr>
      </w:pPr>
    </w:p>
    <w:p>
      <w:pPr>
        <w:ind w:left="920" w:right="140" w:hanging="912"/>
        <w:spacing w:after="0" w:line="277" w:lineRule="auto"/>
        <w:tabs>
          <w:tab w:leader="none" w:pos="9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to send to the Security Trustee, following receipt of a written request from the Security Trustee, certified true copies of all original class records and any other related records held by the classification society in relation to that Ship;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0" w:right="259" w:bottom="1440" w:gutter="0" w:footer="0" w:header="0"/>
        </w:sectPr>
      </w:pPr>
    </w:p>
    <w:bookmarkStart w:id="244" w:name="page245"/>
    <w:bookmarkEnd w:id="244"/>
    <w:p>
      <w:pPr>
        <w:ind w:left="920" w:right="60" w:hanging="912"/>
        <w:spacing w:after="0" w:line="277" w:lineRule="auto"/>
        <w:tabs>
          <w:tab w:leader="none" w:pos="9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allow the Security Trustee (or its agents), at any time and from time to time, to inspect the original class and related records of that Ship at the offices of the classification society and to take copies of them;</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to notify the Security Trustee immediately in writing if the classification society: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receives notification from that Borrower or any person that that Ship’s classification society is to be changed;</w:t>
      </w:r>
    </w:p>
    <w:p>
      <w:pPr>
        <w:spacing w:after="0" w:line="130" w:lineRule="exact"/>
        <w:rPr>
          <w:rFonts w:ascii="Arial" w:cs="Arial" w:eastAsia="Arial" w:hAnsi="Arial"/>
          <w:sz w:val="18"/>
          <w:szCs w:val="18"/>
          <w:color w:val="auto"/>
        </w:rPr>
      </w:pPr>
    </w:p>
    <w:p>
      <w:pPr>
        <w:ind w:left="1700" w:right="240" w:hanging="787"/>
        <w:spacing w:after="0" w:line="342" w:lineRule="auto"/>
        <w:tabs>
          <w:tab w:leader="none" w:pos="17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becomes aware of any facts or matters which may result in or have resulted in a change, suspension, discontinuance, withdrawal or expiry of that Ship’s class under the rules or terms and conditions of that Ship’s membership of the classification society;</w:t>
      </w:r>
    </w:p>
    <w:p>
      <w:pPr>
        <w:spacing w:after="0" w:line="29" w:lineRule="exact"/>
        <w:rPr>
          <w:rFonts w:ascii="Arial" w:cs="Arial" w:eastAsia="Arial" w:hAnsi="Arial"/>
          <w:sz w:val="16"/>
          <w:szCs w:val="16"/>
          <w:color w:val="auto"/>
        </w:rPr>
      </w:pPr>
    </w:p>
    <w:p>
      <w:pPr>
        <w:ind w:left="920" w:hanging="912"/>
        <w:spacing w:after="0"/>
        <w:tabs>
          <w:tab w:leader="none" w:pos="9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following receipt of a written request from the Security Trustee:</w:t>
      </w:r>
    </w:p>
    <w:p>
      <w:pPr>
        <w:spacing w:after="0" w:line="130" w:lineRule="exact"/>
        <w:rPr>
          <w:rFonts w:ascii="Arial" w:cs="Arial" w:eastAsia="Arial" w:hAnsi="Arial"/>
          <w:sz w:val="18"/>
          <w:szCs w:val="18"/>
          <w:color w:val="auto"/>
        </w:rPr>
      </w:pPr>
    </w:p>
    <w:p>
      <w:pPr>
        <w:ind w:left="1700" w:right="520" w:hanging="787"/>
        <w:spacing w:after="0" w:line="342" w:lineRule="auto"/>
        <w:tabs>
          <w:tab w:leader="none" w:pos="17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to confirm that that Borrower is not in default of any of its contractual obligations or liabilities to the classification society and, without limiting the foregoing, that it has paid in full all fees or other charges due and payable to the classification society; or</w:t>
      </w:r>
    </w:p>
    <w:p>
      <w:pPr>
        <w:spacing w:after="0" w:line="29" w:lineRule="exact"/>
        <w:rPr>
          <w:rFonts w:ascii="Arial" w:cs="Arial" w:eastAsia="Arial" w:hAnsi="Arial"/>
          <w:sz w:val="16"/>
          <w:szCs w:val="16"/>
          <w:color w:val="auto"/>
        </w:rPr>
      </w:pPr>
    </w:p>
    <w:p>
      <w:pPr>
        <w:jc w:val="both"/>
        <w:ind w:left="1700" w:right="200" w:hanging="787"/>
        <w:spacing w:after="0" w:line="264" w:lineRule="auto"/>
        <w:tabs>
          <w:tab w:leader="none" w:pos="17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if that Borrower is in default of any of its contractual obligations or liabilities to the classification society, to specify to the Security Trustee in reasonable detail the facts and circumstances of such default, the consequences thereof, and any remedy period agreed or allowed by the classification society.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Modification</w:t>
      </w:r>
    </w:p>
    <w:p>
      <w:pPr>
        <w:spacing w:after="0" w:line="121" w:lineRule="exact"/>
        <w:rPr>
          <w:sz w:val="20"/>
          <w:szCs w:val="20"/>
          <w:color w:val="auto"/>
        </w:rPr>
      </w:pPr>
    </w:p>
    <w:p>
      <w:pPr>
        <w:ind w:left="920" w:right="240"/>
        <w:spacing w:after="0" w:line="308" w:lineRule="auto"/>
        <w:rPr>
          <w:sz w:val="20"/>
          <w:szCs w:val="20"/>
          <w:color w:val="auto"/>
        </w:rPr>
      </w:pPr>
      <w:r>
        <w:rPr>
          <w:rFonts w:ascii="Arial" w:cs="Arial" w:eastAsia="Arial" w:hAnsi="Arial"/>
          <w:sz w:val="17"/>
          <w:szCs w:val="17"/>
          <w:color w:val="auto"/>
        </w:rPr>
        <w:t>No Borrower shall make any modification or repairs to, or replacement of, the Ship owned by it or equipment installed on her which would or might materially alter the structure, type or performance characteristics of that Ship or materially reduce her value.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Removal of parts</w:t>
      </w:r>
    </w:p>
    <w:p>
      <w:pPr>
        <w:spacing w:after="0" w:line="121" w:lineRule="exact"/>
        <w:rPr>
          <w:sz w:val="20"/>
          <w:szCs w:val="20"/>
          <w:color w:val="auto"/>
        </w:rPr>
      </w:pPr>
    </w:p>
    <w:p>
      <w:pPr>
        <w:jc w:val="both"/>
        <w:ind w:left="920" w:right="160"/>
        <w:spacing w:after="0" w:line="297" w:lineRule="auto"/>
        <w:rPr>
          <w:sz w:val="20"/>
          <w:szCs w:val="20"/>
          <w:color w:val="auto"/>
        </w:rPr>
      </w:pPr>
      <w:r>
        <w:rPr>
          <w:rFonts w:ascii="Arial" w:cs="Arial" w:eastAsia="Arial" w:hAnsi="Arial"/>
          <w:sz w:val="16"/>
          <w:szCs w:val="16"/>
          <w:color w:val="auto"/>
        </w:rPr>
        <w:t xml:space="preserve">No Borrower shall remove any material part of the Ship owned by it, or any item of equipment installed on, that Ship unless the part or item so removed is forthwith replaced by a suitable part or item which is in the same condition as or better condition than the part or item removed, is free from any Security Interest or any right in favour of any person other than the Security Trustee and becomes on installation on the relevant Ship the property of the relevant Borrower and subject to the security constituted by the Mortgage and any Deed of Covenant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a Borrower may install equipment owned by a third party if the equipment can be removed without any risk of damage to the Ship owned by it.</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5"/>
          <w:szCs w:val="15"/>
          <w:b w:val="1"/>
          <w:bCs w:val="1"/>
          <w:color w:val="auto"/>
        </w:rPr>
        <w:t>Surveys</w:t>
      </w:r>
    </w:p>
    <w:p>
      <w:pPr>
        <w:spacing w:after="0" w:line="121"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Each Borrower shall submit the Ship owned by it regularly to all periodical or other surveys which may be required for classification purposes and, if so required by the Majority Lenders provide the Security Trustee, with copies of all survey reports.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Technical Survey</w:t>
      </w:r>
    </w:p>
    <w:p>
      <w:pPr>
        <w:spacing w:after="0" w:line="121"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The Borrowers shall promptly following the request of the Facility Agent (acting on the instructions of the Lenders) (to be made within 6 months of the Drawdown Date relative to the Advance) and at any time thereafter submit the Ship owned by it for a technical survey by an independent surveyor or surveyors appointed by the Facility Agent. All fees and expenses incurred in relation to the appointment of the surveyor or surveyors and the preparation and issue of all technical reports pursuant to this Clause 14.8 shall be for the account of the Borrowers.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245" w:name="page246"/>
    <w:bookmarkEnd w:id="24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14.9</w:t>
      </w:r>
      <w:r>
        <w:rPr>
          <w:sz w:val="20"/>
          <w:szCs w:val="20"/>
          <w:color w:val="auto"/>
        </w:rPr>
        <w:tab/>
      </w:r>
      <w:r>
        <w:rPr>
          <w:rFonts w:ascii="Arial" w:cs="Arial" w:eastAsia="Arial" w:hAnsi="Arial"/>
          <w:sz w:val="15"/>
          <w:szCs w:val="15"/>
          <w:b w:val="1"/>
          <w:bCs w:val="1"/>
          <w:color w:val="auto"/>
        </w:rPr>
        <w:t>Inspection</w:t>
      </w:r>
    </w:p>
    <w:p>
      <w:pPr>
        <w:spacing w:after="0" w:line="121" w:lineRule="exact"/>
        <w:rPr>
          <w:sz w:val="20"/>
          <w:szCs w:val="20"/>
          <w:color w:val="auto"/>
        </w:rPr>
      </w:pPr>
    </w:p>
    <w:p>
      <w:pPr>
        <w:ind w:left="920"/>
        <w:spacing w:after="0" w:line="276" w:lineRule="auto"/>
        <w:rPr>
          <w:sz w:val="20"/>
          <w:szCs w:val="20"/>
          <w:color w:val="auto"/>
        </w:rPr>
      </w:pPr>
      <w:r>
        <w:rPr>
          <w:rFonts w:ascii="Arial" w:cs="Arial" w:eastAsia="Arial" w:hAnsi="Arial"/>
          <w:sz w:val="17"/>
          <w:szCs w:val="17"/>
          <w:color w:val="auto"/>
        </w:rPr>
        <w:t xml:space="preserve">Each Borrower shall permit the Security Trustee (by surveyors or other persons appointed by it for that purpose) to board the Ship owned by it at all reasonable times to inspect her condition or to satisfy themselves about proposed or executed repairs and shall afford all proper facilities for such inspections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so long as a Ship is found to be in a satisfactory condition to the Facility Agent (acting reasonably) and no continuing Event of Default or Potential Event of Default shall be in existence, the Borrowers shall not be obliged to pay the fees and expenses incurred in connection with the inspection of the relevant Ship more than once in any twelve-month period.</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Prevention of and release from arrest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promptly discharge:</w:t>
      </w:r>
    </w:p>
    <w:p>
      <w:pPr>
        <w:spacing w:after="0" w:line="131" w:lineRule="exact"/>
        <w:rPr>
          <w:sz w:val="20"/>
          <w:szCs w:val="20"/>
          <w:color w:val="auto"/>
        </w:rPr>
      </w:pPr>
    </w:p>
    <w:p>
      <w:pPr>
        <w:ind w:left="920" w:right="160" w:hanging="912"/>
        <w:spacing w:after="0" w:line="277" w:lineRule="auto"/>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liabilities which give or may give rise to maritime or possessory liens on or claims enforceable against the Ship owned by it, its Earnings or Insurances;</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taxes, dues and other amounts charged in respect of that Ship, its Earnings or Insurances;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other outgoings whatsoever in respect of that Ship, its Earnings or Insurances,</w:t>
      </w:r>
    </w:p>
    <w:p>
      <w:pPr>
        <w:spacing w:after="0" w:line="117" w:lineRule="exact"/>
        <w:rPr>
          <w:rFonts w:ascii="Arial" w:cs="Arial" w:eastAsia="Arial" w:hAnsi="Arial"/>
          <w:sz w:val="18"/>
          <w:szCs w:val="18"/>
          <w:color w:val="auto"/>
        </w:rPr>
      </w:pPr>
    </w:p>
    <w:p>
      <w:pPr>
        <w:ind w:left="920" w:right="440"/>
        <w:spacing w:after="0" w:line="342" w:lineRule="auto"/>
        <w:rPr>
          <w:rFonts w:ascii="Arial" w:cs="Arial" w:eastAsia="Arial" w:hAnsi="Arial"/>
          <w:sz w:val="18"/>
          <w:szCs w:val="18"/>
          <w:color w:val="auto"/>
        </w:rPr>
      </w:pPr>
      <w:r>
        <w:rPr>
          <w:rFonts w:ascii="Arial" w:cs="Arial" w:eastAsia="Arial" w:hAnsi="Arial"/>
          <w:sz w:val="16"/>
          <w:szCs w:val="16"/>
          <w:color w:val="auto"/>
        </w:rPr>
        <w:t>and, forthwith upon receiving notice of the arrest of that Ship, or of her detention in exercise or purported exercise of any lien or claim, the Borrower which is the owner of that Ship shall procure her release by providing bail or otherwise as the circumstances may require.</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6"/>
          <w:szCs w:val="16"/>
          <w:b w:val="1"/>
          <w:bCs w:val="1"/>
          <w:color w:val="auto"/>
        </w:rPr>
        <w:t>Compliance with laws etc.</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and shall procure that each Security Party shall:</w:t>
      </w:r>
    </w:p>
    <w:p>
      <w:pPr>
        <w:spacing w:after="0" w:line="131" w:lineRule="exact"/>
        <w:rPr>
          <w:sz w:val="20"/>
          <w:szCs w:val="20"/>
          <w:color w:val="auto"/>
        </w:rPr>
      </w:pPr>
    </w:p>
    <w:p>
      <w:pPr>
        <w:ind w:left="920" w:right="680" w:hanging="912"/>
        <w:spacing w:after="0" w:line="277" w:lineRule="auto"/>
        <w:tabs>
          <w:tab w:leader="none" w:pos="9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comply with the ISM Code, all Environmental Laws, all Sanctions, and all other laws or regulations relating to the Ship owned by it, its ownership, operation and management or to the business of that Borrower;</w:t>
      </w:r>
    </w:p>
    <w:p>
      <w:pPr>
        <w:spacing w:after="0" w:line="75" w:lineRule="exact"/>
        <w:rPr>
          <w:rFonts w:ascii="Arial" w:cs="Arial" w:eastAsia="Arial" w:hAnsi="Arial"/>
          <w:sz w:val="18"/>
          <w:szCs w:val="18"/>
          <w:color w:val="auto"/>
        </w:rPr>
      </w:pPr>
    </w:p>
    <w:p>
      <w:pPr>
        <w:ind w:left="920" w:right="680" w:hanging="912"/>
        <w:spacing w:after="0" w:line="277" w:lineRule="auto"/>
        <w:tabs>
          <w:tab w:leader="none" w:pos="9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not employ the Ship owned by it nor allow her employment in any manner contrary to any law or regulation in any relevant jurisdiction including, but not limited to, the ISM Code and the ISPS Code; and</w:t>
      </w:r>
    </w:p>
    <w:p>
      <w:pPr>
        <w:spacing w:after="0" w:line="75" w:lineRule="exact"/>
        <w:rPr>
          <w:rFonts w:ascii="Arial" w:cs="Arial" w:eastAsia="Arial" w:hAnsi="Arial"/>
          <w:sz w:val="18"/>
          <w:szCs w:val="18"/>
          <w:color w:val="auto"/>
        </w:rPr>
      </w:pPr>
    </w:p>
    <w:p>
      <w:pPr>
        <w:jc w:val="both"/>
        <w:ind w:left="920" w:right="200" w:hanging="912"/>
        <w:spacing w:after="0" w:line="259" w:lineRule="auto"/>
        <w:tabs>
          <w:tab w:leader="none" w:pos="9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the event of hostilities in any part of the world (whether war is declared or not), not cause or permit the Ship owned by it to enter or trade to any zone which is declared a war zone by any government or by that Ship’s war risks insurers unless the prior written consent of the Majority Lenders has been given and that Borrower has (at its expense) effected any special, additional or modified insurance cover which the Majority Lenders may require.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14.12</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promptly provide the Security Trustee with any information which the Majority Lenders request regarding:</w:t>
      </w:r>
    </w:p>
    <w:p>
      <w:pPr>
        <w:spacing w:after="0" w:line="131" w:lineRule="exact"/>
        <w:rPr>
          <w:sz w:val="20"/>
          <w:szCs w:val="20"/>
          <w:color w:val="auto"/>
        </w:rPr>
      </w:pPr>
    </w:p>
    <w:p>
      <w:pPr>
        <w:ind w:left="920" w:hanging="912"/>
        <w:spacing w:after="0"/>
        <w:tabs>
          <w:tab w:leader="none" w:pos="9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Ship owned by it, her employment, position and engagements;</w:t>
      </w:r>
    </w:p>
    <w:p>
      <w:pPr>
        <w:spacing w:after="0" w:line="130" w:lineRule="exact"/>
        <w:rPr>
          <w:rFonts w:ascii="Arial" w:cs="Arial" w:eastAsia="Arial" w:hAnsi="Arial"/>
          <w:sz w:val="18"/>
          <w:szCs w:val="18"/>
          <w:color w:val="auto"/>
        </w:rPr>
      </w:pPr>
    </w:p>
    <w:p>
      <w:pPr>
        <w:ind w:left="5620" w:right="3780" w:hanging="5612"/>
        <w:spacing w:after="0" w:line="449" w:lineRule="auto"/>
        <w:tabs>
          <w:tab w:leader="none" w:pos="90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Earnings and payments and amounts due to the master and crew of the Ship owned by it; 56</w:t>
      </w:r>
    </w:p>
    <w:p>
      <w:pPr>
        <w:sectPr>
          <w:pgSz w:w="11900" w:h="16838" w:orient="portrait"/>
          <w:cols w:equalWidth="0" w:num="1">
            <w:col w:w="11360"/>
          </w:cols>
          <w:pgMar w:left="240" w:top="270" w:right="299" w:bottom="1440" w:gutter="0" w:footer="0" w:header="0"/>
        </w:sectPr>
      </w:pPr>
    </w:p>
    <w:bookmarkStart w:id="246" w:name="page247"/>
    <w:bookmarkEnd w:id="246"/>
    <w:p>
      <w:pPr>
        <w:ind w:left="920" w:hanging="912"/>
        <w:spacing w:after="0" w:line="277" w:lineRule="auto"/>
        <w:tabs>
          <w:tab w:leader="none" w:pos="9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expenses incurred, or likely to be incurred, in connection with the operation, maintenance or repair of the Ship owned by it and any payments made in respect of that Ship;</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towages and salvages;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its compliance, and the compliance of the Ship owned by it with the ISM Code and the ISPS Code,</w:t>
      </w:r>
    </w:p>
    <w:p>
      <w:pPr>
        <w:spacing w:after="0" w:line="117" w:lineRule="exact"/>
        <w:rPr>
          <w:rFonts w:ascii="Arial" w:cs="Arial" w:eastAsia="Arial" w:hAnsi="Arial"/>
          <w:sz w:val="18"/>
          <w:szCs w:val="18"/>
          <w:color w:val="auto"/>
        </w:rPr>
      </w:pPr>
    </w:p>
    <w:p>
      <w:pPr>
        <w:ind w:left="920" w:right="640"/>
        <w:spacing w:after="0" w:line="277" w:lineRule="auto"/>
        <w:rPr>
          <w:rFonts w:ascii="Arial" w:cs="Arial" w:eastAsia="Arial" w:hAnsi="Arial"/>
          <w:sz w:val="18"/>
          <w:szCs w:val="18"/>
          <w:color w:val="auto"/>
        </w:rPr>
      </w:pPr>
      <w:r>
        <w:rPr>
          <w:rFonts w:ascii="Arial" w:cs="Arial" w:eastAsia="Arial" w:hAnsi="Arial"/>
          <w:sz w:val="18"/>
          <w:szCs w:val="18"/>
          <w:color w:val="auto"/>
        </w:rPr>
        <w:t>and, upon the Security Trustee’s request, provide copies of any current charter relating to the Ship owned by it and of any current charter guarantee, and copies of the ISM Code Documentation and the ISCC.</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6"/>
          <w:szCs w:val="16"/>
          <w:b w:val="1"/>
          <w:bCs w:val="1"/>
          <w:color w:val="auto"/>
        </w:rPr>
        <w:t>Notification of certain events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immediately notify the Security Trustee by letter of:</w:t>
      </w:r>
    </w:p>
    <w:p>
      <w:pPr>
        <w:spacing w:after="0" w:line="131" w:lineRule="exact"/>
        <w:rPr>
          <w:sz w:val="20"/>
          <w:szCs w:val="20"/>
          <w:color w:val="auto"/>
        </w:rPr>
      </w:pPr>
    </w:p>
    <w:p>
      <w:pPr>
        <w:ind w:left="920" w:hanging="912"/>
        <w:spacing w:after="0"/>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casualty which is or is likely to be or to become a Major Casualty;</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occurrence as a result of which the Ship owned by it has become or is, by the passing of time or otherwise, likely to become a Total Loss;</w:t>
      </w:r>
    </w:p>
    <w:p>
      <w:pPr>
        <w:spacing w:after="0" w:line="153" w:lineRule="exact"/>
        <w:rPr>
          <w:rFonts w:ascii="Arial" w:cs="Arial" w:eastAsia="Arial" w:hAnsi="Arial"/>
          <w:sz w:val="16"/>
          <w:szCs w:val="16"/>
          <w:color w:val="auto"/>
        </w:rPr>
      </w:pPr>
    </w:p>
    <w:p>
      <w:pPr>
        <w:ind w:left="920" w:right="80" w:hanging="912"/>
        <w:spacing w:after="0" w:line="277" w:lineRule="auto"/>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requirement, overdue condition or recommendation made by any insurer or classification society or by any competent authority which is not immediately complied with;</w:t>
      </w:r>
    </w:p>
    <w:p>
      <w:pPr>
        <w:spacing w:after="0" w:line="75" w:lineRule="exact"/>
        <w:rPr>
          <w:rFonts w:ascii="Arial" w:cs="Arial" w:eastAsia="Arial" w:hAnsi="Arial"/>
          <w:sz w:val="18"/>
          <w:szCs w:val="18"/>
          <w:color w:val="auto"/>
        </w:rPr>
      </w:pPr>
    </w:p>
    <w:p>
      <w:pPr>
        <w:ind w:left="920" w:right="180" w:hanging="912"/>
        <w:spacing w:after="0" w:line="277" w:lineRule="auto"/>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arrest or detention of the Ship owned by it, any exercise or purported exercise of any lien on that Ship or her Earnings or any requisition of that Ship for hire,</w:t>
      </w:r>
    </w:p>
    <w:p>
      <w:pPr>
        <w:spacing w:after="0" w:line="75" w:lineRule="exact"/>
        <w:rPr>
          <w:rFonts w:ascii="Arial" w:cs="Arial" w:eastAsia="Arial" w:hAnsi="Arial"/>
          <w:sz w:val="18"/>
          <w:szCs w:val="18"/>
          <w:color w:val="auto"/>
        </w:rPr>
      </w:pPr>
    </w:p>
    <w:p>
      <w:pPr>
        <w:ind w:left="920" w:right="160" w:hanging="912"/>
        <w:spacing w:after="0" w:line="277" w:lineRule="auto"/>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intended dry docking of the Ship owned by it where the cost of the dry docking will, or is likely to, exceed $1,500,000 (or the equivalent in any other currency) in aggregate;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Environmental Claim made against that Borrower or in connection with the Ship owned by it or any Environmental Incident;</w:t>
      </w:r>
    </w:p>
    <w:p>
      <w:pPr>
        <w:spacing w:after="0" w:line="130" w:lineRule="exact"/>
        <w:rPr>
          <w:rFonts w:ascii="Arial" w:cs="Arial" w:eastAsia="Arial" w:hAnsi="Arial"/>
          <w:sz w:val="18"/>
          <w:szCs w:val="18"/>
          <w:color w:val="auto"/>
        </w:rPr>
      </w:pPr>
    </w:p>
    <w:p>
      <w:pPr>
        <w:ind w:left="920" w:right="260" w:hanging="912"/>
        <w:spacing w:after="0" w:line="277" w:lineRule="auto"/>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claim for breach of the ISM Code or the ISPS Code being made against that Borrower, the Approved Manager or otherwise in connection with the Ship owned by it; or</w:t>
      </w:r>
    </w:p>
    <w:p>
      <w:pPr>
        <w:spacing w:after="0" w:line="75" w:lineRule="exact"/>
        <w:rPr>
          <w:rFonts w:ascii="Arial" w:cs="Arial" w:eastAsia="Arial" w:hAnsi="Arial"/>
          <w:sz w:val="18"/>
          <w:szCs w:val="18"/>
          <w:color w:val="auto"/>
        </w:rPr>
      </w:pPr>
    </w:p>
    <w:p>
      <w:pPr>
        <w:ind w:left="920" w:right="500" w:hanging="912"/>
        <w:spacing w:after="0" w:line="277" w:lineRule="auto"/>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other matter, event or incident, actual or threatened, the effect of which will or could lead to the ISM Code or the ISPS Code not being complied with,</w:t>
      </w:r>
    </w:p>
    <w:p>
      <w:pPr>
        <w:spacing w:after="0" w:line="62" w:lineRule="exact"/>
        <w:rPr>
          <w:rFonts w:ascii="Arial" w:cs="Arial" w:eastAsia="Arial" w:hAnsi="Arial"/>
          <w:sz w:val="18"/>
          <w:szCs w:val="18"/>
          <w:color w:val="auto"/>
        </w:rPr>
      </w:pPr>
    </w:p>
    <w:p>
      <w:pPr>
        <w:ind w:left="920" w:right="120"/>
        <w:spacing w:after="0" w:line="277" w:lineRule="auto"/>
        <w:rPr>
          <w:rFonts w:ascii="Arial" w:cs="Arial" w:eastAsia="Arial" w:hAnsi="Arial"/>
          <w:sz w:val="18"/>
          <w:szCs w:val="18"/>
          <w:color w:val="auto"/>
        </w:rPr>
      </w:pPr>
      <w:r>
        <w:rPr>
          <w:rFonts w:ascii="Arial" w:cs="Arial" w:eastAsia="Arial" w:hAnsi="Arial"/>
          <w:sz w:val="18"/>
          <w:szCs w:val="18"/>
          <w:color w:val="auto"/>
        </w:rPr>
        <w:t>and that Borrower shall keep the Security Trustee advised in writing on a regular basis and in such detail as the Security Trustee shall require of that Borrower’s, the Approved Manager’s or any other person’s response to any of those events or matters.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14.14</w:t>
      </w:r>
      <w:r>
        <w:rPr>
          <w:sz w:val="20"/>
          <w:szCs w:val="20"/>
          <w:color w:val="auto"/>
        </w:rPr>
        <w:tab/>
      </w:r>
      <w:r>
        <w:rPr>
          <w:rFonts w:ascii="Arial" w:cs="Arial" w:eastAsia="Arial" w:hAnsi="Arial"/>
          <w:sz w:val="15"/>
          <w:szCs w:val="15"/>
          <w:b w:val="1"/>
          <w:bCs w:val="1"/>
          <w:color w:val="auto"/>
        </w:rPr>
        <w:t>Restrictions on, appointment of managers etc.</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shall:</w:t>
      </w:r>
    </w:p>
    <w:p>
      <w:pPr>
        <w:spacing w:after="0" w:line="131" w:lineRule="exact"/>
        <w:rPr>
          <w:sz w:val="20"/>
          <w:szCs w:val="20"/>
          <w:color w:val="auto"/>
        </w:rPr>
      </w:pPr>
    </w:p>
    <w:p>
      <w:pPr>
        <w:ind w:left="920" w:hanging="912"/>
        <w:spacing w:after="0"/>
        <w:tabs>
          <w:tab w:leader="none" w:pos="9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let either Ship on bareboat or demise charter for any period;</w:t>
      </w:r>
    </w:p>
    <w:p>
      <w:pPr>
        <w:spacing w:after="0" w:line="130" w:lineRule="exact"/>
        <w:rPr>
          <w:rFonts w:ascii="Arial" w:cs="Arial" w:eastAsia="Arial" w:hAnsi="Arial"/>
          <w:sz w:val="18"/>
          <w:szCs w:val="18"/>
          <w:color w:val="auto"/>
        </w:rPr>
      </w:pPr>
    </w:p>
    <w:p>
      <w:pPr>
        <w:ind w:left="920" w:right="80" w:hanging="912"/>
        <w:spacing w:after="0" w:line="277" w:lineRule="auto"/>
        <w:tabs>
          <w:tab w:leader="none" w:pos="9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enter into any time charter (including, without limitation, any Charterparty) in relation to the Ship owned by it under which more than 2 months’ hire (or the equivalent) is payable in advance;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enter into any Charterparty other than with the prior written consent of the Majority Lenders and subject to compliance with Clause 14.18;</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247" w:name="page248"/>
    <w:bookmarkEnd w:id="247"/>
    <w:p>
      <w:pPr>
        <w:ind w:left="920" w:hanging="912"/>
        <w:spacing w:after="0"/>
        <w:tabs>
          <w:tab w:leader="none" w:pos="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charter the Ship owned by it otherwise than on bona fide arm’s length terms at the time when the Ship is fixed;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appoint a manager of the Ship owned by it other than the Approved Manager;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de-activate or lay up the Ship owned by it; or</w:t>
      </w:r>
    </w:p>
    <w:p>
      <w:pPr>
        <w:spacing w:after="0" w:line="130" w:lineRule="exact"/>
        <w:rPr>
          <w:rFonts w:ascii="Arial" w:cs="Arial" w:eastAsia="Arial" w:hAnsi="Arial"/>
          <w:sz w:val="18"/>
          <w:szCs w:val="18"/>
          <w:color w:val="auto"/>
        </w:rPr>
      </w:pPr>
    </w:p>
    <w:p>
      <w:pPr>
        <w:ind w:left="920" w:right="140" w:hanging="912"/>
        <w:spacing w:after="0" w:line="286" w:lineRule="auto"/>
        <w:tabs>
          <w:tab w:leader="none" w:pos="9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put the Ship owned by it into the possession of any person for the purpose of work being done upon her in an amount exceeding or likely to exceed $1,000,000 (or the equivalent in any other currency) unless that person has first given to the Security Trustee and in terms satisfactory to it a written undertaking not to exercise any lien on that Ship or her Earnings for the cost of such work or otherwise.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14.15</w:t>
      </w:r>
      <w:r>
        <w:rPr>
          <w:sz w:val="20"/>
          <w:szCs w:val="20"/>
          <w:color w:val="auto"/>
        </w:rPr>
        <w:tab/>
      </w:r>
      <w:r>
        <w:rPr>
          <w:rFonts w:ascii="Arial" w:cs="Arial" w:eastAsia="Arial" w:hAnsi="Arial"/>
          <w:sz w:val="16"/>
          <w:szCs w:val="16"/>
          <w:b w:val="1"/>
          <w:bCs w:val="1"/>
          <w:color w:val="auto"/>
        </w:rPr>
        <w:t>Notice of Mortgage</w:t>
      </w:r>
    </w:p>
    <w:p>
      <w:pPr>
        <w:spacing w:after="0" w:line="121"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Each Borrower shall keep the Mortgage registered against the Ship owned by it as a valid first priority or, as the case may be, preferred mortgage, carry on board that Ship a certified copy of the relevant Mortgage and place and maintain in a conspicuous place in the navigation room and the Master’s cabin of that Ship a framed printed notice stating that Ship is mortgaged by that Borrower to the Security Trustee.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14.16</w:t>
      </w:r>
      <w:r>
        <w:rPr>
          <w:sz w:val="20"/>
          <w:szCs w:val="20"/>
          <w:color w:val="auto"/>
        </w:rPr>
        <w:tab/>
      </w:r>
      <w:r>
        <w:rPr>
          <w:rFonts w:ascii="Arial" w:cs="Arial" w:eastAsia="Arial" w:hAnsi="Arial"/>
          <w:sz w:val="16"/>
          <w:szCs w:val="16"/>
          <w:b w:val="1"/>
          <w:bCs w:val="1"/>
          <w:color w:val="auto"/>
        </w:rPr>
        <w:t>Sharing of Earnings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shall:</w:t>
      </w:r>
    </w:p>
    <w:p>
      <w:pPr>
        <w:spacing w:after="0" w:line="131" w:lineRule="exact"/>
        <w:rPr>
          <w:sz w:val="20"/>
          <w:szCs w:val="20"/>
          <w:color w:val="auto"/>
        </w:rPr>
      </w:pPr>
    </w:p>
    <w:p>
      <w:pPr>
        <w:ind w:left="920" w:hanging="912"/>
        <w:spacing w:after="0"/>
        <w:tabs>
          <w:tab w:leader="none" w:pos="9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enter into any agreement or arrangement for the sharing of any Earnings;</w:t>
      </w:r>
    </w:p>
    <w:p>
      <w:pPr>
        <w:spacing w:after="0" w:line="130" w:lineRule="exact"/>
        <w:rPr>
          <w:rFonts w:ascii="Arial" w:cs="Arial" w:eastAsia="Arial" w:hAnsi="Arial"/>
          <w:sz w:val="18"/>
          <w:szCs w:val="18"/>
          <w:color w:val="auto"/>
        </w:rPr>
      </w:pPr>
    </w:p>
    <w:p>
      <w:pPr>
        <w:ind w:left="920" w:right="320" w:hanging="912"/>
        <w:spacing w:after="0" w:line="277" w:lineRule="auto"/>
        <w:tabs>
          <w:tab w:leader="none" w:pos="9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enter into any agreement or arrangement for the postponement of any date on which any Earnings are due; the reduction of the amount of any Earnings or otherwise for the release or adverse alteration of any right of that Borrower to any Earnings;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enter into any agreement or arrangement for the release of, or adverse alteration to, any guarantee or Security Interest relating to any Earnings.</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14.17</w:t>
      </w:r>
      <w:r>
        <w:rPr>
          <w:sz w:val="20"/>
          <w:szCs w:val="20"/>
          <w:color w:val="auto"/>
        </w:rPr>
        <w:tab/>
      </w:r>
      <w:r>
        <w:rPr>
          <w:rFonts w:ascii="Arial" w:cs="Arial" w:eastAsia="Arial" w:hAnsi="Arial"/>
          <w:sz w:val="16"/>
          <w:szCs w:val="16"/>
          <w:b w:val="1"/>
          <w:bCs w:val="1"/>
          <w:color w:val="auto"/>
        </w:rPr>
        <w:t>ISPS Code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comply with the ISPS Code and in particular, without limitation, shall:</w:t>
      </w:r>
    </w:p>
    <w:p>
      <w:pPr>
        <w:spacing w:after="0" w:line="131" w:lineRule="exact"/>
        <w:rPr>
          <w:sz w:val="20"/>
          <w:szCs w:val="20"/>
          <w:color w:val="auto"/>
        </w:rPr>
      </w:pPr>
    </w:p>
    <w:p>
      <w:pPr>
        <w:ind w:left="920" w:hanging="912"/>
        <w:spacing w:after="0"/>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procure that the Ship and the company responsible for that Ship’s compliance with the ISPS Code comply with the ISPS Code;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maintain for that Ship an ISSC;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notify the Facility Agent immediately in writing of any actual or threatened withdrawal, suspension, cancellation or modification of the ISSC.</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14.18</w:t>
      </w:r>
      <w:r>
        <w:rPr>
          <w:sz w:val="20"/>
          <w:szCs w:val="20"/>
          <w:color w:val="auto"/>
        </w:rPr>
        <w:tab/>
      </w:r>
      <w:r>
        <w:rPr>
          <w:rFonts w:ascii="Arial" w:cs="Arial" w:eastAsia="Arial" w:hAnsi="Arial"/>
          <w:sz w:val="16"/>
          <w:szCs w:val="16"/>
          <w:b w:val="1"/>
          <w:bCs w:val="1"/>
          <w:color w:val="auto"/>
        </w:rPr>
        <w:t>Time Charter Assignment</w:t>
      </w:r>
    </w:p>
    <w:p>
      <w:pPr>
        <w:spacing w:after="0" w:line="121"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If any Borrower enters into any Charterparty (other than the Tesoro Charters) in respect of its Ship, the relevant Borrower shall execute a Charterparty Assignment in respect of that Charterparty, and shall deliver to the Facility Agent such other documents equivalent to those referred to at paragraphs 3, 4, 6, 7 and 10 of Part A of Schedule 3 hereof as the Facility Agent may require.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248" w:name="page249"/>
    <w:bookmarkEnd w:id="24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14.19</w:t>
      </w:r>
      <w:r>
        <w:rPr>
          <w:sz w:val="20"/>
          <w:szCs w:val="20"/>
          <w:color w:val="auto"/>
        </w:rPr>
        <w:tab/>
      </w:r>
      <w:r>
        <w:rPr>
          <w:rFonts w:ascii="Arial" w:cs="Arial" w:eastAsia="Arial" w:hAnsi="Arial"/>
          <w:sz w:val="15"/>
          <w:szCs w:val="15"/>
          <w:b w:val="1"/>
          <w:bCs w:val="1"/>
          <w:color w:val="auto"/>
        </w:rPr>
        <w:t>Sanctions Provisions</w:t>
      </w:r>
    </w:p>
    <w:p>
      <w:pPr>
        <w:spacing w:after="0" w:line="135" w:lineRule="exact"/>
        <w:rPr>
          <w:sz w:val="20"/>
          <w:szCs w:val="20"/>
          <w:color w:val="auto"/>
        </w:rPr>
      </w:pPr>
    </w:p>
    <w:p>
      <w:pPr>
        <w:ind w:left="920" w:right="40" w:hanging="912"/>
        <w:spacing w:after="0" w:line="259" w:lineRule="auto"/>
        <w:tabs>
          <w:tab w:leader="none" w:pos="9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Borrower shall, and shall procure that the Guarantor and each other Security Party shall, in respect of any charterer of any of the Ships (including any Approved Charterer), shall use all reasonable endeavours to procure that the charterer shall, comply in all respects with all laws to which it may be subject, including, without limitation, all national and international laws, directives, regulations, decrees, rulings and such analogous rules, including, but not limited to, rules relating to Sanctions.</w:t>
      </w:r>
    </w:p>
    <w:p>
      <w:pPr>
        <w:spacing w:after="0" w:line="92" w:lineRule="exact"/>
        <w:rPr>
          <w:rFonts w:ascii="Arial" w:cs="Arial" w:eastAsia="Arial" w:hAnsi="Arial"/>
          <w:sz w:val="18"/>
          <w:szCs w:val="18"/>
          <w:color w:val="auto"/>
        </w:rPr>
      </w:pPr>
    </w:p>
    <w:p>
      <w:pPr>
        <w:ind w:left="920" w:right="120" w:hanging="912"/>
        <w:spacing w:after="0" w:line="277" w:lineRule="auto"/>
        <w:tabs>
          <w:tab w:leader="none" w:pos="9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Borrower undertakes to make the Approved Charterer and all other charterers and operators of each Ship aware of the requirements of this Clause 14.19 and of Clause 10.20 and shall procure that they act in accordance with these requirements.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14.20</w:t>
      </w:r>
      <w:r>
        <w:rPr>
          <w:sz w:val="20"/>
          <w:szCs w:val="20"/>
          <w:color w:val="auto"/>
        </w:rPr>
        <w:tab/>
      </w:r>
      <w:r>
        <w:rPr>
          <w:rFonts w:ascii="Arial" w:cs="Arial" w:eastAsia="Arial" w:hAnsi="Arial"/>
          <w:sz w:val="16"/>
          <w:szCs w:val="16"/>
          <w:b w:val="1"/>
          <w:bCs w:val="1"/>
          <w:color w:val="auto"/>
        </w:rPr>
        <w:t>No variation to Tesoro Charters</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Except as the Facility Agent, acting with the authorisation of the Majority Lenders (or, where specified, all the Lenders) may otherwise permit, there shall be no material amendment to the terms of the Tesoro Charters or either of them. For the purpose of this Clause, a change shall be deemed “</w:t>
      </w:r>
      <w:r>
        <w:rPr>
          <w:rFonts w:ascii="Arial" w:cs="Arial" w:eastAsia="Arial" w:hAnsi="Arial"/>
          <w:sz w:val="18"/>
          <w:szCs w:val="18"/>
          <w:b w:val="1"/>
          <w:bCs w:val="1"/>
          <w:color w:val="auto"/>
        </w:rPr>
        <w:t>material</w:t>
      </w:r>
      <w:r>
        <w:rPr>
          <w:rFonts w:ascii="Arial" w:cs="Arial" w:eastAsia="Arial" w:hAnsi="Arial"/>
          <w:sz w:val="18"/>
          <w:szCs w:val="18"/>
          <w:color w:val="auto"/>
        </w:rPr>
        <w:t>” if it reduces the daily charter gross hire rate or the duration of the Tesoro Charters or if it results in a change in the identity of the Tesoro Charterer.</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SECURITY COVER</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Minimum required security cover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Clause 15.2 applies if the Facility Agent notifies the Borrowers that either Security Cover Ratio is below:</w:t>
      </w:r>
    </w:p>
    <w:p>
      <w:pPr>
        <w:spacing w:after="0" w:line="131" w:lineRule="exact"/>
        <w:rPr>
          <w:sz w:val="20"/>
          <w:szCs w:val="20"/>
          <w:color w:val="auto"/>
        </w:rPr>
      </w:pPr>
    </w:p>
    <w:p>
      <w:pPr>
        <w:ind w:left="920" w:hanging="912"/>
        <w:spacing w:after="0"/>
        <w:tabs>
          <w:tab w:leader="none" w:pos="9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at all times when either Ship is operating under a Tesoro Charter, 125 per cent.;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at all other times, 140 per cent.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Provision of additional security; prepayment</w:t>
      </w:r>
    </w:p>
    <w:p>
      <w:pPr>
        <w:spacing w:after="0" w:line="121" w:lineRule="exact"/>
        <w:rPr>
          <w:sz w:val="20"/>
          <w:szCs w:val="20"/>
          <w:color w:val="auto"/>
        </w:rPr>
      </w:pPr>
    </w:p>
    <w:p>
      <w:pPr>
        <w:ind w:left="920" w:right="40"/>
        <w:spacing w:after="0" w:line="273" w:lineRule="auto"/>
        <w:rPr>
          <w:sz w:val="20"/>
          <w:szCs w:val="20"/>
          <w:color w:val="auto"/>
        </w:rPr>
      </w:pPr>
      <w:r>
        <w:rPr>
          <w:rFonts w:ascii="Arial" w:cs="Arial" w:eastAsia="Arial" w:hAnsi="Arial"/>
          <w:sz w:val="17"/>
          <w:szCs w:val="17"/>
          <w:color w:val="auto"/>
        </w:rPr>
        <w:t>If the Facility Agent serves a notice on the Borrowers under Clause 15.1, the Borrowers shall prepay such part (at least) of the outstanding amount of the Loan as will eliminate the shortfall on or before the date falling 30 days after the date on which the Facility Agent’s notice is served under Clause 15.1 (the “</w:t>
      </w:r>
      <w:r>
        <w:rPr>
          <w:rFonts w:ascii="Arial" w:cs="Arial" w:eastAsia="Arial" w:hAnsi="Arial"/>
          <w:sz w:val="17"/>
          <w:szCs w:val="17"/>
          <w:b w:val="1"/>
          <w:bCs w:val="1"/>
          <w:color w:val="auto"/>
        </w:rPr>
        <w:t>Prepayment Date</w:t>
      </w:r>
      <w:r>
        <w:rPr>
          <w:rFonts w:ascii="Arial" w:cs="Arial" w:eastAsia="Arial" w:hAnsi="Arial"/>
          <w:sz w:val="17"/>
          <w:szCs w:val="17"/>
          <w:color w:val="auto"/>
        </w:rPr>
        <w:t>”) unless at least 1 Business Day before the Prepayment Date they have provided, or ensured that a third party has provided, additional security acceptable to the Majority Lenders and which, in the opinion of the Majority Lenders, has a net realisable value at least equal to the shortfall and is documented in such terms and securing such part of the Loan and such Swap Exposure as the Facility Agent may, with authorisation from the Majority Lenders, approve or require.</w:t>
      </w:r>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Requirement for additional documents</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Borrowers shall not be deemed to have complied with Clause 15.2 above until the Facility Agent has received in connection with the additional security certified copies of documents of the kinds referred to in paragraphs 3, 4 and 5 of Schedule 3, Part A and such legal opinions in terms acceptable to the Majority Lenders from such lawyers as they may select.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Valuation of Ships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Value of a Ship at any date is that shown by the arithmetic average of two valuations each prepared:</w:t>
      </w:r>
    </w:p>
    <w:p>
      <w:pPr>
        <w:spacing w:after="0" w:line="131" w:lineRule="exact"/>
        <w:rPr>
          <w:sz w:val="20"/>
          <w:szCs w:val="20"/>
          <w:color w:val="auto"/>
        </w:rPr>
      </w:pPr>
    </w:p>
    <w:p>
      <w:pPr>
        <w:ind w:left="920" w:hanging="912"/>
        <w:spacing w:after="0"/>
        <w:tabs>
          <w:tab w:leader="none" w:pos="9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as at a date not more than 15 days previously and, for the purposes of Clause 15.9, each Compliance Date and each Dropdown Date;</w:t>
      </w:r>
    </w:p>
    <w:p>
      <w:pPr>
        <w:spacing w:after="0" w:line="142" w:lineRule="exact"/>
        <w:rPr>
          <w:rFonts w:ascii="Arial" w:cs="Arial" w:eastAsia="Arial" w:hAnsi="Arial"/>
          <w:sz w:val="17"/>
          <w:szCs w:val="17"/>
          <w:color w:val="auto"/>
        </w:rPr>
      </w:pPr>
    </w:p>
    <w:p>
      <w:pPr>
        <w:ind w:left="920" w:hanging="912"/>
        <w:spacing w:after="0"/>
        <w:tabs>
          <w:tab w:leader="none" w:pos="9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by an Approved Broker selected, obtained by, and addressed to the Facility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0" w:right="259" w:bottom="1440" w:gutter="0" w:footer="0" w:header="0"/>
        </w:sectPr>
      </w:pPr>
    </w:p>
    <w:bookmarkStart w:id="249" w:name="page250"/>
    <w:bookmarkEnd w:id="249"/>
    <w:p>
      <w:pPr>
        <w:ind w:left="920" w:hanging="912"/>
        <w:spacing w:after="0"/>
        <w:tabs>
          <w:tab w:leader="none" w:pos="9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or without physical inspection of the relevant Ship (as the Facility Agent may require);</w:t>
      </w:r>
    </w:p>
    <w:p>
      <w:pPr>
        <w:spacing w:after="0" w:line="130" w:lineRule="exact"/>
        <w:rPr>
          <w:rFonts w:ascii="Arial" w:cs="Arial" w:eastAsia="Arial" w:hAnsi="Arial"/>
          <w:sz w:val="18"/>
          <w:szCs w:val="18"/>
          <w:color w:val="auto"/>
        </w:rPr>
      </w:pPr>
    </w:p>
    <w:p>
      <w:pPr>
        <w:ind w:left="920" w:right="40" w:hanging="912"/>
        <w:spacing w:after="0" w:line="277" w:lineRule="auto"/>
        <w:tabs>
          <w:tab w:leader="none" w:pos="9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after deducting the estimated amount of the usual and reasonable expenses which would be incurred in connection with the sale,</w:t>
      </w:r>
    </w:p>
    <w:p>
      <w:pPr>
        <w:spacing w:after="0" w:line="113" w:lineRule="exact"/>
        <w:rPr>
          <w:rFonts w:ascii="Arial" w:cs="Arial" w:eastAsia="Arial" w:hAnsi="Arial"/>
          <w:sz w:val="18"/>
          <w:szCs w:val="18"/>
          <w:color w:val="auto"/>
        </w:rPr>
      </w:pPr>
    </w:p>
    <w:p>
      <w:pPr>
        <w:ind w:left="92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if the difference between the 2 valuations obtained at any one time pursuant to this Clause 15.4 is greater than 15 per cent.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lower valuation of such valuations, a valuation shall be commissioned from a third Approved Broker appointed by the Facility Agent. Such valuation shall be conducted in accordance with this Clause 15.4 and the Market Value of that Ship in such circumstances shall be the average of the initial 2 valuations and the valuation provided by the third Approved Broker.</w:t>
      </w:r>
    </w:p>
    <w:p>
      <w:pPr>
        <w:spacing w:after="0" w:line="7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 this Clause 15.4 “</w:t>
      </w:r>
      <w:r>
        <w:rPr>
          <w:rFonts w:ascii="Arial" w:cs="Arial" w:eastAsia="Arial" w:hAnsi="Arial"/>
          <w:sz w:val="18"/>
          <w:szCs w:val="18"/>
          <w:b w:val="1"/>
          <w:bCs w:val="1"/>
          <w:color w:val="auto"/>
        </w:rPr>
        <w:t>Compliance Date</w:t>
      </w:r>
      <w:r>
        <w:rPr>
          <w:rFonts w:ascii="Arial" w:cs="Arial" w:eastAsia="Arial" w:hAnsi="Arial"/>
          <w:sz w:val="18"/>
          <w:szCs w:val="18"/>
          <w:color w:val="auto"/>
        </w:rPr>
        <w:t>” means 30 June and 31 December in each financial year of the Borrowers.</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Value of additional security</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The net realisable value of any additional security which is provided under Clause 15.2 and which consists of a Security Interest over a vessel shall be that shown by a valuation complying with the requirements of Clause 15.4.</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Valuations binding</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Any valuation under Clause 15.2, 15.4 or 15.5 shall be binding and conclusive as regards the Borrowers, as shall be any valuation which the Majority Lenders make of a security which does not consist of or include a Security Interest.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Borrowers shall promptly provide the Facility Agent and any Approved Broker or expert acting under Clause 15.4 or 15.5 with any information which the Facility Agent or the Approved Broker or expert may request for the purposes of the valuation; and, if the Borrowers fail to provide the information by the date specified in the request, the valuation may be made on any basis and assumptions which the Approved Broker or the Majority Lenders (or the expert appointed by them) consider prudent.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5"/>
          <w:szCs w:val="15"/>
          <w:b w:val="1"/>
          <w:bCs w:val="1"/>
          <w:color w:val="auto"/>
        </w:rPr>
        <w:t>Payment of valuation expenses</w:t>
      </w:r>
    </w:p>
    <w:p>
      <w:pPr>
        <w:spacing w:after="0" w:line="121" w:lineRule="exact"/>
        <w:rPr>
          <w:sz w:val="20"/>
          <w:szCs w:val="20"/>
          <w:color w:val="auto"/>
        </w:rPr>
      </w:pPr>
    </w:p>
    <w:p>
      <w:pPr>
        <w:ind w:left="920" w:right="240"/>
        <w:spacing w:after="0" w:line="312" w:lineRule="auto"/>
        <w:rPr>
          <w:sz w:val="20"/>
          <w:szCs w:val="20"/>
          <w:color w:val="auto"/>
        </w:rPr>
      </w:pPr>
      <w:r>
        <w:rPr>
          <w:rFonts w:ascii="Arial" w:cs="Arial" w:eastAsia="Arial" w:hAnsi="Arial"/>
          <w:sz w:val="16"/>
          <w:szCs w:val="16"/>
          <w:color w:val="auto"/>
        </w:rPr>
        <w:t>Without prejudice to the generality of the Borrowers’ obligations under Clauses 20.2, 20.3 and 21.4, the Borrowers shall, on demand, pay the Facility Agent the amount of the reasonable fees and expenses of any Approved Broker or expert instructed by the Facility Agent under this Clause and all reasonable legal and other expenses incurred by any Creditor Party in connection with any matter arising out of this Clause.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5"/>
          <w:szCs w:val="15"/>
          <w:b w:val="1"/>
          <w:bCs w:val="1"/>
          <w:color w:val="auto"/>
        </w:rPr>
        <w:t>Frequency of valuations</w:t>
      </w:r>
    </w:p>
    <w:p>
      <w:pPr>
        <w:spacing w:after="0" w:line="121" w:lineRule="exact"/>
        <w:rPr>
          <w:sz w:val="20"/>
          <w:szCs w:val="20"/>
          <w:color w:val="auto"/>
        </w:rPr>
      </w:pPr>
    </w:p>
    <w:p>
      <w:pPr>
        <w:ind w:left="920" w:right="20"/>
        <w:spacing w:after="0" w:line="272" w:lineRule="auto"/>
        <w:rPr>
          <w:sz w:val="20"/>
          <w:szCs w:val="20"/>
          <w:color w:val="auto"/>
        </w:rPr>
      </w:pPr>
      <w:r>
        <w:rPr>
          <w:rFonts w:ascii="Arial" w:cs="Arial" w:eastAsia="Arial" w:hAnsi="Arial"/>
          <w:sz w:val="17"/>
          <w:szCs w:val="17"/>
          <w:color w:val="auto"/>
        </w:rPr>
        <w:t xml:space="preserve">The Borrowers shall provide the Facility Agent with valuations of the Ships at such times as the Majority Lenders shall reasonably deem necessary and, in any event, on the dates on which the Guarantor or Substitute Guarantor as may be relevant provides a Compliance Certificate (as such term is defined in the Guarantee or New Guarantee, as the case may be) in accordance with Clause 12.5 of the Guarantee or, as the case may be, the corresponding clause of the New Guarantee and on each date of a Dropdown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so long as no Event of Default has occurred, the Borrowers shall not be obliged to pay for more than two sets of valuations of each Ship during each calendar year unless a breach in the applicable Security Cover Ratio is identified by any set of valuation obtained by the Facility Agent, in which case the Borrowers shall pay for all sets of valuations identifying such breach.</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274" w:right="319" w:bottom="1440" w:gutter="0" w:footer="0" w:header="0"/>
        </w:sectPr>
      </w:pPr>
    </w:p>
    <w:bookmarkStart w:id="250" w:name="page251"/>
    <w:bookmarkEnd w:id="250"/>
    <w:p>
      <w:pPr>
        <w:ind w:left="920" w:hanging="912"/>
        <w:spacing w:after="0"/>
        <w:tabs>
          <w:tab w:leader="none" w:pos="92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AND CALCULATIONS</w:t>
      </w:r>
    </w:p>
    <w:p>
      <w:pPr>
        <w:spacing w:after="0" w:line="130" w:lineRule="exact"/>
        <w:rPr>
          <w:rFonts w:ascii="Arial" w:cs="Arial" w:eastAsia="Arial" w:hAnsi="Arial"/>
          <w:sz w:val="18"/>
          <w:szCs w:val="18"/>
          <w:b w:val="1"/>
          <w:bCs w:val="1"/>
          <w:color w:val="auto"/>
        </w:rPr>
      </w:pPr>
    </w:p>
    <w:p>
      <w:pPr>
        <w:ind w:left="920" w:right="7680" w:hanging="913"/>
        <w:spacing w:after="0" w:line="434" w:lineRule="auto"/>
        <w:rPr>
          <w:rFonts w:ascii="Arial" w:cs="Arial" w:eastAsia="Arial" w:hAnsi="Arial"/>
          <w:sz w:val="18"/>
          <w:szCs w:val="18"/>
          <w:b w:val="1"/>
          <w:bCs w:val="1"/>
          <w:color w:val="auto"/>
        </w:rPr>
      </w:pPr>
      <w:r>
        <w:rPr>
          <w:rFonts w:ascii="Arial" w:cs="Arial" w:eastAsia="Arial" w:hAnsi="Arial"/>
          <w:sz w:val="18"/>
          <w:szCs w:val="18"/>
          <w:b w:val="1"/>
          <w:bCs w:val="1"/>
          <w:color w:val="auto"/>
        </w:rPr>
        <w:t>16.1</w:t>
      </w:r>
      <w:r>
        <w:rPr>
          <w:rFonts w:ascii="Arial" w:cs="Arial" w:eastAsia="Arial" w:hAnsi="Arial"/>
          <w:sz w:val="16"/>
          <w:szCs w:val="16"/>
          <w:b w:val="1"/>
          <w:bCs w:val="1"/>
          <w:color w:val="auto"/>
        </w:rPr>
        <w:t xml:space="preserve">Currency and method of payments </w:t>
      </w:r>
      <w:r>
        <w:rPr>
          <w:rFonts w:ascii="Arial" w:cs="Arial" w:eastAsia="Arial" w:hAnsi="Arial"/>
          <w:sz w:val="16"/>
          <w:szCs w:val="16"/>
          <w:color w:val="auto"/>
        </w:rPr>
        <w:t>All payments to be made:</w:t>
      </w:r>
    </w:p>
    <w:p>
      <w:pPr>
        <w:ind w:left="920" w:hanging="912"/>
        <w:spacing w:after="0"/>
        <w:tabs>
          <w:tab w:leader="none" w:pos="9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by the Lenders to the Facility Agent;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by the Borrowers to the Facility Agent, the Security Trustee or any Lender,</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under a Finance Document shall be made to the Facility Agent or to the Security Trustee, in the case of an amount payable to it: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by not later than 11.00 a.m. (New York City time) on the due date;</w:t>
      </w:r>
    </w:p>
    <w:p>
      <w:pPr>
        <w:spacing w:after="0" w:line="130" w:lineRule="exact"/>
        <w:rPr>
          <w:rFonts w:ascii="Arial" w:cs="Arial" w:eastAsia="Arial" w:hAnsi="Arial"/>
          <w:sz w:val="18"/>
          <w:szCs w:val="18"/>
          <w:color w:val="auto"/>
        </w:rPr>
      </w:pPr>
    </w:p>
    <w:p>
      <w:pPr>
        <w:ind w:left="1700" w:right="180" w:hanging="787"/>
        <w:spacing w:after="0" w:line="264" w:lineRule="auto"/>
        <w:tabs>
          <w:tab w:leader="none" w:pos="17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 same day Dollar funds settled through the New York Clearing House Interbank Payments System (or in such other Dollar funds and/or settled in such other manner as the Facility Agent shall specify as being customary at the time for the settlement of international transactions of the type contemplated by this Agreement);</w:t>
      </w:r>
    </w:p>
    <w:p>
      <w:pPr>
        <w:spacing w:after="0" w:line="86" w:lineRule="exact"/>
        <w:rPr>
          <w:rFonts w:ascii="Arial" w:cs="Arial" w:eastAsia="Arial" w:hAnsi="Arial"/>
          <w:sz w:val="18"/>
          <w:szCs w:val="18"/>
          <w:color w:val="auto"/>
        </w:rPr>
      </w:pPr>
    </w:p>
    <w:p>
      <w:pPr>
        <w:ind w:left="1700" w:right="200" w:hanging="787"/>
        <w:spacing w:after="0" w:line="277" w:lineRule="auto"/>
        <w:tabs>
          <w:tab w:leader="none" w:pos="17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 the case of an amount payable by a Lender to the Facility Agent or by the Borrowers to the Facility Agent or any Lender, to the account of the Facility Agent with the following payment instructions:</w:t>
      </w:r>
    </w:p>
    <w:p>
      <w:pPr>
        <w:spacing w:after="0" w:line="170"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w w:val="97"/>
              </w:rPr>
              <w:t>US$ Correspondent Account</w:t>
            </w: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w w:val="90"/>
              </w:rPr>
              <w:t>JP Morgan Chase Bank NY</w:t>
            </w:r>
          </w:p>
        </w:tc>
        <w:tc>
          <w:tcPr>
            <w:tcW w:w="2100" w:type="dxa"/>
            <w:vAlign w:val="bottom"/>
          </w:tcPr>
          <w:p>
            <w:pPr>
              <w:spacing w:after="0"/>
              <w:rPr>
                <w:sz w:val="20"/>
                <w:szCs w:val="20"/>
                <w:color w:val="auto"/>
              </w:rPr>
            </w:pP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Swift code</w:t>
            </w: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CHASUS33</w:t>
            </w:r>
          </w:p>
        </w:tc>
        <w:tc>
          <w:tcPr>
            <w:tcW w:w="2100" w:type="dxa"/>
            <w:vAlign w:val="bottom"/>
          </w:tcPr>
          <w:p>
            <w:pPr>
              <w:spacing w:after="0"/>
              <w:rPr>
                <w:sz w:val="24"/>
                <w:szCs w:val="24"/>
                <w:color w:val="auto"/>
              </w:rPr>
            </w:pP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Beneficiary Bank</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Crédit Agricole Corporate and Investment Bank</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Swift code</w:t>
            </w:r>
          </w:p>
        </w:tc>
        <w:tc>
          <w:tcPr>
            <w:tcW w:w="1040" w:type="dxa"/>
            <w:vAlign w:val="bottom"/>
          </w:tcPr>
          <w:p>
            <w:pPr>
              <w:ind w:left="180"/>
              <w:spacing w:after="0"/>
              <w:rPr>
                <w:sz w:val="20"/>
                <w:szCs w:val="20"/>
                <w:color w:val="auto"/>
              </w:rPr>
            </w:pPr>
            <w:r>
              <w:rPr>
                <w:rFonts w:ascii="Arial" w:cs="Arial" w:eastAsia="Arial" w:hAnsi="Arial"/>
                <w:sz w:val="18"/>
                <w:szCs w:val="18"/>
                <w:color w:val="auto"/>
                <w:w w:val="93"/>
              </w:rPr>
              <w:t>BSUIFRPP</w:t>
            </w: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Account Number</w:t>
            </w:r>
          </w:p>
        </w:tc>
        <w:tc>
          <w:tcPr>
            <w:tcW w:w="1040" w:type="dxa"/>
            <w:vAlign w:val="bottom"/>
          </w:tcPr>
          <w:p>
            <w:pPr>
              <w:ind w:left="200"/>
              <w:spacing w:after="0"/>
              <w:rPr>
                <w:sz w:val="20"/>
                <w:szCs w:val="20"/>
                <w:color w:val="auto"/>
              </w:rPr>
            </w:pPr>
            <w:r>
              <w:rPr>
                <w:rFonts w:ascii="Arial" w:cs="Arial" w:eastAsia="Arial" w:hAnsi="Arial"/>
                <w:sz w:val="18"/>
                <w:szCs w:val="18"/>
                <w:color w:val="auto"/>
                <w:w w:val="90"/>
              </w:rPr>
              <w:t>786419036</w:t>
            </w: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Reference</w:t>
            </w:r>
          </w:p>
        </w:tc>
        <w:tc>
          <w:tcPr>
            <w:tcW w:w="4360" w:type="dxa"/>
            <w:vAlign w:val="bottom"/>
            <w:gridSpan w:val="3"/>
          </w:tcPr>
          <w:p>
            <w:pPr>
              <w:ind w:left="180"/>
              <w:spacing w:after="0"/>
              <w:rPr>
                <w:sz w:val="20"/>
                <w:szCs w:val="20"/>
                <w:color w:val="auto"/>
              </w:rPr>
            </w:pPr>
            <w:r>
              <w:rPr>
                <w:rFonts w:ascii="Arial" w:cs="Arial" w:eastAsia="Arial" w:hAnsi="Arial"/>
                <w:sz w:val="18"/>
                <w:szCs w:val="18"/>
                <w:color w:val="auto"/>
                <w:w w:val="91"/>
              </w:rPr>
              <w:t>Middle Office Instance Shipping Account 00 117 313 255</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IBAN</w:t>
            </w:r>
          </w:p>
        </w:tc>
        <w:tc>
          <w:tcPr>
            <w:tcW w:w="1040" w:type="dxa"/>
            <w:vAlign w:val="bottom"/>
          </w:tcPr>
          <w:p>
            <w:pPr>
              <w:ind w:left="220"/>
              <w:spacing w:after="0"/>
              <w:rPr>
                <w:sz w:val="20"/>
                <w:szCs w:val="20"/>
                <w:color w:val="auto"/>
              </w:rPr>
            </w:pPr>
            <w:r>
              <w:rPr>
                <w:rFonts w:ascii="Arial" w:cs="Arial" w:eastAsia="Arial" w:hAnsi="Arial"/>
                <w:sz w:val="18"/>
                <w:szCs w:val="18"/>
                <w:color w:val="auto"/>
                <w:w w:val="89"/>
              </w:rPr>
              <w:t>FR76 3148</w:t>
            </w:r>
          </w:p>
        </w:tc>
        <w:tc>
          <w:tcPr>
            <w:tcW w:w="1220" w:type="dxa"/>
            <w:vAlign w:val="bottom"/>
          </w:tcPr>
          <w:p>
            <w:pPr>
              <w:jc w:val="right"/>
              <w:spacing w:after="0"/>
              <w:rPr>
                <w:sz w:val="20"/>
                <w:szCs w:val="20"/>
                <w:color w:val="auto"/>
              </w:rPr>
            </w:pPr>
            <w:r>
              <w:rPr>
                <w:rFonts w:ascii="Arial" w:cs="Arial" w:eastAsia="Arial" w:hAnsi="Arial"/>
                <w:sz w:val="18"/>
                <w:szCs w:val="18"/>
                <w:color w:val="auto"/>
                <w:w w:val="89"/>
              </w:rPr>
              <w:t>9000 1000 1173</w:t>
            </w:r>
          </w:p>
        </w:tc>
        <w:tc>
          <w:tcPr>
            <w:tcW w:w="2100" w:type="dxa"/>
            <w:vAlign w:val="bottom"/>
          </w:tcPr>
          <w:p>
            <w:pPr>
              <w:jc w:val="right"/>
              <w:ind w:right="1330"/>
              <w:spacing w:after="0"/>
              <w:rPr>
                <w:sz w:val="20"/>
                <w:szCs w:val="20"/>
                <w:color w:val="auto"/>
              </w:rPr>
            </w:pPr>
            <w:r>
              <w:rPr>
                <w:rFonts w:ascii="Arial" w:cs="Arial" w:eastAsia="Arial" w:hAnsi="Arial"/>
                <w:sz w:val="18"/>
                <w:szCs w:val="18"/>
                <w:color w:val="auto"/>
                <w:w w:val="87"/>
              </w:rPr>
              <w:t>1325 547</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Attention</w:t>
            </w:r>
          </w:p>
        </w:tc>
        <w:tc>
          <w:tcPr>
            <w:tcW w:w="4360" w:type="dxa"/>
            <w:vAlign w:val="bottom"/>
            <w:gridSpan w:val="3"/>
          </w:tcPr>
          <w:p>
            <w:pPr>
              <w:ind w:left="180"/>
              <w:spacing w:after="0"/>
              <w:rPr>
                <w:sz w:val="20"/>
                <w:szCs w:val="20"/>
                <w:color w:val="auto"/>
              </w:rPr>
            </w:pPr>
            <w:r>
              <w:rPr>
                <w:rFonts w:ascii="Arial" w:cs="Arial" w:eastAsia="Arial" w:hAnsi="Arial"/>
                <w:sz w:val="18"/>
                <w:szCs w:val="18"/>
                <w:color w:val="auto"/>
              </w:rPr>
              <w:t>C. Costil - Shipping Dept. Asterias and Scorpio</w:t>
            </w:r>
          </w:p>
        </w:tc>
      </w:tr>
    </w:tbl>
    <w:p>
      <w:pPr>
        <w:spacing w:after="0" w:line="202" w:lineRule="exact"/>
        <w:rPr>
          <w:sz w:val="20"/>
          <w:szCs w:val="20"/>
          <w:color w:val="auto"/>
        </w:rPr>
      </w:pPr>
    </w:p>
    <w:p>
      <w:pPr>
        <w:ind w:left="1720" w:right="340"/>
        <w:spacing w:after="0" w:line="277" w:lineRule="auto"/>
        <w:rPr>
          <w:sz w:val="20"/>
          <w:szCs w:val="20"/>
          <w:color w:val="auto"/>
        </w:rPr>
      </w:pPr>
      <w:r>
        <w:rPr>
          <w:rFonts w:ascii="Arial" w:cs="Arial" w:eastAsia="Arial" w:hAnsi="Arial"/>
          <w:sz w:val="18"/>
          <w:szCs w:val="18"/>
          <w:color w:val="auto"/>
        </w:rPr>
        <w:t>or to such other account with such other bank as the Facility Agent may from time to time notify to the Borrowers and the other Creditor Parties; and</w:t>
      </w:r>
    </w:p>
    <w:p>
      <w:pPr>
        <w:spacing w:after="0" w:line="76" w:lineRule="exact"/>
        <w:rPr>
          <w:sz w:val="20"/>
          <w:szCs w:val="20"/>
          <w:color w:val="auto"/>
        </w:rPr>
      </w:pPr>
    </w:p>
    <w:p>
      <w:pPr>
        <w:ind w:left="1700" w:hanging="787"/>
        <w:spacing w:after="0" w:line="277" w:lineRule="auto"/>
        <w:tabs>
          <w:tab w:leader="none" w:pos="17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case of an amount payable to the Security Trustee, to such account as it may from time to time notify to the Borrowers and the other Creditor Parties.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Payment on non-Business Day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payment by a Borrower under a Finance Document would otherwise fall due on a day which is not a Business Day:</w:t>
      </w:r>
    </w:p>
    <w:p>
      <w:pPr>
        <w:spacing w:after="0" w:line="131" w:lineRule="exact"/>
        <w:rPr>
          <w:sz w:val="20"/>
          <w:szCs w:val="20"/>
          <w:color w:val="auto"/>
        </w:rPr>
      </w:pPr>
    </w:p>
    <w:p>
      <w:pPr>
        <w:ind w:left="5620" w:right="5260" w:hanging="5612"/>
        <w:spacing w:after="0" w:line="536" w:lineRule="auto"/>
        <w:tabs>
          <w:tab w:leader="none" w:pos="90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due date shall be extended to the next succeeding Business Day; or 61</w:t>
      </w:r>
    </w:p>
    <w:p>
      <w:pPr>
        <w:sectPr>
          <w:pgSz w:w="11900" w:h="16838" w:orient="portrait"/>
          <w:cols w:equalWidth="0" w:num="1">
            <w:col w:w="11260"/>
          </w:cols>
          <w:pgMar w:left="240" w:top="270" w:right="399" w:bottom="1440" w:gutter="0" w:footer="0" w:header="0"/>
        </w:sectPr>
      </w:pPr>
    </w:p>
    <w:bookmarkStart w:id="251" w:name="page252"/>
    <w:bookmarkEnd w:id="251"/>
    <w:p>
      <w:pPr>
        <w:ind w:left="920" w:right="640" w:hanging="912"/>
        <w:spacing w:after="0" w:line="277" w:lineRule="auto"/>
        <w:tabs>
          <w:tab w:leader="none" w:pos="9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next succeeding Business Day falls in the next calendar month, the due date shall be brought forward to the immediately preceding Business Day,</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interest shall be payable during any extension under paragraph (a) at the rate payable on the original due date.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Basis for calculation of periodic payments</w:t>
      </w:r>
    </w:p>
    <w:p>
      <w:pPr>
        <w:spacing w:after="0" w:line="121" w:lineRule="exact"/>
        <w:rPr>
          <w:sz w:val="20"/>
          <w:szCs w:val="20"/>
          <w:color w:val="auto"/>
        </w:rPr>
      </w:pPr>
    </w:p>
    <w:p>
      <w:pPr>
        <w:ind w:left="920" w:right="320"/>
        <w:spacing w:after="0" w:line="308" w:lineRule="auto"/>
        <w:rPr>
          <w:sz w:val="20"/>
          <w:szCs w:val="20"/>
          <w:color w:val="auto"/>
        </w:rPr>
      </w:pPr>
      <w:r>
        <w:rPr>
          <w:rFonts w:ascii="Arial" w:cs="Arial" w:eastAsia="Arial" w:hAnsi="Arial"/>
          <w:sz w:val="17"/>
          <w:szCs w:val="17"/>
          <w:color w:val="auto"/>
        </w:rPr>
        <w:t>All interest and commitment fee and any other payments under any Finance Document which are of an annual or periodic nature shall accrue from day to day and shall be calculated on the basis of the actual number of days elapsed and a 360 day year.</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Distribution of payments to Creditor Parties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Clauses 16.5, 16.6 and 16.7:</w:t>
      </w:r>
    </w:p>
    <w:p>
      <w:pPr>
        <w:spacing w:after="0" w:line="131" w:lineRule="exact"/>
        <w:rPr>
          <w:sz w:val="20"/>
          <w:szCs w:val="20"/>
          <w:color w:val="auto"/>
        </w:rPr>
      </w:pPr>
    </w:p>
    <w:p>
      <w:pPr>
        <w:ind w:left="920" w:right="80" w:hanging="912"/>
        <w:spacing w:after="0" w:line="259" w:lineRule="auto"/>
        <w:tabs>
          <w:tab w:leader="none" w:pos="9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amount received by the Facility Agent under a Finance Document for distribution or remittance to a Lender, the Swap Bank or the Security Trustee shall be made available by the Facility Agent to that Lender, the Swap Bank or, as the case may be or the Security Trustee by payment, with funds having the same value as the funds received, to such account as the Lender, the Swap Bank or the Security Trustee may have notified to the Facility Agent not less than 5 Business Days previously; and</w:t>
      </w:r>
    </w:p>
    <w:p>
      <w:pPr>
        <w:spacing w:after="0" w:line="92" w:lineRule="exact"/>
        <w:rPr>
          <w:rFonts w:ascii="Arial" w:cs="Arial" w:eastAsia="Arial" w:hAnsi="Arial"/>
          <w:sz w:val="18"/>
          <w:szCs w:val="18"/>
          <w:color w:val="auto"/>
        </w:rPr>
      </w:pPr>
    </w:p>
    <w:p>
      <w:pPr>
        <w:ind w:left="920" w:right="520" w:hanging="912"/>
        <w:spacing w:after="0" w:line="342" w:lineRule="auto"/>
        <w:tabs>
          <w:tab w:leader="none" w:pos="92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amounts to be applied in satisfying amounts of a particular category which are due to the Lenders and/or the Swap Bank generally shall be distributed by the Facility Agent to each Lender and the Swap Bank pro rata to the amount in that category which is due to it.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Permitted deductions by Facility Agent</w:t>
      </w:r>
    </w:p>
    <w:p>
      <w:pPr>
        <w:spacing w:after="0" w:line="121" w:lineRule="exact"/>
        <w:rPr>
          <w:sz w:val="20"/>
          <w:szCs w:val="20"/>
          <w:color w:val="auto"/>
        </w:rPr>
      </w:pPr>
    </w:p>
    <w:p>
      <w:pPr>
        <w:ind w:left="920" w:right="160"/>
        <w:spacing w:after="0" w:line="257" w:lineRule="auto"/>
        <w:rPr>
          <w:sz w:val="20"/>
          <w:szCs w:val="20"/>
          <w:color w:val="auto"/>
        </w:rPr>
      </w:pPr>
      <w:r>
        <w:rPr>
          <w:rFonts w:ascii="Arial" w:cs="Arial" w:eastAsia="Arial" w:hAnsi="Arial"/>
          <w:sz w:val="18"/>
          <w:szCs w:val="18"/>
          <w:color w:val="auto"/>
        </w:rPr>
        <w:t>Notwithstanding any other provision of this Agreement or any other Finance Document, the Facility Agent may, before making an amount available to a Lender or the Swap Bank, deduct and withhold from that amount (i) any sum which is then due and payable to the Facility Agent from that Lender or the Swap Bank under any Finance Document or any sum which the Facility Agent is then entitled under any Finance Document to require that Lender or the Swap Bank to pay on demand and (ii) any amount the Facility Agent determines is required to be deducted and withheld under FATCA.</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b w:val="1"/>
          <w:bCs w:val="1"/>
          <w:color w:val="auto"/>
        </w:rPr>
        <w:t>Facility Agent only obliged to pay when monies received</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Notwithstanding any other provision of this Agreement or any other Finance Document, the Facility Agent shall not be obliged to make available to the Borrowers or, following a Dropdown, to the Borrowers that are members of the relevant Group, or any Lender or Swap Bank any sum which the Facility Agent is expecting to receive for remittance or distribution to the Borrowers or that Lender or the Swap Bank until the Facility Agent has satisfied itself that it has received that sum.</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b w:val="1"/>
          <w:bCs w:val="1"/>
          <w:color w:val="auto"/>
        </w:rPr>
        <w:t>Refund to Facility Agent of monies not received</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If and to the extent that the Facility Agent makes available a sum to the Borrowers or a Lender or the Swap Bank, without first having received that sum, the Borrowers or (as the case may be) the Lender or the Swap Bank concerned shall, on demand:</w:t>
      </w:r>
    </w:p>
    <w:p>
      <w:pPr>
        <w:spacing w:after="0" w:line="76" w:lineRule="exact"/>
        <w:rPr>
          <w:sz w:val="20"/>
          <w:szCs w:val="20"/>
          <w:color w:val="auto"/>
        </w:rPr>
      </w:pPr>
    </w:p>
    <w:p>
      <w:pPr>
        <w:ind w:left="920" w:hanging="912"/>
        <w:spacing w:after="0"/>
        <w:tabs>
          <w:tab w:leader="none" w:pos="9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refund the sum in full to the Facility Agent; and</w:t>
      </w:r>
    </w:p>
    <w:p>
      <w:pPr>
        <w:spacing w:after="0" w:line="130" w:lineRule="exact"/>
        <w:rPr>
          <w:rFonts w:ascii="Arial" w:cs="Arial" w:eastAsia="Arial" w:hAnsi="Arial"/>
          <w:sz w:val="18"/>
          <w:szCs w:val="18"/>
          <w:color w:val="auto"/>
        </w:rPr>
      </w:pPr>
    </w:p>
    <w:p>
      <w:pPr>
        <w:ind w:left="920" w:right="300" w:hanging="912"/>
        <w:spacing w:after="0" w:line="308" w:lineRule="auto"/>
        <w:tabs>
          <w:tab w:leader="none" w:pos="92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pay to the Facility Agent the amount (as certified by the Facility Agent) which will indemnify the Facility Agent against any funding or other loss, liability or expense incurred by the Facility Agent as a result of making the sum available before receiving it.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252" w:name="page253"/>
    <w:bookmarkEnd w:id="25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16.8</w:t>
      </w:r>
      <w:r>
        <w:rPr>
          <w:sz w:val="20"/>
          <w:szCs w:val="20"/>
          <w:color w:val="auto"/>
        </w:rPr>
        <w:tab/>
      </w:r>
      <w:r>
        <w:rPr>
          <w:rFonts w:ascii="Arial" w:cs="Arial" w:eastAsia="Arial" w:hAnsi="Arial"/>
          <w:sz w:val="15"/>
          <w:szCs w:val="15"/>
          <w:b w:val="1"/>
          <w:bCs w:val="1"/>
          <w:color w:val="auto"/>
        </w:rPr>
        <w:t>Facility Agent may assume receipt</w:t>
      </w:r>
    </w:p>
    <w:p>
      <w:pPr>
        <w:spacing w:after="0" w:line="121" w:lineRule="exact"/>
        <w:rPr>
          <w:sz w:val="20"/>
          <w:szCs w:val="20"/>
          <w:color w:val="auto"/>
        </w:rPr>
      </w:pPr>
    </w:p>
    <w:p>
      <w:pPr>
        <w:ind w:left="920" w:right="260"/>
        <w:spacing w:after="0" w:line="277" w:lineRule="auto"/>
        <w:rPr>
          <w:sz w:val="20"/>
          <w:szCs w:val="20"/>
          <w:color w:val="auto"/>
        </w:rPr>
      </w:pPr>
      <w:r>
        <w:rPr>
          <w:rFonts w:ascii="Arial" w:cs="Arial" w:eastAsia="Arial" w:hAnsi="Arial"/>
          <w:sz w:val="18"/>
          <w:szCs w:val="18"/>
          <w:color w:val="auto"/>
        </w:rPr>
        <w:t>Clause 16.7 shall not affect any claim which the Facility Agent has under the law of restitution and applies irrespective of whether the Facility Agent had any form of notice that it had not received the sum which it made available.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b w:val="1"/>
          <w:bCs w:val="1"/>
          <w:color w:val="auto"/>
        </w:rPr>
        <w:t>Creditor Party accounts</w:t>
      </w:r>
    </w:p>
    <w:p>
      <w:pPr>
        <w:spacing w:after="0" w:line="121"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Each Creditor Party shall maintain accounts showing the amounts owing to it by the Borrowers and each Security Party under the Finance Documents and all payments in respect of those amounts made by the Borrowers and any Security Party.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16.10</w:t>
      </w:r>
      <w:r>
        <w:rPr>
          <w:sz w:val="20"/>
          <w:szCs w:val="20"/>
          <w:color w:val="auto"/>
        </w:rPr>
        <w:tab/>
      </w:r>
      <w:r>
        <w:rPr>
          <w:rFonts w:ascii="Arial" w:cs="Arial" w:eastAsia="Arial" w:hAnsi="Arial"/>
          <w:sz w:val="16"/>
          <w:szCs w:val="16"/>
          <w:b w:val="1"/>
          <w:bCs w:val="1"/>
          <w:color w:val="auto"/>
        </w:rPr>
        <w:t>Facility Agent’s memorandum account</w:t>
      </w:r>
    </w:p>
    <w:p>
      <w:pPr>
        <w:spacing w:after="0" w:line="121" w:lineRule="exact"/>
        <w:rPr>
          <w:sz w:val="20"/>
          <w:szCs w:val="20"/>
          <w:color w:val="auto"/>
        </w:rPr>
      </w:pPr>
    </w:p>
    <w:p>
      <w:pPr>
        <w:ind w:left="920" w:right="500"/>
        <w:spacing w:after="0" w:line="264" w:lineRule="auto"/>
        <w:rPr>
          <w:sz w:val="20"/>
          <w:szCs w:val="20"/>
          <w:color w:val="auto"/>
        </w:rPr>
      </w:pPr>
      <w:r>
        <w:rPr>
          <w:rFonts w:ascii="Arial" w:cs="Arial" w:eastAsia="Arial" w:hAnsi="Arial"/>
          <w:sz w:val="18"/>
          <w:szCs w:val="18"/>
          <w:color w:val="auto"/>
        </w:rPr>
        <w:t>The Facility Agent shall maintain a memorandum account showing the amounts advanced by the Lenders and all other sums owing to the Facility Agent and the Security Trustee and each Lender from the Borrowers and each Security Party under the Finance Documents and all payments in respect of those amounts made by the Borrowers and any Security Party.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5"/>
          <w:szCs w:val="15"/>
          <w:b w:val="1"/>
          <w:bCs w:val="1"/>
          <w:color w:val="auto"/>
        </w:rPr>
        <w:t>Accounts prima facie evidence</w:t>
      </w:r>
    </w:p>
    <w:p>
      <w:pPr>
        <w:spacing w:after="0" w:line="121" w:lineRule="exact"/>
        <w:rPr>
          <w:sz w:val="20"/>
          <w:szCs w:val="20"/>
          <w:color w:val="auto"/>
        </w:rPr>
      </w:pPr>
    </w:p>
    <w:p>
      <w:pPr>
        <w:ind w:left="920" w:right="380"/>
        <w:spacing w:after="0" w:line="308" w:lineRule="auto"/>
        <w:rPr>
          <w:sz w:val="20"/>
          <w:szCs w:val="20"/>
          <w:color w:val="auto"/>
        </w:rPr>
      </w:pPr>
      <w:r>
        <w:rPr>
          <w:rFonts w:ascii="Arial" w:cs="Arial" w:eastAsia="Arial" w:hAnsi="Arial"/>
          <w:sz w:val="17"/>
          <w:szCs w:val="17"/>
          <w:color w:val="auto"/>
        </w:rPr>
        <w:t>If any accounts maintained under Clauses 16.9 and 16.10 show an amount to be owing by a Borrower or a Security Party to a Creditor Party, those accounts shall, absent manifest error, be prima facie evidence that that amount is owing to that Creditor Party.</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16.12</w:t>
      </w:r>
      <w:r>
        <w:rPr>
          <w:sz w:val="20"/>
          <w:szCs w:val="20"/>
          <w:color w:val="auto"/>
        </w:rPr>
        <w:tab/>
      </w:r>
      <w:r>
        <w:rPr>
          <w:rFonts w:ascii="Arial" w:cs="Arial" w:eastAsia="Arial" w:hAnsi="Arial"/>
          <w:sz w:val="16"/>
          <w:szCs w:val="16"/>
          <w:b w:val="1"/>
          <w:bCs w:val="1"/>
          <w:color w:val="auto"/>
        </w:rPr>
        <w:t>Impaired Agent</w:t>
      </w:r>
    </w:p>
    <w:p>
      <w:pPr>
        <w:spacing w:after="0" w:line="135" w:lineRule="exact"/>
        <w:rPr>
          <w:sz w:val="20"/>
          <w:szCs w:val="20"/>
          <w:color w:val="auto"/>
        </w:rPr>
      </w:pPr>
    </w:p>
    <w:p>
      <w:pPr>
        <w:ind w:left="920" w:right="20" w:hanging="912"/>
        <w:spacing w:after="0" w:line="277" w:lineRule="auto"/>
        <w:tabs>
          <w:tab w:leader="none" w:pos="9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at any time, the Facility Agent becomes an Impaired Agent, the Borrowers or a Lender which is required to make a payment under the Finance Documents to the Facility Agent in accordance with Clause 16.1 may instead either:</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pay that amount direct to the required recipient(s); or</w:t>
      </w:r>
    </w:p>
    <w:p>
      <w:pPr>
        <w:spacing w:after="0" w:line="130" w:lineRule="exact"/>
        <w:rPr>
          <w:rFonts w:ascii="Arial" w:cs="Arial" w:eastAsia="Arial" w:hAnsi="Arial"/>
          <w:sz w:val="18"/>
          <w:szCs w:val="18"/>
          <w:color w:val="auto"/>
        </w:rPr>
      </w:pPr>
    </w:p>
    <w:p>
      <w:pPr>
        <w:ind w:left="1700" w:right="200" w:hanging="787"/>
        <w:spacing w:after="0" w:line="276" w:lineRule="auto"/>
        <w:tabs>
          <w:tab w:leader="none" w:pos="170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if in its absolute discretion it considers that it is not reasonably practicable to pay that amount direct to the required recipient(s), pay the relevant part of that amount to an interest-bearing account held with an Acceptable Bank and in relation to which no Insolvency Event has occurred and is continuing, in the name of the Borrowers or the Facility Agent making the payment (the “</w:t>
      </w:r>
      <w:r>
        <w:rPr>
          <w:rFonts w:ascii="Arial" w:cs="Arial" w:eastAsia="Arial" w:hAnsi="Arial"/>
          <w:sz w:val="17"/>
          <w:szCs w:val="17"/>
          <w:b w:val="1"/>
          <w:bCs w:val="1"/>
          <w:color w:val="auto"/>
        </w:rPr>
        <w:t>Paying Party</w:t>
      </w:r>
      <w:r>
        <w:rPr>
          <w:rFonts w:ascii="Arial" w:cs="Arial" w:eastAsia="Arial" w:hAnsi="Arial"/>
          <w:sz w:val="17"/>
          <w:szCs w:val="17"/>
          <w:color w:val="auto"/>
        </w:rPr>
        <w:t>”) and designated as a trust account for the benefit of the party or parties under this Agreement beneficially entitled to that payment under the Finance Documents (the “</w:t>
      </w:r>
      <w:r>
        <w:rPr>
          <w:rFonts w:ascii="Arial" w:cs="Arial" w:eastAsia="Arial" w:hAnsi="Arial"/>
          <w:sz w:val="17"/>
          <w:szCs w:val="17"/>
          <w:b w:val="1"/>
          <w:bCs w:val="1"/>
          <w:color w:val="auto"/>
        </w:rPr>
        <w:t>Recipient Party</w:t>
      </w:r>
      <w:r>
        <w:rPr>
          <w:rFonts w:ascii="Arial" w:cs="Arial" w:eastAsia="Arial" w:hAnsi="Arial"/>
          <w:sz w:val="17"/>
          <w:szCs w:val="17"/>
          <w:color w:val="auto"/>
        </w:rPr>
        <w:t>” or “</w:t>
      </w:r>
      <w:r>
        <w:rPr>
          <w:rFonts w:ascii="Arial" w:cs="Arial" w:eastAsia="Arial" w:hAnsi="Arial"/>
          <w:sz w:val="17"/>
          <w:szCs w:val="17"/>
          <w:b w:val="1"/>
          <w:bCs w:val="1"/>
          <w:color w:val="auto"/>
        </w:rPr>
        <w:t>Recipient Parties</w:t>
      </w:r>
      <w:r>
        <w:rPr>
          <w:rFonts w:ascii="Arial" w:cs="Arial" w:eastAsia="Arial" w:hAnsi="Arial"/>
          <w:sz w:val="17"/>
          <w:szCs w:val="17"/>
          <w:color w:val="auto"/>
        </w:rPr>
        <w:t>”),</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each case such payments must be made on the due date for payment under the Finance Documents;</w:t>
      </w:r>
    </w:p>
    <w:p>
      <w:pPr>
        <w:spacing w:after="0" w:line="131" w:lineRule="exact"/>
        <w:rPr>
          <w:sz w:val="20"/>
          <w:szCs w:val="20"/>
          <w:color w:val="auto"/>
        </w:rPr>
      </w:pPr>
    </w:p>
    <w:p>
      <w:pPr>
        <w:ind w:left="920" w:right="80" w:hanging="912"/>
        <w:spacing w:after="0" w:line="277" w:lineRule="auto"/>
        <w:tabs>
          <w:tab w:leader="none" w:pos="9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75" w:lineRule="exact"/>
        <w:rPr>
          <w:rFonts w:ascii="Arial" w:cs="Arial" w:eastAsia="Arial" w:hAnsi="Arial"/>
          <w:sz w:val="18"/>
          <w:szCs w:val="18"/>
          <w:color w:val="auto"/>
        </w:rPr>
      </w:pPr>
    </w:p>
    <w:p>
      <w:pPr>
        <w:ind w:left="920" w:right="120" w:hanging="912"/>
        <w:spacing w:after="0" w:line="342" w:lineRule="auto"/>
        <w:tabs>
          <w:tab w:leader="none" w:pos="9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 party to this Agreement which has made a payment in accordance with paragraphs (a) and (b) shall be discharged of the relevant payment obligation under the Finance Documents and shall not take any credit risk with respect to the amounts standing to the credit of the trust account;</w:t>
      </w:r>
    </w:p>
    <w:p>
      <w:pPr>
        <w:spacing w:after="0" w:line="29" w:lineRule="exact"/>
        <w:rPr>
          <w:rFonts w:ascii="Arial" w:cs="Arial" w:eastAsia="Arial" w:hAnsi="Arial"/>
          <w:sz w:val="16"/>
          <w:szCs w:val="16"/>
          <w:color w:val="auto"/>
        </w:rPr>
      </w:pPr>
    </w:p>
    <w:p>
      <w:pPr>
        <w:ind w:left="920" w:hanging="912"/>
        <w:spacing w:after="0" w:line="259" w:lineRule="auto"/>
        <w:tabs>
          <w:tab w:leader="none" w:pos="9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the Finance Documents,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16.4;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0" w:right="239" w:bottom="1440" w:gutter="0" w:footer="0" w:header="0"/>
        </w:sectPr>
      </w:pPr>
    </w:p>
    <w:bookmarkStart w:id="253" w:name="page254"/>
    <w:bookmarkEnd w:id="253"/>
    <w:p>
      <w:pPr>
        <w:ind w:left="920" w:hanging="912"/>
        <w:spacing w:after="0"/>
        <w:tabs>
          <w:tab w:leader="none" w:pos="9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Paying Party shall, promptly upon request by a Recipient Party and to the extent: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that it has been provided with the necessary information by that Recipient Party,</w:t>
      </w:r>
    </w:p>
    <w:p>
      <w:pPr>
        <w:spacing w:after="0" w:line="11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give all requisite instructions to the bank with whom the trust account is held to transfer the relevant amount (together with any accrued interest) to that Recipient Party.</w:t>
      </w:r>
    </w:p>
    <w:p>
      <w:pPr>
        <w:spacing w:after="0" w:line="315" w:lineRule="exact"/>
        <w:rPr>
          <w:sz w:val="20"/>
          <w:szCs w:val="20"/>
          <w:color w:val="auto"/>
        </w:rPr>
      </w:pPr>
    </w:p>
    <w:p>
      <w:pPr>
        <w:ind w:left="920" w:hanging="912"/>
        <w:spacing w:after="0"/>
        <w:tabs>
          <w:tab w:leader="none" w:pos="92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RECEIPTS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17.1</w:t>
      </w:r>
      <w:r>
        <w:rPr>
          <w:rFonts w:ascii="Arial" w:cs="Arial" w:eastAsia="Arial" w:hAnsi="Arial"/>
          <w:sz w:val="16"/>
          <w:szCs w:val="16"/>
          <w:b w:val="1"/>
          <w:bCs w:val="1"/>
          <w:color w:val="auto"/>
        </w:rPr>
        <w:t>Normal order of application</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Except as any Finance Document may otherwise provide, any sums which are received or recovered by any Creditor Party under or by virtue of any Finance Document shall be applied:</w:t>
      </w:r>
    </w:p>
    <w:p>
      <w:pPr>
        <w:spacing w:after="0" w:line="76" w:lineRule="exact"/>
        <w:rPr>
          <w:sz w:val="20"/>
          <w:szCs w:val="20"/>
          <w:color w:val="auto"/>
        </w:rPr>
      </w:pPr>
    </w:p>
    <w:p>
      <w:pPr>
        <w:ind w:left="920" w:right="100" w:hanging="912"/>
        <w:spacing w:after="0" w:line="277" w:lineRule="auto"/>
        <w:tabs>
          <w:tab w:leader="none" w:pos="9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FIRST: in or towards satisfaction of any amounts then due and payable under the Finance Documents (other than under a Master Agreement) in the following order and proportions:</w:t>
      </w:r>
    </w:p>
    <w:p>
      <w:pPr>
        <w:spacing w:after="0" w:line="75" w:lineRule="exact"/>
        <w:rPr>
          <w:rFonts w:ascii="Arial" w:cs="Arial" w:eastAsia="Arial" w:hAnsi="Arial"/>
          <w:sz w:val="18"/>
          <w:szCs w:val="18"/>
          <w:color w:val="auto"/>
        </w:rPr>
      </w:pPr>
    </w:p>
    <w:p>
      <w:pPr>
        <w:ind w:left="1700" w:right="220" w:hanging="787"/>
        <w:spacing w:after="0" w:line="277"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first, in or towards satisfaction of any budgeted operating expenses and accruals of the Ships which, in the case of accruals, are due and payable within 6 months of the applicable date;</w:t>
      </w:r>
    </w:p>
    <w:p>
      <w:pPr>
        <w:spacing w:after="0" w:line="75" w:lineRule="exact"/>
        <w:rPr>
          <w:rFonts w:ascii="Arial" w:cs="Arial" w:eastAsia="Arial" w:hAnsi="Arial"/>
          <w:sz w:val="18"/>
          <w:szCs w:val="18"/>
          <w:color w:val="auto"/>
        </w:rPr>
      </w:pPr>
    </w:p>
    <w:p>
      <w:pPr>
        <w:ind w:left="1700" w:right="80" w:hanging="787"/>
        <w:spacing w:after="0" w:line="277"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secondly, towards establishing, building-up and maintaining the applicable minimum working capital amount of each Borrower to be maintained under Clause 11.21(b);</w:t>
      </w:r>
    </w:p>
    <w:p>
      <w:pPr>
        <w:spacing w:after="0" w:line="75" w:lineRule="exact"/>
        <w:rPr>
          <w:rFonts w:ascii="Arial" w:cs="Arial" w:eastAsia="Arial" w:hAnsi="Arial"/>
          <w:sz w:val="18"/>
          <w:szCs w:val="18"/>
          <w:color w:val="auto"/>
        </w:rPr>
      </w:pPr>
    </w:p>
    <w:p>
      <w:pPr>
        <w:ind w:left="1700" w:right="60" w:hanging="787"/>
        <w:spacing w:after="0" w:line="302" w:lineRule="auto"/>
        <w:tabs>
          <w:tab w:leader="none" w:pos="170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thirdly, in or towards satisfaction pro rata of all amounts then due and payable to the Creditor Parties under the Finance Documents (other than a Master Agreement) other than those amounts referred to at paragraphs (ii) and (iii) (including, but without limitation, all amounts payable by the Borrowers under Clauses 20, 21 and 22 of this Agreement or by the Borrowers or any Security Party under any corresponding or similar provision in any other Finance Document (other than a Master Agreement));</w:t>
      </w:r>
    </w:p>
    <w:p>
      <w:pPr>
        <w:spacing w:after="0" w:line="59" w:lineRule="exact"/>
        <w:rPr>
          <w:rFonts w:ascii="Arial" w:cs="Arial" w:eastAsia="Arial" w:hAnsi="Arial"/>
          <w:sz w:val="16"/>
          <w:szCs w:val="16"/>
          <w:color w:val="auto"/>
        </w:rPr>
      </w:pPr>
    </w:p>
    <w:p>
      <w:pPr>
        <w:ind w:left="1700" w:right="140" w:hanging="787"/>
        <w:spacing w:after="0" w:line="277"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fourthly, in or towards satisfaction pro rata of any and all amounts of interest or default interest payable to the Creditor Parties under the Finance Documents (other than under a Master Agreement);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fifthly, in or towards satisfaction of the Loan;</w:t>
      </w:r>
    </w:p>
    <w:p>
      <w:pPr>
        <w:spacing w:after="0" w:line="130" w:lineRule="exact"/>
        <w:rPr>
          <w:rFonts w:ascii="Arial" w:cs="Arial" w:eastAsia="Arial" w:hAnsi="Arial"/>
          <w:sz w:val="18"/>
          <w:szCs w:val="18"/>
          <w:color w:val="auto"/>
        </w:rPr>
      </w:pPr>
    </w:p>
    <w:p>
      <w:pPr>
        <w:ind w:left="1700" w:hanging="787"/>
        <w:spacing w:after="0" w:line="264"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sixthly, towards establishing, building-up and maintaining the cash buffer to be maintained under Clause 11.21(a) covering the estimated cost of all regulatory surveys included in the Borrowers’ budgets provided pursuant to Clause 11.15(a) during the end of the Security Period;</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SECONDLY: in or towards satisfaction of any amounts then due and payable under a Master Agreement in the following order and proportions:</w:t>
      </w:r>
    </w:p>
    <w:p>
      <w:pPr>
        <w:spacing w:after="0" w:line="153" w:lineRule="exact"/>
        <w:rPr>
          <w:rFonts w:ascii="Arial" w:cs="Arial" w:eastAsia="Arial" w:hAnsi="Arial"/>
          <w:sz w:val="16"/>
          <w:szCs w:val="16"/>
          <w:color w:val="auto"/>
        </w:rPr>
      </w:pPr>
    </w:p>
    <w:p>
      <w:pPr>
        <w:ind w:left="1700" w:right="180" w:hanging="787"/>
        <w:spacing w:after="0" w:line="277"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first, in or towards satisfaction pro rata of all amounts then due and payable to the Swap Bank under a Master Agreement other than those amounts referred to at paragraphs (ii) and (iii);</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4" w:right="279" w:bottom="1440" w:gutter="0" w:footer="0" w:header="0"/>
        </w:sectPr>
      </w:pPr>
    </w:p>
    <w:bookmarkStart w:id="254" w:name="page255"/>
    <w:bookmarkEnd w:id="254"/>
    <w:p>
      <w:pPr>
        <w:ind w:left="1700" w:right="240" w:hanging="787"/>
        <w:spacing w:after="0" w:line="259" w:lineRule="auto"/>
        <w:tabs>
          <w:tab w:leader="none" w:pos="1700" w:val="left"/>
        </w:tabs>
        <w:numPr>
          <w:ilvl w:val="1"/>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secondly, in or towards satisfaction pro rata of any and all amounts of interest or default interest payable to the Swap Bank under a Master Agreement (and, for this purpose, the expression “</w:t>
      </w:r>
      <w:r>
        <w:rPr>
          <w:rFonts w:ascii="Arial" w:cs="Arial" w:eastAsia="Arial" w:hAnsi="Arial"/>
          <w:sz w:val="18"/>
          <w:szCs w:val="18"/>
          <w:b w:val="1"/>
          <w:bCs w:val="1"/>
          <w:color w:val="auto"/>
        </w:rPr>
        <w:t>interest</w:t>
      </w:r>
      <w:r>
        <w:rPr>
          <w:rFonts w:ascii="Arial" w:cs="Arial" w:eastAsia="Arial" w:hAnsi="Arial"/>
          <w:sz w:val="18"/>
          <w:szCs w:val="18"/>
          <w:color w:val="auto"/>
        </w:rPr>
        <w:t>” shall include any net amount which that Borrower shall have become liable to pay or deliver under section 2(e) (Obligations) of a Master Agreement but shall have failed to pay or deliver to the Swap Bank at the time of application or distribution under this Clause 17); and</w:t>
      </w:r>
    </w:p>
    <w:p>
      <w:pPr>
        <w:spacing w:after="0" w:line="92" w:lineRule="exact"/>
        <w:rPr>
          <w:rFonts w:ascii="Arial" w:cs="Arial" w:eastAsia="Arial" w:hAnsi="Arial"/>
          <w:sz w:val="18"/>
          <w:szCs w:val="18"/>
          <w:color w:val="auto"/>
        </w:rPr>
      </w:pPr>
    </w:p>
    <w:p>
      <w:pPr>
        <w:jc w:val="both"/>
        <w:ind w:left="1700" w:hanging="787"/>
        <w:spacing w:after="0" w:line="264" w:lineRule="auto"/>
        <w:tabs>
          <w:tab w:leader="none" w:pos="170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thirdly, in or towards satisfaction of the aggregate Swap Exposure of the Swap Bank calculated as at the actual Early Termination Date applying to each particular Designated Transaction, or if no such Early Termination Date shall have occurred, calculated as if an Early Termination Date occurred on the date of application or distribution hereunder);</w:t>
      </w:r>
    </w:p>
    <w:p>
      <w:pPr>
        <w:spacing w:after="0" w:line="86" w:lineRule="exact"/>
        <w:rPr>
          <w:rFonts w:ascii="Arial" w:cs="Arial" w:eastAsia="Arial" w:hAnsi="Arial"/>
          <w:sz w:val="18"/>
          <w:szCs w:val="18"/>
          <w:color w:val="auto"/>
        </w:rPr>
      </w:pPr>
    </w:p>
    <w:p>
      <w:pPr>
        <w:ind w:left="920" w:right="60" w:hanging="912"/>
        <w:spacing w:after="0" w:line="259" w:lineRule="auto"/>
        <w:tabs>
          <w:tab w:leader="none" w:pos="9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THIRDLY: in retention of an amount equal to any amount not then due and payable under any Finance Document (other than a Master Agreement) but which the Facility Agent, by notice to the Borrowers, the Security Parties and the other Creditor Parties, states in its opinion will or may become due and payable in the future and, upon those amounts becoming due and payable, in or towards satisfaction of them in accordance with the foregoing provisions of this Clause;</w:t>
      </w:r>
    </w:p>
    <w:p>
      <w:pPr>
        <w:spacing w:after="0" w:line="92" w:lineRule="exact"/>
        <w:rPr>
          <w:rFonts w:ascii="Arial" w:cs="Arial" w:eastAsia="Arial" w:hAnsi="Arial"/>
          <w:sz w:val="18"/>
          <w:szCs w:val="18"/>
          <w:color w:val="auto"/>
        </w:rPr>
      </w:pPr>
    </w:p>
    <w:p>
      <w:pPr>
        <w:ind w:left="920" w:right="100" w:hanging="912"/>
        <w:spacing w:after="0" w:line="259" w:lineRule="auto"/>
        <w:tabs>
          <w:tab w:leader="none" w:pos="9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FOURTHLY: in retention of an amount equal to any amount not then due under and payable under a Master Agreement but which the Swap Bank, by notice to the Borrowers, the Security Parties and the other Creditor Parties, states in its opinion will or may become due and payable in the future and, upon those amounts becoming due and payable, in or towards satisfaction of them in accordance with the foregoing provisions of this Clause; and</w:t>
      </w:r>
    </w:p>
    <w:p>
      <w:pPr>
        <w:spacing w:after="0" w:line="92" w:lineRule="exact"/>
        <w:rPr>
          <w:rFonts w:ascii="Arial" w:cs="Arial" w:eastAsia="Arial" w:hAnsi="Arial"/>
          <w:sz w:val="18"/>
          <w:szCs w:val="18"/>
          <w:color w:val="auto"/>
        </w:rPr>
      </w:pPr>
    </w:p>
    <w:p>
      <w:pPr>
        <w:ind w:left="920" w:hanging="912"/>
        <w:spacing w:after="0"/>
        <w:tabs>
          <w:tab w:leader="none" w:pos="9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FIFTHLY: any surplus shall be paid to the Borrowers or to any other person appearing to be entitled to it.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Variation of order of application</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The Facility Agent may, with the authorisation of the Majority Lenders, by notice to the Borrowers, the Security Parties and the other Creditor Parties provide for a different manner of application from that set out in Clause 17.1 either as regards a specified sum or sums or as regards sums in a specified category or categories.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Notice of variation of order of application</w:t>
      </w:r>
    </w:p>
    <w:p>
      <w:pPr>
        <w:spacing w:after="0" w:line="121"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The Facility Agent may give notices under Clause 17.2 from time to time; and such a notice may be stated to apply not only to sums which may be received or recovered in the future, but also to any sum which has been received or recovered on or after the third Business Day before the date on which the notice is served.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Appropriation rights overridden</w:t>
      </w:r>
    </w:p>
    <w:p>
      <w:pPr>
        <w:spacing w:after="0" w:line="121"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This Clause 17 and any notice which the Facility Agent gives under Clause 17.2 shall override any right of appropriation possessed, and any appropriation made, by any Borrower or any Security Party.</w:t>
      </w:r>
    </w:p>
    <w:p>
      <w:pPr>
        <w:spacing w:after="0" w:line="315" w:lineRule="exact"/>
        <w:rPr>
          <w:sz w:val="20"/>
          <w:szCs w:val="20"/>
          <w:color w:val="auto"/>
        </w:rPr>
      </w:pPr>
    </w:p>
    <w:p>
      <w:pPr>
        <w:ind w:left="920" w:hanging="912"/>
        <w:spacing w:after="0"/>
        <w:tabs>
          <w:tab w:leader="none" w:pos="92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EARNINGS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18.1</w:t>
      </w:r>
      <w:r>
        <w:rPr>
          <w:rFonts w:ascii="Arial" w:cs="Arial" w:eastAsia="Arial" w:hAnsi="Arial"/>
          <w:sz w:val="16"/>
          <w:szCs w:val="16"/>
          <w:b w:val="1"/>
          <w:bCs w:val="1"/>
          <w:color w:val="auto"/>
        </w:rPr>
        <w:t>Payment of Earnings</w:t>
      </w:r>
    </w:p>
    <w:p>
      <w:pPr>
        <w:spacing w:after="0" w:line="121"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Each Borrower undertakes with each Creditor Party to ensure that, throughout the Security Period (subject only to the provisions of the General Assignments), all the Earnings of each Ship (including without limitation the Earnings under the Tesoro Charters) are paid to the Operating Account for that Ship. Any monies standing to the credit of the Operating Accounts shall be freely available to the Borrowers subject to there not being any Event of Default or Potential Event of Default in existence at the relevant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255" w:name="page256"/>
    <w:bookmarkEnd w:id="25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18.2</w:t>
      </w:r>
      <w:r>
        <w:rPr>
          <w:sz w:val="20"/>
          <w:szCs w:val="20"/>
          <w:color w:val="auto"/>
        </w:rPr>
        <w:tab/>
      </w:r>
      <w:r>
        <w:rPr>
          <w:rFonts w:ascii="Arial" w:cs="Arial" w:eastAsia="Arial" w:hAnsi="Arial"/>
          <w:sz w:val="16"/>
          <w:szCs w:val="16"/>
          <w:b w:val="1"/>
          <w:bCs w:val="1"/>
          <w:color w:val="auto"/>
        </w:rPr>
        <w:t>Monthly retentions</w:t>
      </w:r>
    </w:p>
    <w:p>
      <w:pPr>
        <w:spacing w:after="0" w:line="12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In relation to each Advance, the Borrowers shall ensure that, in each calendar month after the Drawdown Date of the Advance, on such dates as the Facility Agent may from time to time specify, there is transferred to the applicable Retention Account out of the aggregate Earnings received in the applicable Operating Account during the preceding calendar month:</w:t>
      </w:r>
    </w:p>
    <w:p>
      <w:pPr>
        <w:spacing w:after="0" w:line="87" w:lineRule="exact"/>
        <w:rPr>
          <w:sz w:val="20"/>
          <w:szCs w:val="20"/>
          <w:color w:val="auto"/>
        </w:rPr>
      </w:pPr>
    </w:p>
    <w:p>
      <w:pPr>
        <w:ind w:left="920" w:hanging="912"/>
        <w:spacing w:after="0"/>
        <w:tabs>
          <w:tab w:leader="none" w:pos="92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one-sixth of the amount of the Instalment for that Advance falling due under Clause 8.1 on the next Repayment Date for that Advance; and</w:t>
      </w:r>
    </w:p>
    <w:p>
      <w:pPr>
        <w:spacing w:after="0" w:line="142" w:lineRule="exact"/>
        <w:rPr>
          <w:rFonts w:ascii="Arial" w:cs="Arial" w:eastAsia="Arial" w:hAnsi="Arial"/>
          <w:sz w:val="17"/>
          <w:szCs w:val="17"/>
          <w:color w:val="auto"/>
        </w:rPr>
      </w:pPr>
    </w:p>
    <w:p>
      <w:pPr>
        <w:ind w:left="920" w:right="60" w:hanging="912"/>
        <w:spacing w:after="0" w:line="264" w:lineRule="auto"/>
        <w:tabs>
          <w:tab w:leader="none" w:pos="9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relevant fraction of the aggregate amount of interest on that Advance which is payable on the next due date for payment of interest on that Advance under this Agreement, reduced by the amount of any corresponding payment which relates to that Advance from the Facility Agent due to either Borrower under any Master Agreement; and</w:t>
      </w:r>
    </w:p>
    <w:p>
      <w:pPr>
        <w:spacing w:after="0" w:line="86" w:lineRule="exact"/>
        <w:rPr>
          <w:rFonts w:ascii="Arial" w:cs="Arial" w:eastAsia="Arial" w:hAnsi="Arial"/>
          <w:sz w:val="18"/>
          <w:szCs w:val="18"/>
          <w:color w:val="auto"/>
        </w:rPr>
      </w:pPr>
    </w:p>
    <w:p>
      <w:pPr>
        <w:ind w:left="920" w:right="60" w:hanging="912"/>
        <w:spacing w:after="0" w:line="308" w:lineRule="auto"/>
        <w:tabs>
          <w:tab w:leader="none" w:pos="92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relevant fraction of the aggregate of the net amount which relates to that Advance and which is payable by either Borrower to the Swap Bank under any Master Agreement on the next due date for payment of such amount under the relevant Master Agreement.</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relevant fraction</w:t>
      </w:r>
      <w:r>
        <w:rPr>
          <w:rFonts w:ascii="Arial" w:cs="Arial" w:eastAsia="Arial" w:hAnsi="Arial"/>
          <w:sz w:val="18"/>
          <w:szCs w:val="18"/>
          <w:color w:val="auto"/>
        </w:rPr>
        <w:t>” in relation to an Advance is a fraction of which:</w:t>
      </w:r>
    </w:p>
    <w:p>
      <w:pPr>
        <w:spacing w:after="0" w:line="134" w:lineRule="exact"/>
        <w:rPr>
          <w:rFonts w:ascii="Arial" w:cs="Arial" w:eastAsia="Arial" w:hAnsi="Arial"/>
          <w:sz w:val="17"/>
          <w:szCs w:val="17"/>
          <w:color w:val="auto"/>
        </w:rPr>
      </w:pPr>
    </w:p>
    <w:p>
      <w:pPr>
        <w:ind w:left="1700" w:hanging="787"/>
        <w:spacing w:after="0"/>
        <w:tabs>
          <w:tab w:leader="none" w:pos="170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numerator is one;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denominator is:</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the number of months comprised in the then current Interest Period for that Advance; or</w:t>
      </w:r>
    </w:p>
    <w:p>
      <w:pPr>
        <w:spacing w:after="0" w:line="130" w:lineRule="exact"/>
        <w:rPr>
          <w:rFonts w:ascii="Arial" w:cs="Arial" w:eastAsia="Arial" w:hAnsi="Arial"/>
          <w:sz w:val="18"/>
          <w:szCs w:val="18"/>
          <w:color w:val="auto"/>
        </w:rPr>
      </w:pPr>
    </w:p>
    <w:p>
      <w:pPr>
        <w:jc w:val="both"/>
        <w:ind w:left="2380" w:right="400" w:hanging="670"/>
        <w:spacing w:after="0" w:line="264" w:lineRule="auto"/>
        <w:tabs>
          <w:tab w:leader="none" w:pos="238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if the period is shorter, the number of months from the later of the commencement of the current Interest Period for that Advance or the last due date for payment of interest on that Advance to the next due date for payment of interest on that Advance under this Agreement.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Shortfall in Earnings</w:t>
      </w:r>
    </w:p>
    <w:p>
      <w:pPr>
        <w:spacing w:after="0" w:line="135" w:lineRule="exact"/>
        <w:rPr>
          <w:sz w:val="20"/>
          <w:szCs w:val="20"/>
          <w:color w:val="auto"/>
        </w:rPr>
      </w:pPr>
    </w:p>
    <w:p>
      <w:pPr>
        <w:jc w:val="both"/>
        <w:ind w:left="920" w:right="80" w:hanging="912"/>
        <w:spacing w:after="0" w:line="264" w:lineRule="auto"/>
        <w:tabs>
          <w:tab w:leader="none" w:pos="9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the credit balance on an Operating Account is insufficient in any calendar month for the required amount in relation to the applicable Advance to be transferred to the applicable Retention Account under Clause 18.2 the Borrowers shall make up the amount of the insufficiency on demand from the Facility Agent.</w:t>
      </w:r>
    </w:p>
    <w:p>
      <w:pPr>
        <w:spacing w:after="0" w:line="86" w:lineRule="exact"/>
        <w:rPr>
          <w:rFonts w:ascii="Arial" w:cs="Arial" w:eastAsia="Arial" w:hAnsi="Arial"/>
          <w:sz w:val="18"/>
          <w:szCs w:val="18"/>
          <w:color w:val="auto"/>
        </w:rPr>
      </w:pPr>
    </w:p>
    <w:p>
      <w:pPr>
        <w:ind w:left="920" w:right="160" w:hanging="912"/>
        <w:spacing w:after="0" w:line="264" w:lineRule="auto"/>
        <w:tabs>
          <w:tab w:leader="none" w:pos="9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Without prejudicing the Facility Agent’s right to make such demand at any time, the Facility Agent may permit the Borrowers to make up all or part of the insufficiency by increasing the amount of any transfer under Clause 18.2 from the Earnings received in the next or subsequent calendar months.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Application of retentions</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Until an Event of Default occurs and is continuing and in relation to each Advance, the Facility Agent shall, on each Repayment Date for that Advance and on each due date for the payment of interest under this Agreement in relation to that Advance, apply so much of the then balance on the applicable Retention Account as equals:</w:t>
      </w:r>
    </w:p>
    <w:p>
      <w:pPr>
        <w:spacing w:after="0" w:line="87" w:lineRule="exact"/>
        <w:rPr>
          <w:sz w:val="20"/>
          <w:szCs w:val="20"/>
          <w:color w:val="auto"/>
        </w:rPr>
      </w:pPr>
    </w:p>
    <w:p>
      <w:pPr>
        <w:ind w:left="920" w:hanging="912"/>
        <w:spacing w:after="0"/>
        <w:tabs>
          <w:tab w:leader="none" w:pos="9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Instalment for that Advance due on that date;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amount of interest payable on that date in relation to that Advance;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amount payable in relation to that Advance by either Borrower to the Swap Bank under any Master Agreement on that date; and</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66</w:t>
      </w:r>
    </w:p>
    <w:p>
      <w:pPr>
        <w:sectPr>
          <w:pgSz w:w="11900" w:h="16838" w:orient="portrait"/>
          <w:cols w:equalWidth="0" w:num="1">
            <w:col w:w="11420"/>
          </w:cols>
          <w:pgMar w:left="240" w:top="270" w:right="239" w:bottom="1440" w:gutter="0" w:footer="0" w:header="0"/>
        </w:sectPr>
      </w:pPr>
    </w:p>
    <w:bookmarkStart w:id="256" w:name="page257"/>
    <w:bookmarkEnd w:id="256"/>
    <w:p>
      <w:pPr>
        <w:ind w:left="920" w:right="340" w:hanging="912"/>
        <w:spacing w:after="0" w:line="277" w:lineRule="auto"/>
        <w:tabs>
          <w:tab w:leader="none" w:pos="9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any Master Agreement Prepayment Proceeds in relation to that Advance paid into the applicable Retention Account during the Interest Period ending on that date,</w:t>
      </w:r>
    </w:p>
    <w:p>
      <w:pPr>
        <w:spacing w:after="0" w:line="62" w:lineRule="exact"/>
        <w:rPr>
          <w:rFonts w:ascii="Arial" w:cs="Arial" w:eastAsia="Arial" w:hAnsi="Arial"/>
          <w:sz w:val="18"/>
          <w:szCs w:val="18"/>
          <w:color w:val="auto"/>
        </w:rPr>
      </w:pPr>
    </w:p>
    <w:p>
      <w:pPr>
        <w:ind w:left="920" w:right="200"/>
        <w:spacing w:after="0" w:line="277" w:lineRule="auto"/>
        <w:rPr>
          <w:rFonts w:ascii="Arial" w:cs="Arial" w:eastAsia="Arial" w:hAnsi="Arial"/>
          <w:sz w:val="18"/>
          <w:szCs w:val="18"/>
          <w:color w:val="auto"/>
        </w:rPr>
      </w:pPr>
      <w:r>
        <w:rPr>
          <w:rFonts w:ascii="Arial" w:cs="Arial" w:eastAsia="Arial" w:hAnsi="Arial"/>
          <w:sz w:val="18"/>
          <w:szCs w:val="18"/>
          <w:color w:val="auto"/>
        </w:rPr>
        <w:t>in discharge of the Borrowers’ liability for that Instalment, the amount then due and payable under a Master Agreement or (as the case may be) their prepayment obligation under Clause 8.14.</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5"/>
          <w:szCs w:val="15"/>
          <w:b w:val="1"/>
          <w:bCs w:val="1"/>
          <w:color w:val="auto"/>
        </w:rPr>
        <w:t>Interest accrued on Retention Accounts</w:t>
      </w:r>
    </w:p>
    <w:p>
      <w:pPr>
        <w:spacing w:after="0" w:line="121" w:lineRule="exact"/>
        <w:rPr>
          <w:sz w:val="20"/>
          <w:szCs w:val="20"/>
          <w:color w:val="auto"/>
        </w:rPr>
      </w:pPr>
    </w:p>
    <w:p>
      <w:pPr>
        <w:jc w:val="both"/>
        <w:ind w:left="920" w:right="160"/>
        <w:spacing w:after="0" w:line="264" w:lineRule="auto"/>
        <w:rPr>
          <w:sz w:val="20"/>
          <w:szCs w:val="20"/>
          <w:color w:val="auto"/>
        </w:rPr>
      </w:pPr>
      <w:r>
        <w:rPr>
          <w:rFonts w:ascii="Arial" w:cs="Arial" w:eastAsia="Arial" w:hAnsi="Arial"/>
          <w:sz w:val="18"/>
          <w:szCs w:val="18"/>
          <w:color w:val="auto"/>
        </w:rPr>
        <w:t>Any credit balance on each Retention Account shall bear interest at the rate from time to time offered by the Account Bank to its customers for Dollar deposits of similar amounts and for periods similar to those for which such balances appear to the Account Bank likely to remain on that Retention Account.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5"/>
          <w:szCs w:val="15"/>
          <w:b w:val="1"/>
          <w:bCs w:val="1"/>
          <w:color w:val="auto"/>
        </w:rPr>
        <w:t>Retention Accounts</w:t>
      </w:r>
    </w:p>
    <w:p>
      <w:pPr>
        <w:spacing w:after="0" w:line="12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No Borrower shall withdraw or otherwise dispose of any amounts standing to the credit of a Retention Account without the Facility Agent’s prior written consent (acting with the authorisation of the Majority Lenders).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Minimum Working Capital Accounts</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 xml:space="preserve">No Borrower shall withdraw or otherwise dispose of any amounts standing to the credit of a Minimum Working Capital Account without the Facility Agent’s prior written consent (acting with the authorisation of the Majority Lenders) and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no Event of Default or Potential Event of Default has occurred and is continuing at the relevant time and no shortfall in the Security Cover Ratio to be maintained pursuant to Clause 15.1 would be be caused by such withdrawal.</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5"/>
          <w:szCs w:val="15"/>
          <w:b w:val="1"/>
          <w:bCs w:val="1"/>
          <w:color w:val="auto"/>
        </w:rPr>
        <w:t>Release of accrued interest - Retention Accounts</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Interest accruing under Clause 18.5 shall be credited to the applicable Retention Account and, to the extent not applied previously pursuant to Clause 18.4, shall be released to the Borrowers at the end of the Security Period.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5"/>
          <w:szCs w:val="15"/>
          <w:b w:val="1"/>
          <w:bCs w:val="1"/>
          <w:color w:val="auto"/>
        </w:rPr>
        <w:t>Release of accrued interest - Operating Accounts</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Interest accruing on each Operating Account under Clause 18.1 shall be released to the Borrowers on each Repayment Date unless an Event of Default or a Potential Event of Default has occurred.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5"/>
          <w:szCs w:val="15"/>
          <w:b w:val="1"/>
          <w:bCs w:val="1"/>
          <w:color w:val="auto"/>
        </w:rPr>
        <w:t>Location of accounts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promptly:</w:t>
      </w:r>
    </w:p>
    <w:p>
      <w:pPr>
        <w:spacing w:after="0" w:line="131" w:lineRule="exact"/>
        <w:rPr>
          <w:sz w:val="20"/>
          <w:szCs w:val="20"/>
          <w:color w:val="auto"/>
        </w:rPr>
      </w:pPr>
    </w:p>
    <w:p>
      <w:pPr>
        <w:ind w:left="920" w:hanging="912"/>
        <w:spacing w:after="0"/>
        <w:tabs>
          <w:tab w:leader="none" w:pos="9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comply with any requirement of the Facility Agent as to the location or re-location of the Accounts (or any of them); and</w:t>
      </w:r>
    </w:p>
    <w:p>
      <w:pPr>
        <w:spacing w:after="0" w:line="130" w:lineRule="exact"/>
        <w:rPr>
          <w:rFonts w:ascii="Arial" w:cs="Arial" w:eastAsia="Arial" w:hAnsi="Arial"/>
          <w:sz w:val="18"/>
          <w:szCs w:val="18"/>
          <w:color w:val="auto"/>
        </w:rPr>
      </w:pPr>
    </w:p>
    <w:p>
      <w:pPr>
        <w:ind w:left="920" w:right="120" w:hanging="912"/>
        <w:spacing w:after="0" w:line="277" w:lineRule="auto"/>
        <w:tabs>
          <w:tab w:leader="none" w:pos="9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execute any documents which the Facility Agent specifies to create or maintain in favour of the Security Trustee a Security Interest over (and/or rights of set-off, consolidation or other rights in relation to) the Accounts (or any of them).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5"/>
          <w:szCs w:val="15"/>
          <w:b w:val="1"/>
          <w:bCs w:val="1"/>
          <w:color w:val="auto"/>
        </w:rPr>
        <w:t>Debits for expenses etc.</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Facility Agent shall be entitled (but not obliged) from time to time to debit any Operating Account, with no later than 10 Business Days prior notice to the Borrowers, in order to discharge any amount due and payable under Clause 19.2, 20.1 or 21 to a Creditor Party or payment of which any Creditor Party has become entitled to demand under these Clauses.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257" w:name="page258"/>
    <w:bookmarkEnd w:id="257"/>
    <w:p>
      <w:pPr>
        <w:ind w:left="920" w:hanging="912"/>
        <w:spacing w:after="0"/>
        <w:tabs>
          <w:tab w:leader="none" w:pos="92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OF DEFAULT</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19.1</w:t>
      </w:r>
      <w:r>
        <w:rPr>
          <w:rFonts w:ascii="Arial" w:cs="Arial" w:eastAsia="Arial" w:hAnsi="Arial"/>
          <w:sz w:val="16"/>
          <w:szCs w:val="16"/>
          <w:b w:val="1"/>
          <w:bCs w:val="1"/>
          <w:color w:val="auto"/>
        </w:rPr>
        <w:t>Events of Default</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An Event of Default occurs if:</w:t>
      </w:r>
    </w:p>
    <w:p>
      <w:pPr>
        <w:spacing w:after="0" w:line="131" w:lineRule="exact"/>
        <w:rPr>
          <w:sz w:val="20"/>
          <w:szCs w:val="20"/>
          <w:color w:val="auto"/>
        </w:rPr>
      </w:pPr>
    </w:p>
    <w:p>
      <w:pPr>
        <w:jc w:val="both"/>
        <w:ind w:left="920" w:right="40" w:hanging="912"/>
        <w:spacing w:after="0" w:line="264" w:lineRule="auto"/>
        <w:tabs>
          <w:tab w:leader="none" w:pos="9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Borrower or any Security Party fails to pay when due or (if so payable) on demand any sum payable under a Finance Document or under any document relating to a Finance Document unless its failure to pay is caused by (i) administrative or technical error or (ii) a Disruption Event and payment is made within 3 Business Days of its due date; or</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breach occurs of Clause 8.9(c), 9.2, 10.18, 10.20, 11.2, 11.3, 11.20, 11.21, 12.2, 12.3, 13.2, 13.3, 14.9, 15.2, 18.1 or 18.2;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any breach by any Borrower or any Security Party occurs of any provision of a Finance Document (other than a breach covered by paragraphs</w:t>
      </w:r>
    </w:p>
    <w:p>
      <w:pPr>
        <w:spacing w:after="0" w:line="46" w:lineRule="exact"/>
        <w:rPr>
          <w:rFonts w:ascii="Arial" w:cs="Arial" w:eastAsia="Arial" w:hAnsi="Arial"/>
          <w:sz w:val="16"/>
          <w:szCs w:val="16"/>
          <w:color w:val="auto"/>
        </w:rPr>
      </w:pPr>
    </w:p>
    <w:p>
      <w:pPr>
        <w:ind w:left="1160" w:hanging="247"/>
        <w:spacing w:after="0"/>
        <w:tabs>
          <w:tab w:leader="none" w:pos="116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or (b) above) if, in the reasonable opinion of the Majority Lenders, such default is capable of remedy, and such default continues unremedied</w:t>
      </w:r>
    </w:p>
    <w:p>
      <w:pPr>
        <w:spacing w:after="0" w:line="3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14 days after written notice from the Facility Agent requesting action to remedy the same; or</w:t>
      </w:r>
    </w:p>
    <w:p>
      <w:pPr>
        <w:spacing w:after="0" w:line="116" w:lineRule="exact"/>
        <w:rPr>
          <w:rFonts w:ascii="Arial" w:cs="Arial" w:eastAsia="Arial" w:hAnsi="Arial"/>
          <w:sz w:val="16"/>
          <w:szCs w:val="16"/>
          <w:color w:val="auto"/>
        </w:rPr>
      </w:pPr>
    </w:p>
    <w:p>
      <w:pPr>
        <w:ind w:left="920" w:right="360" w:hanging="912"/>
        <w:spacing w:after="0" w:line="277" w:lineRule="auto"/>
        <w:tabs>
          <w:tab w:leader="none" w:pos="9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(subject to any applicable grace period specified in the Finance Documents) any breach by any Borrower or any Security Party occurs of any provision of a Finance Document (other than a breach covered by paragraphs (a), (b) or (c) above); or</w:t>
      </w:r>
    </w:p>
    <w:p>
      <w:pPr>
        <w:spacing w:after="0" w:line="75" w:lineRule="exact"/>
        <w:rPr>
          <w:rFonts w:ascii="Arial" w:cs="Arial" w:eastAsia="Arial" w:hAnsi="Arial"/>
          <w:sz w:val="18"/>
          <w:szCs w:val="18"/>
          <w:color w:val="auto"/>
        </w:rPr>
      </w:pPr>
    </w:p>
    <w:p>
      <w:pPr>
        <w:ind w:left="920" w:right="60" w:hanging="912"/>
        <w:spacing w:after="0" w:line="342" w:lineRule="auto"/>
        <w:tabs>
          <w:tab w:leader="none" w:pos="92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any representation, warranty or statement made or repeated by, or by an officer of, any Borrower or a Security Party in a Finance Document or in a Drawdown Notice or any other notice or document relating to a Finance Document is untrue or misleading when it is made or repeated; or</w:t>
      </w:r>
    </w:p>
    <w:p>
      <w:pPr>
        <w:spacing w:after="0" w:line="29" w:lineRule="exact"/>
        <w:rPr>
          <w:rFonts w:ascii="Arial" w:cs="Arial" w:eastAsia="Arial" w:hAnsi="Arial"/>
          <w:sz w:val="16"/>
          <w:szCs w:val="16"/>
          <w:color w:val="auto"/>
        </w:rPr>
      </w:pPr>
    </w:p>
    <w:p>
      <w:pPr>
        <w:ind w:left="920" w:right="160" w:hanging="912"/>
        <w:spacing w:after="0" w:line="342" w:lineRule="auto"/>
        <w:tabs>
          <w:tab w:leader="none" w:pos="92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any of the following occurs in relation to any Financial Indebtedness of a Relevant Person (in the case of the Guarantor and, after exercise of an Option, the Substitute Guarantor, in an amount exceeding, in aggregate, $5,000,000 or the equivalent in any other currency), in aggregate:</w:t>
      </w:r>
    </w:p>
    <w:p>
      <w:pPr>
        <w:spacing w:after="0" w:line="29" w:lineRule="exact"/>
        <w:rPr>
          <w:rFonts w:ascii="Arial" w:cs="Arial" w:eastAsia="Arial" w:hAnsi="Arial"/>
          <w:sz w:val="16"/>
          <w:szCs w:val="16"/>
          <w:color w:val="auto"/>
        </w:rPr>
      </w:pPr>
    </w:p>
    <w:p>
      <w:pPr>
        <w:ind w:left="1700" w:hanging="787"/>
        <w:spacing w:after="0"/>
        <w:tabs>
          <w:tab w:leader="none" w:pos="170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any Financial Indebtedness of a Relevant Person is not paid when due or, if so payable, on demand; or</w:t>
      </w:r>
    </w:p>
    <w:p>
      <w:pPr>
        <w:spacing w:after="0" w:line="131" w:lineRule="exact"/>
        <w:rPr>
          <w:sz w:val="20"/>
          <w:szCs w:val="20"/>
          <w:color w:val="auto"/>
        </w:rPr>
      </w:pPr>
    </w:p>
    <w:p>
      <w:pPr>
        <w:ind w:left="1700" w:right="220" w:hanging="787"/>
        <w:spacing w:after="0" w:line="277" w:lineRule="auto"/>
        <w:tabs>
          <w:tab w:leader="none" w:pos="17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Financial Indebtedness of a Relevant Person becomes due and payable or capable of being declared due and payable prior to its stated maturity date as a consequence of any event of default; or</w:t>
      </w:r>
    </w:p>
    <w:p>
      <w:pPr>
        <w:spacing w:after="0" w:line="75" w:lineRule="exact"/>
        <w:rPr>
          <w:rFonts w:ascii="Arial" w:cs="Arial" w:eastAsia="Arial" w:hAnsi="Arial"/>
          <w:sz w:val="18"/>
          <w:szCs w:val="18"/>
          <w:color w:val="auto"/>
        </w:rPr>
      </w:pPr>
    </w:p>
    <w:p>
      <w:pPr>
        <w:ind w:left="1700" w:right="340" w:hanging="787"/>
        <w:spacing w:after="0" w:line="277" w:lineRule="auto"/>
        <w:tabs>
          <w:tab w:leader="none" w:pos="17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 lease, hire purchase agreement or charter creating any Financial Indebtedness of a Relevant Person is terminated by the lessor or owner or becomes capable of being terminated as a consequence of any termination event; or</w:t>
      </w:r>
    </w:p>
    <w:p>
      <w:pPr>
        <w:spacing w:after="0" w:line="75" w:lineRule="exact"/>
        <w:rPr>
          <w:rFonts w:ascii="Arial" w:cs="Arial" w:eastAsia="Arial" w:hAnsi="Arial"/>
          <w:sz w:val="18"/>
          <w:szCs w:val="18"/>
          <w:color w:val="auto"/>
        </w:rPr>
      </w:pPr>
    </w:p>
    <w:p>
      <w:pPr>
        <w:ind w:left="1700" w:hanging="787"/>
        <w:spacing w:after="0" w:line="259" w:lineRule="auto"/>
        <w:tabs>
          <w:tab w:leader="none" w:pos="17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overdraft, loan, note issuance, acceptance credit, letter of credit, guarantee, foreign exchange or other facility, or any swap or other derivative contract or transaction, relating to any Financial Indebtedness of a Relevant Person ceases to be available or becomes capable of being terminated as a result of any event of default, or cash cover is required, or becomes capable of being required, in respect of such a facility as a result of any event of default; or</w:t>
      </w:r>
    </w:p>
    <w:p>
      <w:pPr>
        <w:spacing w:after="0" w:line="92" w:lineRule="exact"/>
        <w:rPr>
          <w:rFonts w:ascii="Arial" w:cs="Arial" w:eastAsia="Arial" w:hAnsi="Arial"/>
          <w:sz w:val="18"/>
          <w:szCs w:val="18"/>
          <w:color w:val="auto"/>
        </w:rPr>
      </w:pPr>
    </w:p>
    <w:p>
      <w:pPr>
        <w:ind w:left="1700" w:hanging="787"/>
        <w:spacing w:after="0"/>
        <w:tabs>
          <w:tab w:leader="none" w:pos="17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Security Interest securing any Financial Indebtedness of a Relevant Person becomes enforceable;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0" w:right="239" w:bottom="1440" w:gutter="0" w:footer="0" w:header="0"/>
        </w:sectPr>
      </w:pPr>
    </w:p>
    <w:bookmarkStart w:id="258" w:name="page259"/>
    <w:bookmarkEnd w:id="258"/>
    <w:p>
      <w:pPr>
        <w:ind w:left="912" w:hanging="912"/>
        <w:spacing w:after="0"/>
        <w:tabs>
          <w:tab w:leader="none" w:pos="912" w:val="left"/>
        </w:tabs>
        <w:numPr>
          <w:ilvl w:val="0"/>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following occurs in relation to a Relevant Person:</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5"/>
        </w:numPr>
        <w:rPr>
          <w:rFonts w:ascii="Arial" w:cs="Arial" w:eastAsia="Arial" w:hAnsi="Arial"/>
          <w:sz w:val="17"/>
          <w:szCs w:val="17"/>
          <w:color w:val="auto"/>
        </w:rPr>
      </w:pPr>
      <w:r>
        <w:rPr>
          <w:rFonts w:ascii="Arial" w:cs="Arial" w:eastAsia="Arial" w:hAnsi="Arial"/>
          <w:sz w:val="17"/>
          <w:szCs w:val="17"/>
          <w:color w:val="auto"/>
        </w:rPr>
        <w:t>a Relevant Person becomes, in the reasonable opinion of the Majority Lenders, unable to pay its debts as they fall due; or</w:t>
      </w:r>
    </w:p>
    <w:p>
      <w:pPr>
        <w:spacing w:after="0" w:line="142" w:lineRule="exact"/>
        <w:rPr>
          <w:rFonts w:ascii="Arial" w:cs="Arial" w:eastAsia="Arial" w:hAnsi="Arial"/>
          <w:sz w:val="17"/>
          <w:szCs w:val="17"/>
          <w:color w:val="auto"/>
        </w:rPr>
      </w:pPr>
    </w:p>
    <w:p>
      <w:pPr>
        <w:ind w:left="1692" w:right="20" w:hanging="787"/>
        <w:spacing w:after="0" w:line="259" w:lineRule="auto"/>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any assets of a Relevant Person are subject to any form of execution, attachment, arrest, sequestration or distress in respect of a sum of, or sums (in the case of a Borrower, in respect of an amount exceeding, $5,000,000 or the equivalent in another currency unless such execution, attachment, arrest, sequestration or distress is dismissed, withdrawn, released or lifted within 15 Business Days of the occurrence of such event; or</w:t>
      </w:r>
    </w:p>
    <w:p>
      <w:pPr>
        <w:spacing w:after="0" w:line="92" w:lineRule="exact"/>
        <w:rPr>
          <w:rFonts w:ascii="Arial" w:cs="Arial" w:eastAsia="Arial" w:hAnsi="Arial"/>
          <w:sz w:val="18"/>
          <w:szCs w:val="18"/>
          <w:color w:val="auto"/>
        </w:rPr>
      </w:pPr>
    </w:p>
    <w:p>
      <w:pPr>
        <w:ind w:left="1692" w:hanging="787"/>
        <w:spacing w:after="0"/>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any administrative or other receiver is appointed over any asset of a Relevant Person; or</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 administrator is appointed (whether by the court or otherwise) in respect of a Relevant Person; or</w:t>
      </w:r>
    </w:p>
    <w:p>
      <w:pPr>
        <w:spacing w:after="0" w:line="130" w:lineRule="exact"/>
        <w:rPr>
          <w:rFonts w:ascii="Arial" w:cs="Arial" w:eastAsia="Arial" w:hAnsi="Arial"/>
          <w:sz w:val="18"/>
          <w:szCs w:val="18"/>
          <w:color w:val="auto"/>
        </w:rPr>
      </w:pPr>
    </w:p>
    <w:p>
      <w:pPr>
        <w:ind w:left="1692" w:right="340" w:hanging="787"/>
        <w:spacing w:after="0" w:line="264" w:lineRule="auto"/>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any formal declaration of bankruptcy or any formal statement to the effect that a Relevant Person is insolvent or likely to become insolvent is made by a Relevant Person or by the directors of a Relevant Person or, in any proceedings, by a lawyer acting for a Relevant Person; or</w:t>
      </w:r>
    </w:p>
    <w:p>
      <w:pPr>
        <w:spacing w:after="0" w:line="86" w:lineRule="exact"/>
        <w:rPr>
          <w:rFonts w:ascii="Arial" w:cs="Arial" w:eastAsia="Arial" w:hAnsi="Arial"/>
          <w:sz w:val="18"/>
          <w:szCs w:val="18"/>
          <w:color w:val="auto"/>
        </w:rPr>
      </w:pPr>
    </w:p>
    <w:p>
      <w:pPr>
        <w:ind w:left="1692" w:right="80" w:hanging="787"/>
        <w:spacing w:after="0" w:line="277" w:lineRule="auto"/>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 provisional liquidator is appointed in respect of a Relevant Person, a winding up order is made in relation to a Relevant Person or a winding up resolution is passed by a Relevant Person; or</w:t>
      </w:r>
    </w:p>
    <w:p>
      <w:pPr>
        <w:spacing w:after="0" w:line="75" w:lineRule="exact"/>
        <w:rPr>
          <w:rFonts w:ascii="Arial" w:cs="Arial" w:eastAsia="Arial" w:hAnsi="Arial"/>
          <w:sz w:val="18"/>
          <w:szCs w:val="18"/>
          <w:color w:val="auto"/>
        </w:rPr>
      </w:pPr>
    </w:p>
    <w:p>
      <w:pPr>
        <w:ind w:left="1692" w:right="40" w:hanging="787"/>
        <w:spacing w:after="0" w:line="270" w:lineRule="auto"/>
        <w:tabs>
          <w:tab w:leader="none" w:pos="1692" w:val="left"/>
        </w:tabs>
        <w:numPr>
          <w:ilvl w:val="1"/>
          <w:numId w:val="365"/>
        </w:numPr>
        <w:rPr>
          <w:rFonts w:ascii="Arial" w:cs="Arial" w:eastAsia="Arial" w:hAnsi="Arial"/>
          <w:sz w:val="17"/>
          <w:szCs w:val="17"/>
          <w:color w:val="auto"/>
        </w:rPr>
      </w:pPr>
      <w:r>
        <w:rPr>
          <w:rFonts w:ascii="Arial" w:cs="Arial" w:eastAsia="Arial" w:hAnsi="Arial"/>
          <w:sz w:val="17"/>
          <w:szCs w:val="17"/>
          <w:color w:val="auto"/>
        </w:rPr>
        <w:t>a resolution is passed, an administration notice is given or filed, an application or petition to a court is made or presented or any other step is taken by (aa) a Relevant Person, (bb) the members or directors of a Relevant Person, (cc) a holder of Security Interests which together relate to all or substantially all of the assets of a Relevant Person, or (dd) a government minister or public or regulatory authority of a Pertinent Jurisdiction for or with a view to the winding up of that or another Relevant Person or the appointment of a provisional liquidator or administrator in respect of that or another Relevant Person, or that or another Relevant Person ceasing or suspending business operations or payments to creditors, save that this paragraph does not apply to a fully solvent winding up of a Relevant Person other than the Guarantor or any Borrower which is, or is to be, effected for the purposes of an amalgamation or reconstruction previously approved by the Majority Lenders and effected not later than 3 months after the commencement of the winding up; or</w:t>
      </w:r>
    </w:p>
    <w:p>
      <w:pPr>
        <w:spacing w:after="0" w:line="87" w:lineRule="exact"/>
        <w:rPr>
          <w:rFonts w:ascii="Arial" w:cs="Arial" w:eastAsia="Arial" w:hAnsi="Arial"/>
          <w:sz w:val="17"/>
          <w:szCs w:val="17"/>
          <w:color w:val="auto"/>
        </w:rPr>
      </w:pPr>
    </w:p>
    <w:p>
      <w:pPr>
        <w:ind w:left="1692" w:hanging="787"/>
        <w:spacing w:after="0" w:line="289" w:lineRule="auto"/>
        <w:tabs>
          <w:tab w:leader="none" w:pos="1692" w:val="left"/>
        </w:tabs>
        <w:numPr>
          <w:ilvl w:val="1"/>
          <w:numId w:val="365"/>
        </w:numPr>
        <w:rPr>
          <w:rFonts w:ascii="Arial" w:cs="Arial" w:eastAsia="Arial" w:hAnsi="Arial"/>
          <w:sz w:val="16"/>
          <w:szCs w:val="16"/>
          <w:color w:val="auto"/>
        </w:rPr>
      </w:pPr>
      <w:r>
        <w:rPr>
          <w:rFonts w:ascii="Arial" w:cs="Arial" w:eastAsia="Arial" w:hAnsi="Arial"/>
          <w:sz w:val="16"/>
          <w:szCs w:val="16"/>
          <w:color w:val="auto"/>
        </w:rPr>
        <w:t>an administration notice is given or filed, an application or petition to a court is made or presented or any other step is taken by a creditor of a Relevant Person (other than a holder of Security Interests which together relate to all or substantially all of the assets of a Relevant Person) for the winding up of a Relevant Person or the appointment of a provisional liquidator or administrator in respect of a Relevant Person in any Pertinent Jurisdiction, unless the proposed winding up, appointment of a provisional liquidator or administration is being contested in good faith, on substantial grounds and not with a view to some other insolvency law procedure being implemented instead and either (aa) the application or petition is dismissed or withdrawn within 30 days of being made or presented, or (bb) within 30 days of the administration notice being given or filed, or the other relevant steps being taken, other action is taken which will ensure that there will be no administration and (in both cases (aa) or (bb)) the Relevant Person will continue to carry on business in the ordinary way and without being the subject of any actual, interim or pending insolvency law procedure; or</w:t>
      </w:r>
    </w:p>
    <w:p>
      <w:pPr>
        <w:spacing w:after="0" w:line="9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52"/>
          </w:cols>
          <w:pgMar w:left="248" w:top="274" w:right="299" w:bottom="1440" w:gutter="0" w:footer="0" w:header="0"/>
        </w:sectPr>
      </w:pPr>
    </w:p>
    <w:bookmarkStart w:id="259" w:name="page260"/>
    <w:bookmarkEnd w:id="259"/>
    <w:p>
      <w:pPr>
        <w:ind w:left="1692" w:hanging="787"/>
        <w:spacing w:after="0" w:line="255" w:lineRule="auto"/>
        <w:tabs>
          <w:tab w:leader="none" w:pos="16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Relevant Person or its directors take any steps (whether by making or presenting an application or petition to a court, or submitting or presenting a document setting out a proposal or proposed terms, or otherwise) with a view to obtaining, in relation to that or another Relevant Person, any form of moratorium, suspension or deferral of payments, reorganisation of debt (or certain debt) or arrangement with all or a substantial proportion (by number or value) of creditors or of any class of them or any such moratorium, suspension or deferral of payments, reorganisation or arrangement is effected by court order, by the filing of documents with a court, by means of a contract or in any other way at all; or</w:t>
      </w:r>
    </w:p>
    <w:p>
      <w:pPr>
        <w:spacing w:after="0" w:line="98" w:lineRule="exact"/>
        <w:rPr>
          <w:rFonts w:ascii="Arial" w:cs="Arial" w:eastAsia="Arial" w:hAnsi="Arial"/>
          <w:sz w:val="18"/>
          <w:szCs w:val="18"/>
          <w:color w:val="auto"/>
        </w:rPr>
      </w:pPr>
    </w:p>
    <w:p>
      <w:pPr>
        <w:ind w:left="1692" w:right="40" w:hanging="787"/>
        <w:spacing w:after="0" w:line="302" w:lineRule="auto"/>
        <w:tabs>
          <w:tab w:leader="none" w:pos="1692" w:val="left"/>
        </w:tabs>
        <w:numPr>
          <w:ilvl w:val="1"/>
          <w:numId w:val="366"/>
        </w:numPr>
        <w:rPr>
          <w:rFonts w:ascii="Arial" w:cs="Arial" w:eastAsia="Arial" w:hAnsi="Arial"/>
          <w:sz w:val="16"/>
          <w:szCs w:val="16"/>
          <w:color w:val="auto"/>
        </w:rPr>
      </w:pPr>
      <w:r>
        <w:rPr>
          <w:rFonts w:ascii="Arial" w:cs="Arial" w:eastAsia="Arial" w:hAnsi="Arial"/>
          <w:sz w:val="16"/>
          <w:szCs w:val="16"/>
          <w:color w:val="auto"/>
        </w:rPr>
        <w:t>any meeting of the members or directors, or of any committee of the board or senior management, of a Relevant Person is held or summoned for the purpose of considering a resolution or proposal to authorise or take any action of a type described in paragraphs (iv) to (ix) or a step preparatory to such action, or (with or without such a meeting) the members, directors or such a committee resolve or agree that such an action or step should be taken or should be taken if certain conditions materialise or fail to materialise; or</w:t>
      </w:r>
    </w:p>
    <w:p>
      <w:pPr>
        <w:spacing w:after="0" w:line="59" w:lineRule="exact"/>
        <w:rPr>
          <w:rFonts w:ascii="Arial" w:cs="Arial" w:eastAsia="Arial" w:hAnsi="Arial"/>
          <w:sz w:val="16"/>
          <w:szCs w:val="16"/>
          <w:color w:val="auto"/>
        </w:rPr>
      </w:pPr>
    </w:p>
    <w:p>
      <w:pPr>
        <w:ind w:left="1692" w:right="520" w:hanging="787"/>
        <w:spacing w:after="0" w:line="277" w:lineRule="auto"/>
        <w:tabs>
          <w:tab w:leader="none" w:pos="16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 a country other than England, any event occurs, any proceedings are opened or commenced or any step is taken which, in the opinion of the Majority Lenders is similar to any of the foregoing; or</w:t>
      </w:r>
    </w:p>
    <w:p>
      <w:pPr>
        <w:spacing w:after="0" w:line="75" w:lineRule="exact"/>
        <w:rPr>
          <w:rFonts w:ascii="Arial" w:cs="Arial" w:eastAsia="Arial" w:hAnsi="Arial"/>
          <w:sz w:val="18"/>
          <w:szCs w:val="18"/>
          <w:color w:val="auto"/>
        </w:rPr>
      </w:pPr>
    </w:p>
    <w:p>
      <w:pPr>
        <w:ind w:left="1692" w:right="80" w:hanging="787"/>
        <w:spacing w:after="0" w:line="273" w:lineRule="auto"/>
        <w:tabs>
          <w:tab w:leader="none" w:pos="1692" w:val="left"/>
        </w:tabs>
        <w:numPr>
          <w:ilvl w:val="1"/>
          <w:numId w:val="366"/>
        </w:numPr>
        <w:rPr>
          <w:rFonts w:ascii="Arial" w:cs="Arial" w:eastAsia="Arial" w:hAnsi="Arial"/>
          <w:sz w:val="17"/>
          <w:szCs w:val="17"/>
          <w:color w:val="auto"/>
        </w:rPr>
      </w:pPr>
      <w:r>
        <w:rPr>
          <w:rFonts w:ascii="Arial" w:cs="Arial" w:eastAsia="Arial" w:hAnsi="Arial"/>
          <w:sz w:val="17"/>
          <w:szCs w:val="17"/>
          <w:color w:val="auto"/>
        </w:rPr>
        <w:t>a Relevant Person makes any formal declaration of bankruptcy or any formal statement to the effect that it is insolvent or likely to become insolvent, or a winding up or administration order is made in relation to a Relevant Person, or the members or directors of a Relevant Person pass a resolution to the effect that it should be wound up, placed in administration or cease to carry on business, save that this paragraph does not apply to a fully solvent winding up of a Relevant Person other than a Borrower which is, or is to be, effected for the purposes of an amalgamation or reconstruction previously approved by the Majority Lenders and effected not later than 3 months after the commencement of the winding up; or</w:t>
      </w:r>
    </w:p>
    <w:p>
      <w:pPr>
        <w:spacing w:after="0" w:line="83" w:lineRule="exact"/>
        <w:rPr>
          <w:rFonts w:ascii="Arial" w:cs="Arial" w:eastAsia="Arial" w:hAnsi="Arial"/>
          <w:sz w:val="17"/>
          <w:szCs w:val="17"/>
          <w:color w:val="auto"/>
        </w:rPr>
      </w:pPr>
    </w:p>
    <w:p>
      <w:pPr>
        <w:ind w:left="1692" w:right="380" w:hanging="787"/>
        <w:spacing w:after="0" w:line="264" w:lineRule="auto"/>
        <w:tabs>
          <w:tab w:leader="none" w:pos="16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petition is presented in any Pertinent Jurisdiction for the winding up or administration, or the appointment of a provisional liquidator, of a Relevant Person unless the petition is being contested in good faith and on substantial grounds and is dismissed or withdrawn within 30 days of the presentation of the petition; or</w:t>
      </w:r>
    </w:p>
    <w:p>
      <w:pPr>
        <w:spacing w:after="0" w:line="86" w:lineRule="exact"/>
        <w:rPr>
          <w:rFonts w:ascii="Arial" w:cs="Arial" w:eastAsia="Arial" w:hAnsi="Arial"/>
          <w:sz w:val="18"/>
          <w:szCs w:val="18"/>
          <w:color w:val="auto"/>
        </w:rPr>
      </w:pPr>
    </w:p>
    <w:p>
      <w:pPr>
        <w:ind w:left="1692" w:right="60" w:hanging="787"/>
        <w:spacing w:after="0" w:line="259" w:lineRule="auto"/>
        <w:tabs>
          <w:tab w:leader="none" w:pos="16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Relevant Person petitions a court, or presents any proposal for, any form of judicial or non-judicial suspension or deferral of payments, reorganisation of its debt (or certain of its debt) or arrangement with all or a substantial proportion (by number or value) of its creditors or of any class of them or any such suspension or deferral of payments, reorganisation or arrangement is effected by court order, contract or otherwise; or</w:t>
      </w:r>
    </w:p>
    <w:p>
      <w:pPr>
        <w:spacing w:after="0" w:line="92" w:lineRule="exact"/>
        <w:rPr>
          <w:rFonts w:ascii="Arial" w:cs="Arial" w:eastAsia="Arial" w:hAnsi="Arial"/>
          <w:sz w:val="18"/>
          <w:szCs w:val="18"/>
          <w:color w:val="auto"/>
        </w:rPr>
      </w:pPr>
    </w:p>
    <w:p>
      <w:pPr>
        <w:ind w:left="1692" w:right="100" w:hanging="787"/>
        <w:spacing w:after="0" w:line="277" w:lineRule="auto"/>
        <w:tabs>
          <w:tab w:leader="none" w:pos="16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meeting of the members or directors of a Relevant Person is summoned for the purpose of considering a resolution or proposal to authorise or take any action of a type described in paragraphs (iii), (iv), (v) or (vi) above; or</w:t>
      </w:r>
    </w:p>
    <w:p>
      <w:pPr>
        <w:spacing w:after="0" w:line="75" w:lineRule="exact"/>
        <w:rPr>
          <w:rFonts w:ascii="Arial" w:cs="Arial" w:eastAsia="Arial" w:hAnsi="Arial"/>
          <w:sz w:val="18"/>
          <w:szCs w:val="18"/>
          <w:color w:val="auto"/>
        </w:rPr>
      </w:pPr>
    </w:p>
    <w:p>
      <w:pPr>
        <w:ind w:left="1692" w:right="100" w:hanging="787"/>
        <w:spacing w:after="0" w:line="277" w:lineRule="auto"/>
        <w:tabs>
          <w:tab w:leader="none" w:pos="16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 a Pertinent Jurisdiction other than England, any event occurs or any procedure is commenced which, in the opinion of the Majority Lenders, is similar to any of the foregoing; or</w:t>
      </w:r>
    </w:p>
    <w:p>
      <w:pPr>
        <w:spacing w:after="0" w:line="75" w:lineRule="exact"/>
        <w:rPr>
          <w:rFonts w:ascii="Arial" w:cs="Arial" w:eastAsia="Arial" w:hAnsi="Arial"/>
          <w:sz w:val="18"/>
          <w:szCs w:val="18"/>
          <w:color w:val="auto"/>
        </w:rPr>
      </w:pPr>
    </w:p>
    <w:p>
      <w:pPr>
        <w:ind w:left="912" w:right="260" w:hanging="912"/>
        <w:spacing w:after="0" w:line="342" w:lineRule="auto"/>
        <w:tabs>
          <w:tab w:leader="none" w:pos="912"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 Borrower, the Guarantor and, after exercise of the Option in respect of any Ship, the Substitute Guarantor, ceases or suspends carrying on its business or a part of its business which, in the reasonable opinion of the Majority Lenders, is material in the context of this Agreement; or</w:t>
      </w:r>
    </w:p>
    <w:p>
      <w:pPr>
        <w:spacing w:after="0" w:line="29" w:lineRule="exact"/>
        <w:rPr>
          <w:rFonts w:ascii="Arial" w:cs="Arial" w:eastAsia="Arial" w:hAnsi="Arial"/>
          <w:sz w:val="16"/>
          <w:szCs w:val="16"/>
          <w:color w:val="auto"/>
        </w:rPr>
      </w:pPr>
    </w:p>
    <w:p>
      <w:pPr>
        <w:ind w:left="912" w:hanging="912"/>
        <w:spacing w:after="0"/>
        <w:tabs>
          <w:tab w:leader="none" w:pos="91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it becomes unlawful in any Pertinent Jurisdiction or impossible: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12"/>
          </w:cols>
          <w:pgMar w:left="248" w:top="274" w:right="239" w:bottom="1440" w:gutter="0" w:footer="0" w:header="0"/>
        </w:sectPr>
      </w:pPr>
    </w:p>
    <w:bookmarkStart w:id="260" w:name="page261"/>
    <w:bookmarkEnd w:id="260"/>
    <w:p>
      <w:pPr>
        <w:ind w:left="1692" w:right="180" w:hanging="787"/>
        <w:spacing w:after="0" w:line="277" w:lineRule="auto"/>
        <w:tabs>
          <w:tab w:leader="none" w:pos="1692" w:val="left"/>
        </w:tabs>
        <w:numPr>
          <w:ilvl w:val="1"/>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any Borrower or any Security Party to discharge any liability under a Finance Document or to comply with any other obligation which the Majority Lenders consider material under a Finance Document; or</w:t>
      </w:r>
    </w:p>
    <w:p>
      <w:pPr>
        <w:spacing w:after="0" w:line="75" w:lineRule="exact"/>
        <w:rPr>
          <w:rFonts w:ascii="Arial" w:cs="Arial" w:eastAsia="Arial" w:hAnsi="Arial"/>
          <w:sz w:val="18"/>
          <w:szCs w:val="18"/>
          <w:color w:val="auto"/>
        </w:rPr>
      </w:pPr>
    </w:p>
    <w:p>
      <w:pPr>
        <w:ind w:left="1692" w:right="180" w:hanging="787"/>
        <w:spacing w:after="0" w:line="277" w:lineRule="auto"/>
        <w:tabs>
          <w:tab w:leader="none" w:pos="169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for the Facility Agent, the Security Trustee or the Lenders to exercise or enforce any right under, or to enforce any Security Interest created by, a Finance Document; or</w:t>
      </w:r>
    </w:p>
    <w:p>
      <w:pPr>
        <w:spacing w:after="0" w:line="75" w:lineRule="exact"/>
        <w:rPr>
          <w:rFonts w:ascii="Arial" w:cs="Arial" w:eastAsia="Arial" w:hAnsi="Arial"/>
          <w:sz w:val="18"/>
          <w:szCs w:val="18"/>
          <w:color w:val="auto"/>
        </w:rPr>
      </w:pPr>
    </w:p>
    <w:p>
      <w:pPr>
        <w:jc w:val="both"/>
        <w:ind w:left="912" w:right="20" w:hanging="912"/>
        <w:spacing w:after="0" w:line="312" w:lineRule="auto"/>
        <w:tabs>
          <w:tab w:leader="none" w:pos="91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any official consent necessary to enable any Borrower to own, operate or charter the Ship owned by it or to enable any Borrower or any Security Party to comply with any of the provision which the Majority Lenders consider material of a Finance Document or any Underlying Document is not granted, expires without being renewed, is revoked or becomes liable to revocation or any condition of such a consent is not fulfilled; or</w:t>
      </w:r>
    </w:p>
    <w:p>
      <w:pPr>
        <w:spacing w:after="0" w:line="52" w:lineRule="exact"/>
        <w:rPr>
          <w:rFonts w:ascii="Arial" w:cs="Arial" w:eastAsia="Arial" w:hAnsi="Arial"/>
          <w:sz w:val="16"/>
          <w:szCs w:val="16"/>
          <w:color w:val="auto"/>
        </w:rPr>
      </w:pPr>
    </w:p>
    <w:p>
      <w:pPr>
        <w:ind w:left="912" w:right="60" w:hanging="912"/>
        <w:spacing w:after="0" w:line="259" w:lineRule="auto"/>
        <w:tabs>
          <w:tab w:leader="none" w:pos="91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after exercising an Option, the common units of the Substitute Guarantor cease to be quoted on the Nasdaq National Market in New York or any other internationally recognised stock exchange acceptable to the Lenders or if the whole of the issued share capital of any Borrower whose Ship is at the relevant time subject to a Mortgage is not wholly-owned by the Guarantor or, after exercise of the Option in respect of the Ship owned by that Borrower, the Substitute Guarantor; or</w:t>
      </w:r>
    </w:p>
    <w:p>
      <w:pPr>
        <w:spacing w:after="0" w:line="92" w:lineRule="exact"/>
        <w:rPr>
          <w:rFonts w:ascii="Arial" w:cs="Arial" w:eastAsia="Arial" w:hAnsi="Arial"/>
          <w:sz w:val="18"/>
          <w:szCs w:val="18"/>
          <w:color w:val="auto"/>
        </w:rPr>
      </w:pPr>
    </w:p>
    <w:p>
      <w:pPr>
        <w:ind w:left="912" w:hanging="912"/>
        <w:spacing w:after="0" w:line="286" w:lineRule="auto"/>
        <w:tabs>
          <w:tab w:leader="none" w:pos="912"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any provision which the Majority Lenders reasonably consider material of a Finance Document proves to have been or becomes invalid or unenforceable, or a Security Interest created by a Finance Document proves to have been or becomes invalid or unenforceable or such a Security Interest proves to have ranked after, or loses its priority to, another Security Interest or any other third party claim or interest; or</w:t>
      </w:r>
    </w:p>
    <w:p>
      <w:pPr>
        <w:spacing w:after="0" w:line="70" w:lineRule="exact"/>
        <w:rPr>
          <w:rFonts w:ascii="Arial" w:cs="Arial" w:eastAsia="Arial" w:hAnsi="Arial"/>
          <w:sz w:val="17"/>
          <w:szCs w:val="17"/>
          <w:color w:val="auto"/>
        </w:rPr>
      </w:pPr>
    </w:p>
    <w:p>
      <w:pPr>
        <w:ind w:left="912" w:hanging="912"/>
        <w:spacing w:after="0"/>
        <w:tabs>
          <w:tab w:leader="none" w:pos="91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security constituted by a Finance Document is in any way imperilled or in jeopardy; or</w:t>
      </w:r>
    </w:p>
    <w:p>
      <w:pPr>
        <w:spacing w:after="0" w:line="130" w:lineRule="exact"/>
        <w:rPr>
          <w:rFonts w:ascii="Arial" w:cs="Arial" w:eastAsia="Arial" w:hAnsi="Arial"/>
          <w:sz w:val="18"/>
          <w:szCs w:val="18"/>
          <w:color w:val="auto"/>
        </w:rPr>
      </w:pPr>
    </w:p>
    <w:p>
      <w:pPr>
        <w:ind w:left="912" w:hanging="912"/>
        <w:spacing w:after="0"/>
        <w:tabs>
          <w:tab w:leader="none" w:pos="91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any of the following occurs in relation to a Master Agreement:</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notice of an Early Termination Date is given by the Swap Bank under Section 6(a) of a Master Agreement; or</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person entitled to do so gives notice of Early Termination Date under Section (b) of a Master Agreement; or</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 Event of Default (as defined in Section 14 of a Master Agreement) occurs; or</w:t>
      </w:r>
    </w:p>
    <w:p>
      <w:pPr>
        <w:spacing w:after="0" w:line="130" w:lineRule="exact"/>
        <w:rPr>
          <w:rFonts w:ascii="Arial" w:cs="Arial" w:eastAsia="Arial" w:hAnsi="Arial"/>
          <w:sz w:val="18"/>
          <w:szCs w:val="18"/>
          <w:color w:val="auto"/>
        </w:rPr>
      </w:pPr>
    </w:p>
    <w:p>
      <w:pPr>
        <w:ind w:left="1692" w:right="140" w:hanging="787"/>
        <w:spacing w:after="0" w:line="277" w:lineRule="auto"/>
        <w:tabs>
          <w:tab w:leader="none" w:pos="16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Master Agreement is terminated, cancelled, suspended, rescinded or revoked or otherwise ceases to remain in full force and effect for any reason except with the consent of the Swap Bank; or</w:t>
      </w:r>
    </w:p>
    <w:p>
      <w:pPr>
        <w:spacing w:after="0" w:line="75" w:lineRule="exact"/>
        <w:rPr>
          <w:rFonts w:ascii="Arial" w:cs="Arial" w:eastAsia="Arial" w:hAnsi="Arial"/>
          <w:sz w:val="18"/>
          <w:szCs w:val="18"/>
          <w:color w:val="auto"/>
        </w:rPr>
      </w:pPr>
    </w:p>
    <w:p>
      <w:pPr>
        <w:ind w:left="912" w:hanging="912"/>
        <w:spacing w:after="0"/>
        <w:tabs>
          <w:tab w:leader="none" w:pos="91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any other event occurs or any other circumstances arise or develop including, without limitation:</w:t>
      </w:r>
    </w:p>
    <w:p>
      <w:pPr>
        <w:spacing w:after="0" w:line="130" w:lineRule="exact"/>
        <w:rPr>
          <w:rFonts w:ascii="Arial" w:cs="Arial" w:eastAsia="Arial" w:hAnsi="Arial"/>
          <w:sz w:val="18"/>
          <w:szCs w:val="18"/>
          <w:color w:val="auto"/>
        </w:rPr>
      </w:pPr>
    </w:p>
    <w:p>
      <w:pPr>
        <w:ind w:left="1692" w:right="620" w:hanging="787"/>
        <w:spacing w:after="0" w:line="277" w:lineRule="auto"/>
        <w:tabs>
          <w:tab w:leader="none" w:pos="16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change in the financial position, state of affairs or prospects of a Borrower, the Guarantor or, after exercising an Option, the Substitute Guarantor; or</w:t>
      </w:r>
    </w:p>
    <w:p>
      <w:pPr>
        <w:spacing w:after="0" w:line="75" w:lineRule="exact"/>
        <w:rPr>
          <w:rFonts w:ascii="Arial" w:cs="Arial" w:eastAsia="Arial" w:hAnsi="Arial"/>
          <w:sz w:val="18"/>
          <w:szCs w:val="18"/>
          <w:color w:val="auto"/>
        </w:rPr>
      </w:pPr>
    </w:p>
    <w:p>
      <w:pPr>
        <w:ind w:left="1692" w:hanging="787"/>
        <w:spacing w:after="0"/>
        <w:tabs>
          <w:tab w:leader="none" w:pos="16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accident or other event involving a Ship or another vessel owned, chartered or operated by a Relevant Person; or</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commencement of legal or administrative action involving the Borrower, the Ship owned by it, or any Security Party,</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which in the reasonable opinion of the Lenders constitutes a Material Adverse Change.</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32"/>
          </w:cols>
          <w:pgMar w:left="248" w:top="274" w:right="319" w:bottom="1440" w:gutter="0" w:footer="0" w:header="0"/>
        </w:sectPr>
      </w:pPr>
    </w:p>
    <w:bookmarkStart w:id="261" w:name="page262"/>
    <w:bookmarkEnd w:id="26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19.2</w:t>
      </w:r>
      <w:r>
        <w:rPr>
          <w:sz w:val="20"/>
          <w:szCs w:val="20"/>
          <w:color w:val="auto"/>
        </w:rPr>
        <w:tab/>
      </w:r>
      <w:r>
        <w:rPr>
          <w:rFonts w:ascii="Arial" w:cs="Arial" w:eastAsia="Arial" w:hAnsi="Arial"/>
          <w:sz w:val="16"/>
          <w:szCs w:val="16"/>
          <w:b w:val="1"/>
          <w:bCs w:val="1"/>
          <w:color w:val="auto"/>
        </w:rPr>
        <w:t>Actions following an Event of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or at any time after, the occurrence of an Event of Default in relation to a Group:</w:t>
      </w:r>
    </w:p>
    <w:p>
      <w:pPr>
        <w:spacing w:after="0" w:line="131" w:lineRule="exact"/>
        <w:rPr>
          <w:sz w:val="20"/>
          <w:szCs w:val="20"/>
          <w:color w:val="auto"/>
        </w:rPr>
      </w:pPr>
    </w:p>
    <w:p>
      <w:pPr>
        <w:ind w:left="920" w:hanging="912"/>
        <w:spacing w:after="0"/>
        <w:tabs>
          <w:tab w:leader="none" w:pos="9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Facility Agent may, and if so instructed by the Majority Lenders, the Facility Agent shall:</w:t>
      </w:r>
    </w:p>
    <w:p>
      <w:pPr>
        <w:spacing w:after="0" w:line="130" w:lineRule="exact"/>
        <w:rPr>
          <w:rFonts w:ascii="Arial" w:cs="Arial" w:eastAsia="Arial" w:hAnsi="Arial"/>
          <w:sz w:val="18"/>
          <w:szCs w:val="18"/>
          <w:color w:val="auto"/>
        </w:rPr>
      </w:pPr>
    </w:p>
    <w:p>
      <w:pPr>
        <w:ind w:left="1700" w:right="300" w:hanging="787"/>
        <w:spacing w:after="0" w:line="277" w:lineRule="auto"/>
        <w:tabs>
          <w:tab w:leader="none" w:pos="1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serve on the Borrowers a notice stating that the Commitments and all other obligations of each Lender to the Borrowers under this Agreement are terminated; and/or</w:t>
      </w:r>
    </w:p>
    <w:p>
      <w:pPr>
        <w:spacing w:after="0" w:line="75" w:lineRule="exact"/>
        <w:rPr>
          <w:rFonts w:ascii="Arial" w:cs="Arial" w:eastAsia="Arial" w:hAnsi="Arial"/>
          <w:sz w:val="18"/>
          <w:szCs w:val="18"/>
          <w:color w:val="auto"/>
        </w:rPr>
      </w:pPr>
    </w:p>
    <w:p>
      <w:pPr>
        <w:jc w:val="both"/>
        <w:ind w:left="1700" w:right="80" w:hanging="787"/>
        <w:spacing w:after="0" w:line="264" w:lineRule="auto"/>
        <w:tabs>
          <w:tab w:leader="none" w:pos="1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serve on the Borrowers a notice stating that the Advance or Advances (or part thereof) owing by any Borrower which is a member of that Group, all accrued interest and all other amounts accrued or owing in respect of that or those Advances under this Agreement are immediately due and payable or are due and payable on demand; and/or</w:t>
      </w:r>
    </w:p>
    <w:p>
      <w:pPr>
        <w:spacing w:after="0" w:line="86" w:lineRule="exact"/>
        <w:rPr>
          <w:rFonts w:ascii="Arial" w:cs="Arial" w:eastAsia="Arial" w:hAnsi="Arial"/>
          <w:sz w:val="18"/>
          <w:szCs w:val="18"/>
          <w:color w:val="auto"/>
        </w:rPr>
      </w:pPr>
    </w:p>
    <w:p>
      <w:pPr>
        <w:ind w:left="1700" w:right="420" w:hanging="787"/>
        <w:spacing w:after="0" w:line="277" w:lineRule="auto"/>
        <w:tabs>
          <w:tab w:leader="none" w:pos="1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take any other action which, as a result of the Event of Default or any notice served under paragraph (i) or (ii) above, the Facility Agent and/or the Lenders are entitled to take under any Finance Document or any applicable law; and/or</w:t>
      </w:r>
    </w:p>
    <w:p>
      <w:pPr>
        <w:spacing w:after="0" w:line="75" w:lineRule="exact"/>
        <w:rPr>
          <w:rFonts w:ascii="Arial" w:cs="Arial" w:eastAsia="Arial" w:hAnsi="Arial"/>
          <w:sz w:val="18"/>
          <w:szCs w:val="18"/>
          <w:color w:val="auto"/>
        </w:rPr>
      </w:pPr>
    </w:p>
    <w:p>
      <w:pPr>
        <w:ind w:left="920" w:right="60" w:hanging="912"/>
        <w:spacing w:after="0" w:line="312" w:lineRule="auto"/>
        <w:tabs>
          <w:tab w:leader="none" w:pos="92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Security Trustee may, and if so instructed by the Facility Agent, acting with the authorisation of the Majority Lenders, the Security Trustee shall take any action which, as a result of the Event of Default or any notice served under paragraph (a) (i) or (ii) above, the Security Trustee, the Facility Agent, the Lenders and/or the Swap Bank are entitled to take under any Finance Document or any applicable law.</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Termination of Commitments</w:t>
      </w:r>
    </w:p>
    <w:p>
      <w:pPr>
        <w:spacing w:after="0" w:line="121"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On the service of a notice under paragraph (a)(i) of Clause 19.2, the Commitments and all other obligations of each Lender to the Borrowers under this Agreement shall terminate.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Acceleration of Loan</w:t>
      </w:r>
    </w:p>
    <w:p>
      <w:pPr>
        <w:spacing w:after="0" w:line="12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On the service of a notice under paragraph (a)(ii) of Clause 19.2, either Advance (or part thereof) referred to therein, all accrued interest and all other amounts accrued or owing from any Borrower which is a member of the Group to which the Event of Default relates or any other Security Party under this Agreement and every other Finance Document securing any of those Advances shall become immediately due and payable or, as the case may be, payable on demand.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Multiple notices; action without notice</w:t>
      </w:r>
    </w:p>
    <w:p>
      <w:pPr>
        <w:spacing w:after="0" w:line="121"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Facility Agent may serve notices under paragraphs (a) (i) and (ii) of Clause 19.2 simultaneously or on different dates and it and/or the Security Trustee may take any action referred to in that Clause if no such notice is served or simultaneously with or at any time after the service of both or either of such notices.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Notification of Creditor Parties and Security Parties</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Facility Agent shall send to each Lender, the Swap Bank, the Security Trustee and each Security Party a copy or the text of any notice which the Facility Agent serves on the Borrowers under Clause 19.2; but the notice shall become effective when it is served on the Borrowers, and no failure or delay by the Facility Agent to send a copy or the text of the notice to any other person shall invalidate the notice or provide the Borrowers or any Security Party with any form of claim or defence.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0" w:right="259" w:bottom="1440" w:gutter="0" w:footer="0" w:header="0"/>
        </w:sectPr>
      </w:pPr>
    </w:p>
    <w:bookmarkStart w:id="262" w:name="page263"/>
    <w:bookmarkEnd w:id="26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19.7</w:t>
      </w:r>
      <w:r>
        <w:rPr>
          <w:sz w:val="20"/>
          <w:szCs w:val="20"/>
          <w:color w:val="auto"/>
        </w:rPr>
        <w:tab/>
      </w:r>
      <w:r>
        <w:rPr>
          <w:rFonts w:ascii="Arial" w:cs="Arial" w:eastAsia="Arial" w:hAnsi="Arial"/>
          <w:sz w:val="16"/>
          <w:szCs w:val="16"/>
          <w:b w:val="1"/>
          <w:bCs w:val="1"/>
          <w:color w:val="auto"/>
        </w:rPr>
        <w:t>Lender’s rights unimpaired</w:t>
      </w:r>
    </w:p>
    <w:p>
      <w:pPr>
        <w:spacing w:after="0" w:line="121"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Nothing in this Clause shall be taken to impair or restrict the exercise of any right given to individual Lenders or the Swap Bank under a Finance Document or the general law; and, in particular, this Clause is without prejudice to Clause 3.1.</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Exclusion of Creditor Party Liability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Creditor Party, and no receiver or manager appointed by the Security Trustee, shall have any liability to any Borrower or a Security Party:</w:t>
      </w:r>
    </w:p>
    <w:p>
      <w:pPr>
        <w:spacing w:after="0" w:line="154" w:lineRule="exact"/>
        <w:rPr>
          <w:sz w:val="20"/>
          <w:szCs w:val="20"/>
          <w:color w:val="auto"/>
        </w:rPr>
      </w:pPr>
    </w:p>
    <w:p>
      <w:pPr>
        <w:ind w:left="920" w:hanging="912"/>
        <w:spacing w:after="0" w:line="277" w:lineRule="auto"/>
        <w:tabs>
          <w:tab w:leader="none" w:pos="9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for any loss caused by an exercise of rights under, or enforcement of a Security Interest created by, a Finance Document or by any failure or delay to exercise such a right or to enforce such a Security Interest; or</w:t>
      </w:r>
    </w:p>
    <w:p>
      <w:pPr>
        <w:spacing w:after="0" w:line="75" w:lineRule="exact"/>
        <w:rPr>
          <w:rFonts w:ascii="Arial" w:cs="Arial" w:eastAsia="Arial" w:hAnsi="Arial"/>
          <w:sz w:val="18"/>
          <w:szCs w:val="18"/>
          <w:color w:val="auto"/>
        </w:rPr>
      </w:pPr>
    </w:p>
    <w:p>
      <w:pPr>
        <w:ind w:left="920" w:right="420" w:hanging="912"/>
        <w:spacing w:after="0" w:line="277" w:lineRule="auto"/>
        <w:tabs>
          <w:tab w:leader="none" w:pos="9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as mortgagee in possession or otherwise, for any income or principal amount which might have been produced by or realised from any asset comprised in such a Security Interest or for any reduction (however caused) in the value of such an asset,</w:t>
      </w:r>
    </w:p>
    <w:p>
      <w:pPr>
        <w:spacing w:after="0" w:line="62" w:lineRule="exact"/>
        <w:rPr>
          <w:rFonts w:ascii="Arial" w:cs="Arial" w:eastAsia="Arial" w:hAnsi="Arial"/>
          <w:sz w:val="18"/>
          <w:szCs w:val="18"/>
          <w:color w:val="auto"/>
        </w:rPr>
      </w:pPr>
    </w:p>
    <w:p>
      <w:pPr>
        <w:ind w:left="920" w:right="120"/>
        <w:spacing w:after="0" w:line="264" w:lineRule="auto"/>
        <w:rPr>
          <w:rFonts w:ascii="Arial" w:cs="Arial" w:eastAsia="Arial" w:hAnsi="Arial"/>
          <w:sz w:val="18"/>
          <w:szCs w:val="18"/>
          <w:color w:val="auto"/>
        </w:rPr>
      </w:pPr>
      <w:r>
        <w:rPr>
          <w:rFonts w:ascii="Arial" w:cs="Arial" w:eastAsia="Arial" w:hAnsi="Arial"/>
          <w:sz w:val="18"/>
          <w:szCs w:val="18"/>
          <w:color w:val="auto"/>
        </w:rPr>
        <w:t>except that this does not exempt a Creditor Party or a receiver or manager from liability for losses shown to have been directly or mainly caused by the gross negligence, the dishonesty or the wilful misconduct of such Creditor Party’s own officers and employees or ( as the case may be) such receiver’s or manager’s own partners or employees.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5"/>
          <w:szCs w:val="15"/>
          <w:b w:val="1"/>
          <w:bCs w:val="1"/>
          <w:color w:val="auto"/>
        </w:rPr>
        <w:t>Relevant Persons</w:t>
      </w:r>
    </w:p>
    <w:p>
      <w:pPr>
        <w:spacing w:after="0" w:line="117" w:lineRule="exact"/>
        <w:rPr>
          <w:sz w:val="20"/>
          <w:szCs w:val="20"/>
          <w:color w:val="auto"/>
        </w:rPr>
      </w:pPr>
    </w:p>
    <w:p>
      <w:pPr>
        <w:ind w:left="920" w:right="40"/>
        <w:spacing w:after="0" w:line="282" w:lineRule="auto"/>
        <w:rPr>
          <w:sz w:val="20"/>
          <w:szCs w:val="20"/>
          <w:color w:val="auto"/>
        </w:rPr>
      </w:pPr>
      <w:r>
        <w:rPr>
          <w:rFonts w:ascii="Arial" w:cs="Arial" w:eastAsia="Arial" w:hAnsi="Arial"/>
          <w:sz w:val="18"/>
          <w:szCs w:val="18"/>
          <w:color w:val="auto"/>
        </w:rPr>
        <w:t>In this Clause 19, “</w:t>
      </w:r>
      <w:r>
        <w:rPr>
          <w:rFonts w:ascii="Arial" w:cs="Arial" w:eastAsia="Arial" w:hAnsi="Arial"/>
          <w:sz w:val="18"/>
          <w:szCs w:val="18"/>
          <w:b w:val="1"/>
          <w:bCs w:val="1"/>
          <w:color w:val="auto"/>
        </w:rPr>
        <w:t>a Relevant Person</w:t>
      </w:r>
      <w:r>
        <w:rPr>
          <w:rFonts w:ascii="Arial" w:cs="Arial" w:eastAsia="Arial" w:hAnsi="Arial"/>
          <w:sz w:val="18"/>
          <w:szCs w:val="18"/>
          <w:color w:val="auto"/>
        </w:rPr>
        <w:t>” means a Borrower, the Guarantor and any other Security Party or member of the CMTC Group and, after exercising the Option, any member of the CPLP Group.</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6"/>
          <w:szCs w:val="16"/>
          <w:b w:val="1"/>
          <w:bCs w:val="1"/>
          <w:color w:val="auto"/>
        </w:rPr>
        <w:t>Interpretation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Event of Default shall be deemed to have occurred under this Clause 19 in relation to a Group if it relates to:</w:t>
      </w:r>
    </w:p>
    <w:p>
      <w:pPr>
        <w:spacing w:after="0" w:line="131" w:lineRule="exact"/>
        <w:rPr>
          <w:sz w:val="20"/>
          <w:szCs w:val="20"/>
          <w:color w:val="auto"/>
        </w:rPr>
      </w:pPr>
    </w:p>
    <w:p>
      <w:pPr>
        <w:ind w:left="920" w:hanging="912"/>
        <w:spacing w:after="0"/>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Borrower which is a member of that Group;</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Ship owned or to be owned by a member of that Group;</w:t>
      </w:r>
    </w:p>
    <w:p>
      <w:pPr>
        <w:spacing w:after="0" w:line="130" w:lineRule="exact"/>
        <w:rPr>
          <w:rFonts w:ascii="Arial" w:cs="Arial" w:eastAsia="Arial" w:hAnsi="Arial"/>
          <w:sz w:val="18"/>
          <w:szCs w:val="18"/>
          <w:color w:val="auto"/>
        </w:rPr>
      </w:pPr>
    </w:p>
    <w:p>
      <w:pPr>
        <w:ind w:left="920" w:right="340" w:hanging="912"/>
        <w:spacing w:after="0" w:line="277" w:lineRule="auto"/>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Finance Document that is executed as security for, or to establish any kind of priorities arrangement in relation to, any amount payable by a member of that Group;</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Security Party executing such a Finance Document;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generally, that Group or the members of that Group,</w:t>
      </w:r>
    </w:p>
    <w:p>
      <w:pPr>
        <w:spacing w:after="0" w:line="117" w:lineRule="exact"/>
        <w:rPr>
          <w:rFonts w:ascii="Arial" w:cs="Arial" w:eastAsia="Arial" w:hAnsi="Arial"/>
          <w:sz w:val="18"/>
          <w:szCs w:val="18"/>
          <w:color w:val="auto"/>
        </w:rPr>
      </w:pPr>
    </w:p>
    <w:p>
      <w:pPr>
        <w:ind w:left="920" w:right="100"/>
        <w:spacing w:after="0" w:line="259" w:lineRule="auto"/>
        <w:rPr>
          <w:rFonts w:ascii="Arial" w:cs="Arial" w:eastAsia="Arial" w:hAnsi="Arial"/>
          <w:sz w:val="18"/>
          <w:szCs w:val="18"/>
          <w:color w:val="auto"/>
        </w:rPr>
      </w:pPr>
      <w:r>
        <w:rPr>
          <w:rFonts w:ascii="Arial" w:cs="Arial" w:eastAsia="Arial" w:hAnsi="Arial"/>
          <w:sz w:val="18"/>
          <w:szCs w:val="18"/>
          <w:color w:val="auto"/>
        </w:rPr>
        <w:t>it being agreed that on the occurrence of an Event of Default in relation to a Group, no rights whatsoever shall accrue to the Creditor Parties as a result thereof to take action under the Loan Agreement or any other Finance Document in relation to any other Borrower which is a member of the other Group or its Ship (provided always that no Event of Default has occurred and is continuing at the time in relation to such other Borrower or Ship,</w:t>
      </w:r>
    </w:p>
    <w:p>
      <w:pPr>
        <w:spacing w:after="0" w:line="78" w:lineRule="exact"/>
        <w:rPr>
          <w:rFonts w:ascii="Arial" w:cs="Arial" w:eastAsia="Arial" w:hAnsi="Arial"/>
          <w:sz w:val="18"/>
          <w:szCs w:val="18"/>
          <w:color w:val="auto"/>
        </w:rPr>
      </w:pPr>
    </w:p>
    <w:p>
      <w:pPr>
        <w:ind w:left="920" w:right="440"/>
        <w:spacing w:after="0" w:line="342" w:lineRule="auto"/>
        <w:rPr>
          <w:rFonts w:ascii="Arial" w:cs="Arial" w:eastAsia="Arial" w:hAnsi="Arial"/>
          <w:sz w:val="18"/>
          <w:szCs w:val="18"/>
          <w:color w:val="auto"/>
        </w:rPr>
      </w:pPr>
      <w:r>
        <w:rPr>
          <w:rFonts w:ascii="Arial" w:cs="Arial" w:eastAsia="Arial" w:hAnsi="Arial"/>
          <w:sz w:val="16"/>
          <w:szCs w:val="16"/>
          <w:color w:val="auto"/>
        </w:rPr>
        <w:t>and in Clause 19.1(f) references to an event of default or a termination event include any event, howsoever described, which is similar to an event of default in a facility agreement or a termination event in a finance lease; and in Clause 19.1(g) “</w:t>
      </w:r>
      <w:r>
        <w:rPr>
          <w:rFonts w:ascii="Arial" w:cs="Arial" w:eastAsia="Arial" w:hAnsi="Arial"/>
          <w:sz w:val="16"/>
          <w:szCs w:val="16"/>
          <w:b w:val="1"/>
          <w:bCs w:val="1"/>
          <w:color w:val="auto"/>
        </w:rPr>
        <w:t>petition</w:t>
      </w:r>
      <w:r>
        <w:rPr>
          <w:rFonts w:ascii="Arial" w:cs="Arial" w:eastAsia="Arial" w:hAnsi="Arial"/>
          <w:sz w:val="16"/>
          <w:szCs w:val="16"/>
          <w:color w:val="auto"/>
        </w:rPr>
        <w:t>” includes an application.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0" w:right="239" w:bottom="1440" w:gutter="0" w:footer="0" w:header="0"/>
        </w:sectPr>
      </w:pPr>
    </w:p>
    <w:bookmarkStart w:id="263" w:name="page264"/>
    <w:bookmarkEnd w:id="26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19.11</w:t>
      </w:r>
      <w:r>
        <w:rPr>
          <w:sz w:val="20"/>
          <w:szCs w:val="20"/>
          <w:color w:val="auto"/>
        </w:rPr>
        <w:tab/>
      </w:r>
      <w:r>
        <w:rPr>
          <w:rFonts w:ascii="Arial" w:cs="Arial" w:eastAsia="Arial" w:hAnsi="Arial"/>
          <w:sz w:val="16"/>
          <w:szCs w:val="16"/>
          <w:b w:val="1"/>
          <w:bCs w:val="1"/>
          <w:color w:val="auto"/>
        </w:rPr>
        <w:t>Position of the Swap Bank</w:t>
      </w:r>
    </w:p>
    <w:p>
      <w:pPr>
        <w:spacing w:after="0" w:line="121" w:lineRule="exact"/>
        <w:rPr>
          <w:sz w:val="20"/>
          <w:szCs w:val="20"/>
          <w:color w:val="auto"/>
        </w:rPr>
      </w:pPr>
    </w:p>
    <w:p>
      <w:pPr>
        <w:ind w:left="920" w:right="420"/>
        <w:spacing w:after="0" w:line="264" w:lineRule="auto"/>
        <w:rPr>
          <w:sz w:val="20"/>
          <w:szCs w:val="20"/>
          <w:color w:val="auto"/>
        </w:rPr>
      </w:pPr>
      <w:r>
        <w:rPr>
          <w:rFonts w:ascii="Arial" w:cs="Arial" w:eastAsia="Arial" w:hAnsi="Arial"/>
          <w:sz w:val="18"/>
          <w:szCs w:val="18"/>
          <w:color w:val="auto"/>
        </w:rPr>
        <w:t>Neither the Facility Agent nor the Security Trustee shall be obliged, in connection with any action taken or proposed to be taken under or pursuant to the foregoing provisions of this Clause 19, to have any regard to the requirements of the Swap Bank except to the extent that the Swap Bank is also a Lender.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20</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FEES AND EXPENSES</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20.1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Commitment and upfront fees</w:t>
            </w:r>
          </w:p>
        </w:tc>
      </w:tr>
      <w:tr>
        <w:trPr>
          <w:trHeight w:val="306"/>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Each Borrower shall pay to the Facility Agent the fees, each in the amounts, at the rates, and on the dates and to the Creditor Parties referred to in</w:t>
            </w:r>
          </w:p>
        </w:tc>
      </w:tr>
      <w:tr>
        <w:trPr>
          <w:trHeight w:val="220"/>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 xml:space="preserve">the Fee Letter </w:t>
            </w:r>
            <w:r>
              <w:rPr>
                <w:rFonts w:ascii="Arial" w:cs="Arial" w:eastAsia="Arial" w:hAnsi="Arial"/>
                <w:sz w:val="18"/>
                <w:szCs w:val="18"/>
                <w:b w:val="1"/>
                <w:bCs w:val="1"/>
                <w:color w:val="auto"/>
                <w:w w:val="91"/>
              </w:rPr>
              <w:t>Provided that</w:t>
            </w:r>
            <w:r>
              <w:rPr>
                <w:rFonts w:ascii="Arial" w:cs="Arial" w:eastAsia="Arial" w:hAnsi="Arial"/>
                <w:sz w:val="18"/>
                <w:szCs w:val="18"/>
                <w:color w:val="auto"/>
                <w:w w:val="91"/>
              </w:rPr>
              <w:t xml:space="preserve"> no commitment fee shall be payable to the Facility Agent (for the account of a Lender) on the Commitment of that</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Lender for any day on which that Lender is a Defaulting Lender.</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20.2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Costs of negotiation, preparation etc.</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Each Borrower shall pay to the Facility Agent on its demand the amount of all expenses incurred by the Facility Agent or the Security Trustee in</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connection with the negotiation, preparation, execution or registration of any Finance Document or any related document (including, for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avoidance of doubt, any expenses incurred by the Lenders in obtaining the legal opinions referred to in Schedule 3) or with any transaction</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contemplated by a Finance Document or a related document.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20.3</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Costs of variations, amendments, enforcement etc.</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Each Borrower shall pay to the Facility Agent, on the Facility Agent’s demand, for the account of the Creditor Party concerned, the amount of all</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expenses incurred by a Lender in connection with:</w:t>
            </w:r>
          </w:p>
        </w:tc>
      </w:tr>
    </w:tbl>
    <w:p>
      <w:pPr>
        <w:spacing w:after="0" w:line="107" w:lineRule="exact"/>
        <w:rPr>
          <w:sz w:val="20"/>
          <w:szCs w:val="20"/>
          <w:color w:val="auto"/>
        </w:rPr>
      </w:pPr>
    </w:p>
    <w:p>
      <w:pPr>
        <w:ind w:left="920" w:right="200" w:hanging="912"/>
        <w:spacing w:after="0" w:line="277" w:lineRule="auto"/>
        <w:tabs>
          <w:tab w:leader="none" w:pos="9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amendment or supplement (or any proposal for such an amendment or supplement) requested (or, in the case of a proposal, made) by or on behalf of any Borrower and relating to a Finance Document or any other Pertinent Document;</w:t>
      </w:r>
    </w:p>
    <w:p>
      <w:pPr>
        <w:spacing w:after="0" w:line="75" w:lineRule="exact"/>
        <w:rPr>
          <w:rFonts w:ascii="Arial" w:cs="Arial" w:eastAsia="Arial" w:hAnsi="Arial"/>
          <w:sz w:val="18"/>
          <w:szCs w:val="18"/>
          <w:color w:val="auto"/>
        </w:rPr>
      </w:pPr>
    </w:p>
    <w:p>
      <w:pPr>
        <w:ind w:left="920" w:hanging="912"/>
        <w:spacing w:after="0" w:line="264" w:lineRule="auto"/>
        <w:tabs>
          <w:tab w:leader="none" w:pos="9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consent, waiver or suspension of rights by the Lenders, the Swap Bank, the Majority Lenders or the Creditor Party concerned or any proposal for any of the foregoing requested (or, in the case of a proposal, made) by or on behalf of a Borrower under or in connection with a Finance Document or any other Pertinent Document;</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valuation of any security provided or offered under Clause 15 or any other matter relating to such security; or</w:t>
      </w:r>
    </w:p>
    <w:p>
      <w:pPr>
        <w:spacing w:after="0" w:line="130" w:lineRule="exact"/>
        <w:rPr>
          <w:rFonts w:ascii="Arial" w:cs="Arial" w:eastAsia="Arial" w:hAnsi="Arial"/>
          <w:sz w:val="18"/>
          <w:szCs w:val="18"/>
          <w:color w:val="auto"/>
        </w:rPr>
      </w:pPr>
    </w:p>
    <w:p>
      <w:pPr>
        <w:ind w:left="920" w:right="140" w:hanging="912"/>
        <w:spacing w:after="0" w:line="302" w:lineRule="auto"/>
        <w:tabs>
          <w:tab w:leader="none" w:pos="9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any step taken by the Lender or the Swap Bank concerned with a view to the preservation, protection, exercise or enforcement of any rights or Security Interest created by a Finance Document or for any similar purpose including, without limitation, any proceedings to recover or retain proceeds of enforcement or any other proceedings following enforcement proceedings until the date all outstanding indebtedness to the Creditor Parties under the Finance Documents, a Master Agreement and any other Pertinent Document is repaid in full.</w:t>
      </w:r>
    </w:p>
    <w:p>
      <w:pPr>
        <w:spacing w:after="0" w:line="46" w:lineRule="exact"/>
        <w:rPr>
          <w:rFonts w:ascii="Arial" w:cs="Arial" w:eastAsia="Arial" w:hAnsi="Arial"/>
          <w:sz w:val="16"/>
          <w:szCs w:val="16"/>
          <w:color w:val="auto"/>
        </w:rPr>
      </w:pPr>
    </w:p>
    <w:p>
      <w:pPr>
        <w:ind w:left="920" w:right="380"/>
        <w:spacing w:after="0" w:line="277" w:lineRule="auto"/>
        <w:rPr>
          <w:rFonts w:ascii="Arial" w:cs="Arial" w:eastAsia="Arial" w:hAnsi="Arial"/>
          <w:sz w:val="16"/>
          <w:szCs w:val="16"/>
          <w:color w:val="auto"/>
        </w:rPr>
      </w:pPr>
      <w:r>
        <w:rPr>
          <w:rFonts w:ascii="Arial" w:cs="Arial" w:eastAsia="Arial" w:hAnsi="Arial"/>
          <w:sz w:val="18"/>
          <w:szCs w:val="18"/>
          <w:color w:val="auto"/>
        </w:rPr>
        <w:t>There shall be recoverable under paragraph (d) the full amount of all legal expenses, whether or not such as would be allowed under rules of court or any taxation or other procedure carried out under such rules.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Documentary taxes</w:t>
      </w:r>
    </w:p>
    <w:p>
      <w:pPr>
        <w:spacing w:after="0" w:line="121"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Borrowers shall promptly pay any tax payable on or by reference to any Finance Document, and shall, on the Facility Agent’s demand, fully indemnify each Creditor Party against any claims, expenses, liabilities and losses resulting from any failure or delay by the Borrowers to pay such a tax.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0" w:right="239" w:bottom="1440" w:gutter="0" w:footer="0" w:header="0"/>
        </w:sectPr>
      </w:pPr>
    </w:p>
    <w:bookmarkStart w:id="264" w:name="page265"/>
    <w:bookmarkEnd w:id="26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20.5</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A notice which is signed by two officers of a Creditor Party, which states that a specified amount, or aggregate amount, is due to that Creditor Party under this Clause 20 and which indicates (without necessarily specifying a detailed breakdown) the matters in respect of which the amount, or aggregate amount, is due shall be prima facie evidence that the amount, or aggregate amount, is due.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INDEMNITIES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Indemnities regarding borrowing and repayment of Loan</w:t>
      </w:r>
    </w:p>
    <w:p>
      <w:pPr>
        <w:spacing w:after="0" w:line="121" w:lineRule="exact"/>
        <w:rPr>
          <w:sz w:val="20"/>
          <w:szCs w:val="20"/>
          <w:color w:val="auto"/>
        </w:rPr>
      </w:pPr>
    </w:p>
    <w:p>
      <w:pPr>
        <w:ind w:left="920" w:right="80"/>
        <w:spacing w:after="0" w:line="286" w:lineRule="auto"/>
        <w:rPr>
          <w:sz w:val="20"/>
          <w:szCs w:val="20"/>
          <w:color w:val="auto"/>
        </w:rPr>
      </w:pPr>
      <w:r>
        <w:rPr>
          <w:rFonts w:ascii="Arial" w:cs="Arial" w:eastAsia="Arial" w:hAnsi="Arial"/>
          <w:sz w:val="17"/>
          <w:szCs w:val="17"/>
          <w:color w:val="auto"/>
        </w:rPr>
        <w:t>The Borrowers shall fully indemnify the Facility Agent and each Lender on the Facility Agent’s demand and the Security Trustee on its demand in respect of all claims, expenses, liabilities and losses which are made or brought against or incurred by that Creditor Party, or which that Creditor Party reasonably and with due diligence estimates that it will incur, as a result of or in connection with:</w:t>
      </w:r>
    </w:p>
    <w:p>
      <w:pPr>
        <w:spacing w:after="0" w:line="71" w:lineRule="exact"/>
        <w:rPr>
          <w:sz w:val="20"/>
          <w:szCs w:val="20"/>
          <w:color w:val="auto"/>
        </w:rPr>
      </w:pPr>
    </w:p>
    <w:p>
      <w:pPr>
        <w:ind w:left="920" w:right="320" w:hanging="912"/>
        <w:spacing w:after="0" w:line="308" w:lineRule="auto"/>
        <w:tabs>
          <w:tab w:leader="none" w:pos="92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an Advance not being borrowed on the date specified in the Drawdown Notice for any reason other than a default by the Lender claiming the indemnity after the Drawdown Notice has been served in accordance with the provisions of this Agreement;</w:t>
      </w:r>
    </w:p>
    <w:p>
      <w:pPr>
        <w:spacing w:after="0" w:line="51" w:lineRule="exact"/>
        <w:rPr>
          <w:rFonts w:ascii="Arial" w:cs="Arial" w:eastAsia="Arial" w:hAnsi="Arial"/>
          <w:sz w:val="17"/>
          <w:szCs w:val="17"/>
          <w:color w:val="auto"/>
        </w:rPr>
      </w:pPr>
    </w:p>
    <w:p>
      <w:pPr>
        <w:ind w:left="920" w:right="420" w:hanging="912"/>
        <w:spacing w:after="0" w:line="277" w:lineRule="auto"/>
        <w:tabs>
          <w:tab w:leader="none" w:pos="9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receipt or recovery of all or any part of the Loan or an overdue sum otherwise than on the last day of an Interest Period or other relevant period;</w:t>
      </w:r>
    </w:p>
    <w:p>
      <w:pPr>
        <w:spacing w:after="0" w:line="75" w:lineRule="exact"/>
        <w:rPr>
          <w:rFonts w:ascii="Arial" w:cs="Arial" w:eastAsia="Arial" w:hAnsi="Arial"/>
          <w:sz w:val="18"/>
          <w:szCs w:val="18"/>
          <w:color w:val="auto"/>
        </w:rPr>
      </w:pPr>
    </w:p>
    <w:p>
      <w:pPr>
        <w:ind w:left="920" w:right="440" w:hanging="912"/>
        <w:spacing w:after="0" w:line="342" w:lineRule="auto"/>
        <w:tabs>
          <w:tab w:leader="none" w:pos="92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any failure (for whatever reason) by any Borrower to make payment of any amount due under a Finance Document on the due date or, if so payable, on demand (after giving credit for any default interest paid by any Borrower on the amount concerned under Clause 7); and</w:t>
      </w:r>
    </w:p>
    <w:p>
      <w:pPr>
        <w:spacing w:after="0" w:line="29" w:lineRule="exact"/>
        <w:rPr>
          <w:rFonts w:ascii="Arial" w:cs="Arial" w:eastAsia="Arial" w:hAnsi="Arial"/>
          <w:sz w:val="16"/>
          <w:szCs w:val="16"/>
          <w:color w:val="auto"/>
        </w:rPr>
      </w:pPr>
    </w:p>
    <w:p>
      <w:pPr>
        <w:ind w:left="920" w:right="80" w:hanging="912"/>
        <w:spacing w:after="0" w:line="277" w:lineRule="auto"/>
        <w:tabs>
          <w:tab w:leader="none" w:pos="9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occurrence and/or continuance of an Event of Default or a Potential Event of Default and/or the acceleration of repayment of the Loan under Clause 19,</w:t>
      </w:r>
    </w:p>
    <w:p>
      <w:pPr>
        <w:spacing w:after="0" w:line="62" w:lineRule="exact"/>
        <w:rPr>
          <w:rFonts w:ascii="Arial" w:cs="Arial" w:eastAsia="Arial" w:hAnsi="Arial"/>
          <w:sz w:val="18"/>
          <w:szCs w:val="18"/>
          <w:color w:val="auto"/>
        </w:rPr>
      </w:pPr>
    </w:p>
    <w:p>
      <w:pPr>
        <w:ind w:left="920" w:right="6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and in respect of any tax (other than tax on its overall net income or a FATCA Deduction) for which a Creditor Party is liable in connection with any amount paid or payable to that Creditor Party (whether for its own account or otherwise) under any Finance Document </w:t>
      </w:r>
      <w:r>
        <w:rPr>
          <w:rFonts w:ascii="Arial" w:cs="Arial" w:eastAsia="Arial" w:hAnsi="Arial"/>
          <w:sz w:val="17"/>
          <w:szCs w:val="17"/>
          <w:b w:val="1"/>
          <w:bCs w:val="1"/>
          <w:color w:val="auto"/>
        </w:rPr>
        <w:t>Provided that</w:t>
      </w:r>
      <w:r>
        <w:rPr>
          <w:rFonts w:ascii="Arial" w:cs="Arial" w:eastAsia="Arial" w:hAnsi="Arial"/>
          <w:sz w:val="17"/>
          <w:szCs w:val="17"/>
          <w:color w:val="auto"/>
        </w:rPr>
        <w:t>, other than in the case of paragraph (d), to the extent that such losses are attributable to a specific Advance, each Borrower who was an Affected Borrower at the time such losses were incurred shall only be required to indemnify the Creditor Parties for losses attributable to the Advance relative to the Ship owned by it and the other Borrower shall be required to indemnify the Creditor Parties for losses attributable to the Advance which was not at the relevant time an Advance relating to such Ship.</w:t>
      </w:r>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Break Costs</w:t>
      </w:r>
    </w:p>
    <w:p>
      <w:pPr>
        <w:spacing w:after="0" w:line="117" w:lineRule="exact"/>
        <w:rPr>
          <w:sz w:val="20"/>
          <w:szCs w:val="20"/>
          <w:color w:val="auto"/>
        </w:rPr>
      </w:pPr>
    </w:p>
    <w:p>
      <w:pPr>
        <w:ind w:left="920" w:right="160"/>
        <w:spacing w:after="0" w:line="266" w:lineRule="auto"/>
        <w:rPr>
          <w:sz w:val="20"/>
          <w:szCs w:val="20"/>
          <w:color w:val="auto"/>
        </w:rPr>
      </w:pPr>
      <w:r>
        <w:rPr>
          <w:rFonts w:ascii="Arial" w:cs="Arial" w:eastAsia="Arial" w:hAnsi="Arial"/>
          <w:sz w:val="18"/>
          <w:szCs w:val="18"/>
          <w:color w:val="auto"/>
        </w:rPr>
        <w:t>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as a consequence of receipt or recovery of all or any part of the Loan (a “</w:t>
      </w:r>
      <w:r>
        <w:rPr>
          <w:rFonts w:ascii="Arial" w:cs="Arial" w:eastAsia="Arial" w:hAnsi="Arial"/>
          <w:sz w:val="18"/>
          <w:szCs w:val="18"/>
          <w:b w:val="1"/>
          <w:bCs w:val="1"/>
          <w:color w:val="auto"/>
        </w:rPr>
        <w:t>Payment</w:t>
      </w:r>
      <w:r>
        <w:rPr>
          <w:rFonts w:ascii="Arial" w:cs="Arial" w:eastAsia="Arial" w:hAnsi="Arial"/>
          <w:sz w:val="18"/>
          <w:szCs w:val="18"/>
          <w:color w:val="auto"/>
        </w:rPr>
        <w:t>”) on a day other than the last day of an Interest Period applicable to the sum received or recovered the Notifying Lender has or will, with effect from a specified date, incur Break Costs:</w:t>
      </w:r>
    </w:p>
    <w:p>
      <w:pPr>
        <w:spacing w:after="0" w:line="86" w:lineRule="exact"/>
        <w:rPr>
          <w:sz w:val="20"/>
          <w:szCs w:val="20"/>
          <w:color w:val="auto"/>
        </w:rPr>
      </w:pPr>
    </w:p>
    <w:p>
      <w:pPr>
        <w:ind w:left="920" w:hanging="912"/>
        <w:spacing w:after="0"/>
        <w:tabs>
          <w:tab w:leader="none" w:pos="9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Facility Agent shall promptly notify the Borrowers of a notice it receives from a Notifying Lender under this Clause 21.2;</w:t>
      </w:r>
    </w:p>
    <w:p>
      <w:pPr>
        <w:spacing w:after="0" w:line="130" w:lineRule="exact"/>
        <w:rPr>
          <w:rFonts w:ascii="Arial" w:cs="Arial" w:eastAsia="Arial" w:hAnsi="Arial"/>
          <w:sz w:val="18"/>
          <w:szCs w:val="18"/>
          <w:color w:val="auto"/>
        </w:rPr>
      </w:pPr>
    </w:p>
    <w:p>
      <w:pPr>
        <w:ind w:left="920" w:right="80" w:hanging="912"/>
        <w:spacing w:after="0" w:line="264" w:lineRule="auto"/>
        <w:tabs>
          <w:tab w:leader="none" w:pos="9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Borrowers (or, subject to Clause 29.2, each Affected Borrower with respect to each Advance in respect of which the Dropdown Option has been exercised), shall, within 3 Business Days of the Facility Agent’s demand, pay to the Facility Agent for the account of the Notifying Lender the amount of such Break Costs;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70" w:right="279" w:bottom="1440" w:gutter="0" w:footer="0" w:header="0"/>
        </w:sectPr>
      </w:pPr>
    </w:p>
    <w:bookmarkStart w:id="265" w:name="page266"/>
    <w:bookmarkEnd w:id="265"/>
    <w:p>
      <w:pPr>
        <w:ind w:left="920" w:right="100" w:hanging="912"/>
        <w:spacing w:after="0" w:line="264" w:lineRule="auto"/>
        <w:tabs>
          <w:tab w:leader="none" w:pos="9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Notifying Lender shall, as soon as reasonably practicable, following a request by the Borrowers, provide a certificate confirming the amount of the Notifying Lender’s Break Costs for the Interest Period in which they accrue, such certificate to be, in the absence of manifest error, conclusive and binding on the Borrower.</w:t>
      </w:r>
    </w:p>
    <w:p>
      <w:pPr>
        <w:spacing w:after="0" w:line="6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 this Clause 21.2, “</w:t>
      </w:r>
      <w:r>
        <w:rPr>
          <w:rFonts w:ascii="Arial" w:cs="Arial" w:eastAsia="Arial" w:hAnsi="Arial"/>
          <w:sz w:val="18"/>
          <w:szCs w:val="18"/>
          <w:b w:val="1"/>
          <w:bCs w:val="1"/>
          <w:color w:val="auto"/>
        </w:rPr>
        <w:t>Break Costs</w:t>
      </w:r>
      <w:r>
        <w:rPr>
          <w:rFonts w:ascii="Arial" w:cs="Arial" w:eastAsia="Arial" w:hAnsi="Arial"/>
          <w:sz w:val="18"/>
          <w:szCs w:val="18"/>
          <w:color w:val="auto"/>
        </w:rPr>
        <w:t>” means, in relation to a Payment the amount (if any) by which:</w:t>
      </w:r>
    </w:p>
    <w:p>
      <w:pPr>
        <w:spacing w:after="0" w:line="135" w:lineRule="exact"/>
        <w:rPr>
          <w:sz w:val="20"/>
          <w:szCs w:val="20"/>
          <w:color w:val="auto"/>
        </w:rPr>
      </w:pPr>
    </w:p>
    <w:p>
      <w:pPr>
        <w:ind w:left="1700" w:right="160" w:hanging="787"/>
        <w:spacing w:after="0" w:line="264" w:lineRule="auto"/>
        <w:tabs>
          <w:tab w:leader="none" w:pos="17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interest which the Notifying Lender, should have received in respect of the sum received or recovered from the date of receipt or recovery of such Payment to the last day of the then current Interest Period applicable to the sum received or recovered had such Payment been made on the last day of such Interest Period;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exceeds</w:t>
      </w:r>
    </w:p>
    <w:p>
      <w:pPr>
        <w:spacing w:after="0" w:line="131" w:lineRule="exact"/>
        <w:rPr>
          <w:sz w:val="20"/>
          <w:szCs w:val="20"/>
          <w:color w:val="auto"/>
        </w:rPr>
      </w:pPr>
    </w:p>
    <w:p>
      <w:pPr>
        <w:ind w:left="1700" w:right="340" w:hanging="787"/>
        <w:spacing w:after="0" w:line="259" w:lineRule="auto"/>
        <w:tabs>
          <w:tab w:leader="none" w:pos="17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amount which the Notifying Lender, would be able to obtain by placing an amount equal to such Payment on deposit with a leading bank in the London interbank market for a period commencing on the Business Day following receipt or recovery of such Payment (as the case may be) and ending on the last day of the then current Interest Period applicable to the sum received or recovered.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Other breakage costs</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Without limiting its generality, Clause 21.1 covers any claim, expense, liability or loss, including a loss of prospective profit, incurred by a Lender in borrowing, liquidating or re-employing deposits from third parties acquired, contracted for or arranged to fund, effect or maintain all or any part of its Contribution and/or any overdue amount (or an aggregate amount which includes its Contribution or any overdue amount) other than claims, expenses, liabilities and losses which are shown to have been directly and mainly caused by the gross negligence or wilful misconduct of the officers or employees of the Creditor Party concerned.</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Miscellaneous indemnities</w:t>
      </w:r>
    </w:p>
    <w:p>
      <w:pPr>
        <w:spacing w:after="0" w:line="121" w:lineRule="exact"/>
        <w:rPr>
          <w:sz w:val="20"/>
          <w:szCs w:val="20"/>
          <w:color w:val="auto"/>
        </w:rPr>
      </w:pPr>
    </w:p>
    <w:p>
      <w:pPr>
        <w:jc w:val="both"/>
        <w:ind w:left="920" w:right="340"/>
        <w:spacing w:after="0" w:line="286" w:lineRule="auto"/>
        <w:rPr>
          <w:sz w:val="20"/>
          <w:szCs w:val="20"/>
          <w:color w:val="auto"/>
        </w:rPr>
      </w:pPr>
      <w:r>
        <w:rPr>
          <w:rFonts w:ascii="Arial" w:cs="Arial" w:eastAsia="Arial" w:hAnsi="Arial"/>
          <w:sz w:val="17"/>
          <w:szCs w:val="17"/>
          <w:color w:val="auto"/>
        </w:rPr>
        <w:t>The Borrowers shall fully indemnify each Creditor Party severally on their respective demands, without prejudice to any of their other rights under any of the Finance Documents, in respect of all claims, proceedings, liabilities, taxes, losses and expenses of every kind which may be made or brought against or sustained or incurred by a Creditor Party, in any country, as a result of or in connection with:</w:t>
      </w:r>
    </w:p>
    <w:p>
      <w:pPr>
        <w:spacing w:after="0" w:line="71" w:lineRule="exact"/>
        <w:rPr>
          <w:sz w:val="20"/>
          <w:szCs w:val="20"/>
          <w:color w:val="auto"/>
        </w:rPr>
      </w:pPr>
    </w:p>
    <w:p>
      <w:pPr>
        <w:ind w:left="920" w:right="380" w:hanging="912"/>
        <w:spacing w:after="0" w:line="308" w:lineRule="auto"/>
        <w:tabs>
          <w:tab w:leader="none" w:pos="92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any action taken, or omitted or neglected to be taken, under or in connection with any Finance Document by the Facility Agent, the Security Trustee or any other Creditor Party or by any receiver appointed under a Finance Document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920" w:right="180" w:hanging="912"/>
        <w:spacing w:after="0" w:line="259" w:lineRule="auto"/>
        <w:tabs>
          <w:tab w:leader="none" w:pos="9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claim, action, civil penalty or fine against, any settlement, and any other kind of loss or liability, and all reasonable costs and expenses (including reasonable counsel fees and disbursements) incurred by any Indemnified Party as a result of negligent conduct of any Borrower, any Security Party, any member of the Group(s), or any of their partners, directors, officers, employees, agents or advisors, that violates any Sanctions;</w:t>
      </w:r>
    </w:p>
    <w:p>
      <w:pPr>
        <w:spacing w:after="0" w:line="92" w:lineRule="exact"/>
        <w:rPr>
          <w:rFonts w:ascii="Arial" w:cs="Arial" w:eastAsia="Arial" w:hAnsi="Arial"/>
          <w:sz w:val="18"/>
          <w:szCs w:val="18"/>
          <w:color w:val="auto"/>
        </w:rPr>
      </w:pPr>
    </w:p>
    <w:p>
      <w:pPr>
        <w:ind w:left="920" w:hanging="912"/>
        <w:spacing w:after="0"/>
        <w:tabs>
          <w:tab w:leader="none" w:pos="92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investigating any event which the Creditor Party concerned reasonably believes constitutes an Event of Default or Potential Event of Default;</w:t>
      </w:r>
    </w:p>
    <w:p>
      <w:pPr>
        <w:spacing w:after="0" w:line="153" w:lineRule="exact"/>
        <w:rPr>
          <w:rFonts w:ascii="Arial" w:cs="Arial" w:eastAsia="Arial" w:hAnsi="Arial"/>
          <w:sz w:val="16"/>
          <w:szCs w:val="16"/>
          <w:color w:val="auto"/>
        </w:rPr>
      </w:pPr>
    </w:p>
    <w:p>
      <w:pPr>
        <w:ind w:left="920" w:right="700" w:hanging="912"/>
        <w:spacing w:after="0" w:line="277" w:lineRule="auto"/>
        <w:tabs>
          <w:tab w:leader="none" w:pos="9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the Creditor Party concerned reasonably believes to be genuine, correct and appropriately authorised;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266" w:name="page267"/>
    <w:bookmarkEnd w:id="266"/>
    <w:p>
      <w:pPr>
        <w:ind w:left="920" w:hanging="912"/>
        <w:spacing w:after="0"/>
        <w:tabs>
          <w:tab w:leader="none" w:pos="9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Pertinent Matter,</w:t>
      </w:r>
    </w:p>
    <w:p>
      <w:pPr>
        <w:spacing w:after="0" w:line="117" w:lineRule="exact"/>
        <w:rPr>
          <w:rFonts w:ascii="Arial" w:cs="Arial" w:eastAsia="Arial" w:hAnsi="Arial"/>
          <w:sz w:val="18"/>
          <w:szCs w:val="18"/>
          <w:color w:val="auto"/>
        </w:rPr>
      </w:pPr>
    </w:p>
    <w:p>
      <w:pPr>
        <w:ind w:left="920" w:right="180"/>
        <w:spacing w:after="0" w:line="277" w:lineRule="auto"/>
        <w:rPr>
          <w:rFonts w:ascii="Arial" w:cs="Arial" w:eastAsia="Arial" w:hAnsi="Arial"/>
          <w:sz w:val="18"/>
          <w:szCs w:val="18"/>
          <w:color w:val="auto"/>
        </w:rPr>
      </w:pPr>
      <w:r>
        <w:rPr>
          <w:rFonts w:ascii="Arial" w:cs="Arial" w:eastAsia="Arial" w:hAnsi="Arial"/>
          <w:sz w:val="18"/>
          <w:szCs w:val="18"/>
          <w:color w:val="auto"/>
        </w:rPr>
        <w:t>other than claims, expenses, liabilities and losses which are shown to have been directly and mainly caused by the dishonesty, gross negligence or wilful misconduct of the officers or employees of the Creditor Party concerned.</w:t>
      </w:r>
    </w:p>
    <w:p>
      <w:pPr>
        <w:spacing w:after="0" w:line="62" w:lineRule="exact"/>
        <w:rPr>
          <w:rFonts w:ascii="Arial" w:cs="Arial" w:eastAsia="Arial" w:hAnsi="Arial"/>
          <w:sz w:val="18"/>
          <w:szCs w:val="18"/>
          <w:color w:val="auto"/>
        </w:rPr>
      </w:pPr>
    </w:p>
    <w:p>
      <w:pPr>
        <w:ind w:left="920"/>
        <w:spacing w:after="0" w:line="308" w:lineRule="auto"/>
        <w:rPr>
          <w:rFonts w:ascii="Arial" w:cs="Arial" w:eastAsia="Arial" w:hAnsi="Arial"/>
          <w:sz w:val="18"/>
          <w:szCs w:val="18"/>
          <w:color w:val="auto"/>
        </w:rPr>
      </w:pPr>
      <w:r>
        <w:rPr>
          <w:rFonts w:ascii="Arial" w:cs="Arial" w:eastAsia="Arial" w:hAnsi="Arial"/>
          <w:sz w:val="17"/>
          <w:szCs w:val="17"/>
          <w:color w:val="auto"/>
        </w:rPr>
        <w:t>Without prejudice to its generality, Clause 21.1 and this Clause 21.4 cover any claims, expenses, liabilities and losses which arise, or are asserted, under or in connection with any law relating to safety at sea, the ISM Code, the ISPS Code, any Environmental Law or Sanctions.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Environmental Indemnity</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Without prejudice to its generality, Clause 21.3 covers any claims, demands, proceedings, liabilities, taxes, losses or expenses of every kind which arise, or are asserted, under or in connection with any law relating to safety at sea, pollution or the protection of the environment, the ISM Code or the ISPS Code.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Currency indemnity</w:t>
      </w:r>
    </w:p>
    <w:p>
      <w:pPr>
        <w:spacing w:after="0" w:line="121" w:lineRule="exact"/>
        <w:rPr>
          <w:sz w:val="20"/>
          <w:szCs w:val="20"/>
          <w:color w:val="auto"/>
        </w:rPr>
      </w:pPr>
    </w:p>
    <w:p>
      <w:pPr>
        <w:ind w:left="920" w:right="200"/>
        <w:spacing w:after="0" w:line="286" w:lineRule="auto"/>
        <w:rPr>
          <w:sz w:val="20"/>
          <w:szCs w:val="20"/>
          <w:color w:val="auto"/>
        </w:rPr>
      </w:pPr>
      <w:r>
        <w:rPr>
          <w:rFonts w:ascii="Arial" w:cs="Arial" w:eastAsia="Arial" w:hAnsi="Arial"/>
          <w:sz w:val="17"/>
          <w:szCs w:val="17"/>
          <w:color w:val="auto"/>
        </w:rPr>
        <w:t>If any sum due from any Borrower or any Security Party to a Creditor Party under a Finance Document or under any order, award or judgment relating to a Finance Document (a “</w:t>
      </w:r>
      <w:r>
        <w:rPr>
          <w:rFonts w:ascii="Arial" w:cs="Arial" w:eastAsia="Arial" w:hAnsi="Arial"/>
          <w:sz w:val="17"/>
          <w:szCs w:val="17"/>
          <w:b w:val="1"/>
          <w:bCs w:val="1"/>
          <w:color w:val="auto"/>
        </w:rPr>
        <w:t>Sum</w:t>
      </w:r>
      <w:r>
        <w:rPr>
          <w:rFonts w:ascii="Arial" w:cs="Arial" w:eastAsia="Arial" w:hAnsi="Arial"/>
          <w:sz w:val="17"/>
          <w:szCs w:val="17"/>
          <w:color w:val="auto"/>
        </w:rPr>
        <w:t>”) has to be converted from the currency in which the Finance Document provided for the Sum to be paid (the “</w:t>
      </w:r>
      <w:r>
        <w:rPr>
          <w:rFonts w:ascii="Arial" w:cs="Arial" w:eastAsia="Arial" w:hAnsi="Arial"/>
          <w:sz w:val="17"/>
          <w:szCs w:val="17"/>
          <w:b w:val="1"/>
          <w:bCs w:val="1"/>
          <w:color w:val="auto"/>
        </w:rPr>
        <w:t>Contractual Currency</w:t>
      </w:r>
      <w:r>
        <w:rPr>
          <w:rFonts w:ascii="Arial" w:cs="Arial" w:eastAsia="Arial" w:hAnsi="Arial"/>
          <w:sz w:val="17"/>
          <w:szCs w:val="17"/>
          <w:color w:val="auto"/>
        </w:rPr>
        <w:t>”) into another currency (the “</w:t>
      </w:r>
      <w:r>
        <w:rPr>
          <w:rFonts w:ascii="Arial" w:cs="Arial" w:eastAsia="Arial" w:hAnsi="Arial"/>
          <w:sz w:val="17"/>
          <w:szCs w:val="17"/>
          <w:b w:val="1"/>
          <w:bCs w:val="1"/>
          <w:color w:val="auto"/>
        </w:rPr>
        <w:t>Payment Currency</w:t>
      </w:r>
      <w:r>
        <w:rPr>
          <w:rFonts w:ascii="Arial" w:cs="Arial" w:eastAsia="Arial" w:hAnsi="Arial"/>
          <w:sz w:val="17"/>
          <w:szCs w:val="17"/>
          <w:color w:val="auto"/>
        </w:rPr>
        <w:t>”) for the purpose of:</w:t>
      </w:r>
    </w:p>
    <w:p>
      <w:pPr>
        <w:spacing w:after="0" w:line="71" w:lineRule="exact"/>
        <w:rPr>
          <w:sz w:val="20"/>
          <w:szCs w:val="20"/>
          <w:color w:val="auto"/>
        </w:rPr>
      </w:pPr>
    </w:p>
    <w:p>
      <w:pPr>
        <w:ind w:left="920" w:right="80" w:hanging="912"/>
        <w:spacing w:after="0" w:line="277" w:lineRule="auto"/>
        <w:tabs>
          <w:tab w:leader="none" w:pos="9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making, filing or lodging any claim or proof against any Borrower or any Security Party, whether in its liquidation, any arrangement involving it or otherwise;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obtaining an order, judgment or award from any court or other tribunal in relation to any litigation or arbitration proceedings;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enforcing any such order, judgment or award,</w:t>
      </w:r>
    </w:p>
    <w:p>
      <w:pPr>
        <w:spacing w:after="0" w:line="117" w:lineRule="exact"/>
        <w:rPr>
          <w:rFonts w:ascii="Arial" w:cs="Arial" w:eastAsia="Arial" w:hAnsi="Arial"/>
          <w:sz w:val="18"/>
          <w:szCs w:val="18"/>
          <w:color w:val="auto"/>
        </w:rPr>
      </w:pPr>
    </w:p>
    <w:p>
      <w:pPr>
        <w:ind w:left="920" w:right="100"/>
        <w:spacing w:after="0" w:line="279" w:lineRule="auto"/>
        <w:rPr>
          <w:rFonts w:ascii="Arial" w:cs="Arial" w:eastAsia="Arial" w:hAnsi="Arial"/>
          <w:sz w:val="18"/>
          <w:szCs w:val="18"/>
          <w:color w:val="auto"/>
        </w:rPr>
      </w:pPr>
      <w:r>
        <w:rPr>
          <w:rFonts w:ascii="Arial" w:cs="Arial" w:eastAsia="Arial" w:hAnsi="Arial"/>
          <w:sz w:val="17"/>
          <w:szCs w:val="17"/>
          <w:color w:val="auto"/>
        </w:rPr>
        <w:t>the Borrowers shall as an independent obligation, within 3 Business Days of demand, indemnify the Creditor Party to whom that Sum is due against any cost, loss or liability arising when the payment actually received by that Creditor Party is converted at the available rate of exchange back into the Contractual Currency including any discrepancy between (A) the rate of exchange actually used to convert the Sum from the Payment Currency into the Contractual Currency and (B) the available rate of exchange.</w:t>
      </w:r>
    </w:p>
    <w:p>
      <w:pPr>
        <w:spacing w:after="0" w:line="59" w:lineRule="exact"/>
        <w:rPr>
          <w:rFonts w:ascii="Arial" w:cs="Arial" w:eastAsia="Arial" w:hAnsi="Arial"/>
          <w:sz w:val="18"/>
          <w:szCs w:val="18"/>
          <w:color w:val="auto"/>
        </w:rPr>
      </w:pPr>
    </w:p>
    <w:p>
      <w:pPr>
        <w:ind w:left="920" w:right="340"/>
        <w:spacing w:after="0" w:line="347" w:lineRule="auto"/>
        <w:rPr>
          <w:rFonts w:ascii="Arial" w:cs="Arial" w:eastAsia="Arial" w:hAnsi="Arial"/>
          <w:sz w:val="18"/>
          <w:szCs w:val="18"/>
          <w:color w:val="auto"/>
        </w:rPr>
      </w:pPr>
      <w:r>
        <w:rPr>
          <w:rFonts w:ascii="Arial" w:cs="Arial" w:eastAsia="Arial" w:hAnsi="Arial"/>
          <w:sz w:val="16"/>
          <w:szCs w:val="16"/>
          <w:color w:val="auto"/>
        </w:rPr>
        <w:t>In this Clause 21.6, the “</w:t>
      </w:r>
      <w:r>
        <w:rPr>
          <w:rFonts w:ascii="Arial" w:cs="Arial" w:eastAsia="Arial" w:hAnsi="Arial"/>
          <w:sz w:val="16"/>
          <w:szCs w:val="16"/>
          <w:b w:val="1"/>
          <w:bCs w:val="1"/>
          <w:color w:val="auto"/>
        </w:rPr>
        <w:t>available rate of exchange</w:t>
      </w:r>
      <w:r>
        <w:rPr>
          <w:rFonts w:ascii="Arial" w:cs="Arial" w:eastAsia="Arial" w:hAnsi="Arial"/>
          <w:sz w:val="16"/>
          <w:szCs w:val="16"/>
          <w:color w:val="auto"/>
        </w:rPr>
        <w:t>” means the rate at which the Creditor Party concerned is able at the opening of business (London time) on the Business Day after it receives the Sum to purchase the Contractual Currency with the Payment Currency.</w:t>
      </w:r>
    </w:p>
    <w:p>
      <w:pPr>
        <w:spacing w:after="0" w:line="12" w:lineRule="exact"/>
        <w:rPr>
          <w:rFonts w:ascii="Arial" w:cs="Arial" w:eastAsia="Arial" w:hAnsi="Arial"/>
          <w:sz w:val="18"/>
          <w:szCs w:val="18"/>
          <w:color w:val="auto"/>
        </w:rPr>
      </w:pPr>
    </w:p>
    <w:p>
      <w:pPr>
        <w:ind w:left="920" w:right="160"/>
        <w:spacing w:after="0" w:line="277" w:lineRule="auto"/>
        <w:rPr>
          <w:rFonts w:ascii="Arial" w:cs="Arial" w:eastAsia="Arial" w:hAnsi="Arial"/>
          <w:sz w:val="18"/>
          <w:szCs w:val="18"/>
          <w:color w:val="auto"/>
        </w:rPr>
      </w:pPr>
      <w:r>
        <w:rPr>
          <w:rFonts w:ascii="Arial" w:cs="Arial" w:eastAsia="Arial" w:hAnsi="Arial"/>
          <w:sz w:val="18"/>
          <w:szCs w:val="18"/>
          <w:color w:val="auto"/>
        </w:rPr>
        <w:t>The Borrowers waive any right it may have in any jurisdiction to pay any amount under the Finance Documents in a currency other than that in which it is expressed to be payable.</w:t>
      </w:r>
    </w:p>
    <w:p>
      <w:pPr>
        <w:spacing w:after="0" w:line="62" w:lineRule="exact"/>
        <w:rPr>
          <w:rFonts w:ascii="Arial" w:cs="Arial" w:eastAsia="Arial" w:hAnsi="Arial"/>
          <w:sz w:val="18"/>
          <w:szCs w:val="18"/>
          <w:color w:val="auto"/>
        </w:rPr>
      </w:pPr>
    </w:p>
    <w:p>
      <w:pPr>
        <w:ind w:left="920" w:right="440"/>
        <w:spacing w:after="0" w:line="342" w:lineRule="auto"/>
        <w:rPr>
          <w:rFonts w:ascii="Arial" w:cs="Arial" w:eastAsia="Arial" w:hAnsi="Arial"/>
          <w:sz w:val="18"/>
          <w:szCs w:val="18"/>
          <w:color w:val="auto"/>
        </w:rPr>
      </w:pPr>
      <w:r>
        <w:rPr>
          <w:rFonts w:ascii="Arial" w:cs="Arial" w:eastAsia="Arial" w:hAnsi="Arial"/>
          <w:sz w:val="16"/>
          <w:szCs w:val="16"/>
          <w:color w:val="auto"/>
        </w:rPr>
        <w:t>If any Creditor Party receives any Sum in a currency other than the Contractual Currency, the Borrowers shall indemnify the Creditor Party concerned against any cost, loss or liability arising directly or indirectly from any conversion of such Sum to the Contractual Currency.</w:t>
      </w:r>
    </w:p>
    <w:p>
      <w:pPr>
        <w:spacing w:after="0" w:line="15" w:lineRule="exact"/>
        <w:rPr>
          <w:rFonts w:ascii="Arial" w:cs="Arial" w:eastAsia="Arial" w:hAnsi="Arial"/>
          <w:sz w:val="18"/>
          <w:szCs w:val="18"/>
          <w:color w:val="auto"/>
        </w:rPr>
      </w:pPr>
    </w:p>
    <w:p>
      <w:pPr>
        <w:ind w:left="920" w:right="100"/>
        <w:spacing w:after="0" w:line="277" w:lineRule="auto"/>
        <w:rPr>
          <w:rFonts w:ascii="Arial" w:cs="Arial" w:eastAsia="Arial" w:hAnsi="Arial"/>
          <w:sz w:val="18"/>
          <w:szCs w:val="18"/>
          <w:color w:val="auto"/>
        </w:rPr>
      </w:pPr>
      <w:r>
        <w:rPr>
          <w:rFonts w:ascii="Arial" w:cs="Arial" w:eastAsia="Arial" w:hAnsi="Arial"/>
          <w:sz w:val="18"/>
          <w:szCs w:val="18"/>
          <w:color w:val="auto"/>
        </w:rPr>
        <w:t>This Clause 21.6 creates a separate liability of each Borrower which is distinct from its other liabilities under the Finance Documents and which shall not be merged in any judgment or order relating to those other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267" w:name="page268"/>
    <w:bookmarkEnd w:id="26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21.7</w:t>
      </w:r>
      <w:r>
        <w:rPr>
          <w:sz w:val="20"/>
          <w:szCs w:val="20"/>
          <w:color w:val="auto"/>
        </w:rPr>
        <w:tab/>
      </w:r>
      <w:r>
        <w:rPr>
          <w:rFonts w:ascii="Arial" w:cs="Arial" w:eastAsia="Arial" w:hAnsi="Arial"/>
          <w:sz w:val="16"/>
          <w:szCs w:val="16"/>
          <w:b w:val="1"/>
          <w:bCs w:val="1"/>
          <w:color w:val="auto"/>
        </w:rPr>
        <w:t>Application to Master Agreements</w:t>
      </w:r>
    </w:p>
    <w:p>
      <w:pPr>
        <w:spacing w:after="0" w:line="121"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For the avoidance of doubt, Clause 21.4 does not apply in respect of sums due from a Borrower to the Swap Bank under or in connection with any Master Agreement as to which sums the provisions of section 8 (Contractual Currency) of that Master Agreement shall apply.</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A notice which is signed by 2 officers of a Creditor Party, which states that a specified amount, or aggregate amount, is due to that Creditor Party under this Clause 21 and which indicates (without necessarily specifying a detailed breakdown) the matters in respect of which the amount, or aggregate amount, is due shall be prima facie evidence that the amount, or aggregate amount, is due.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For the purposes of this Clause 21, a sum payable by a Borrower to the Facility Agent or the Security Trustee for distribution to a Lender shall be treated as a sum due to that Lender.</w:t>
      </w:r>
    </w:p>
    <w:p>
      <w:pPr>
        <w:spacing w:after="0" w:line="315" w:lineRule="exact"/>
        <w:rPr>
          <w:sz w:val="20"/>
          <w:szCs w:val="20"/>
          <w:color w:val="auto"/>
        </w:rPr>
      </w:pPr>
    </w:p>
    <w:p>
      <w:pPr>
        <w:ind w:left="920" w:hanging="912"/>
        <w:spacing w:after="0"/>
        <w:tabs>
          <w:tab w:leader="none" w:pos="92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NO SET-OFF OR TAX DEDUCTION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22.1</w:t>
      </w:r>
      <w:r>
        <w:rPr>
          <w:rFonts w:ascii="Arial" w:cs="Arial" w:eastAsia="Arial" w:hAnsi="Arial"/>
          <w:sz w:val="15"/>
          <w:szCs w:val="15"/>
          <w:b w:val="1"/>
          <w:bCs w:val="1"/>
          <w:color w:val="auto"/>
        </w:rPr>
        <w:t>No deductions</w:t>
      </w:r>
    </w:p>
    <w:p>
      <w:pPr>
        <w:spacing w:after="0" w:line="121" w:lineRule="exact"/>
        <w:rPr>
          <w:sz w:val="20"/>
          <w:szCs w:val="20"/>
          <w:color w:val="auto"/>
        </w:rPr>
      </w:pPr>
    </w:p>
    <w:p>
      <w:pPr>
        <w:ind w:left="920" w:right="400"/>
        <w:spacing w:after="0" w:line="277" w:lineRule="auto"/>
        <w:rPr>
          <w:sz w:val="20"/>
          <w:szCs w:val="20"/>
          <w:color w:val="auto"/>
        </w:rPr>
      </w:pPr>
      <w:r>
        <w:rPr>
          <w:rFonts w:ascii="Arial" w:cs="Arial" w:eastAsia="Arial" w:hAnsi="Arial"/>
          <w:sz w:val="18"/>
          <w:szCs w:val="18"/>
          <w:color w:val="auto"/>
        </w:rPr>
        <w:t>All payments to be made by any Borrower under the Finance Documents shall be calculated and be made without (and free and clear of any deduction for set-off or counterclaim).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Grossing-up for taxes</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If any Borrower, the Guarantor, or the Substitute Guarantor is required by law, regulation or regulatory requirement to make a tax deduction from any payment due under a Finance Document:</w:t>
      </w:r>
    </w:p>
    <w:p>
      <w:pPr>
        <w:spacing w:after="0" w:line="76" w:lineRule="exact"/>
        <w:rPr>
          <w:sz w:val="20"/>
          <w:szCs w:val="20"/>
          <w:color w:val="auto"/>
        </w:rPr>
      </w:pPr>
    </w:p>
    <w:p>
      <w:pPr>
        <w:ind w:left="920" w:right="140" w:hanging="912"/>
        <w:spacing w:after="0" w:line="277" w:lineRule="auto"/>
        <w:tabs>
          <w:tab w:leader="none" w:pos="92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that Borrower shall and shall procure that the Guarantor, or the Substitute Guarantor shall notify the Facility Agent as soon as it becomes aware of the requirement;</w:t>
      </w:r>
    </w:p>
    <w:p>
      <w:pPr>
        <w:spacing w:after="0" w:line="75" w:lineRule="exact"/>
        <w:rPr>
          <w:rFonts w:ascii="Arial" w:cs="Arial" w:eastAsia="Arial" w:hAnsi="Arial"/>
          <w:sz w:val="18"/>
          <w:szCs w:val="18"/>
          <w:color w:val="auto"/>
        </w:rPr>
      </w:pPr>
    </w:p>
    <w:p>
      <w:pPr>
        <w:ind w:left="920" w:right="80" w:hanging="912"/>
        <w:spacing w:after="0" w:line="286" w:lineRule="auto"/>
        <w:tabs>
          <w:tab w:leader="none" w:pos="9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amount due in respect of the payment shall be increased by the amount necessary to ensure that, after the making of such tax deduction, each Creditor Party receives and retains (free from any liability relating to the tax deduction) a net amount which, after the tax deduction, is equal to the full amount which it would have received had no such tax deduction been required to be made; and</w:t>
      </w:r>
    </w:p>
    <w:p>
      <w:pPr>
        <w:spacing w:after="0" w:line="70" w:lineRule="exact"/>
        <w:rPr>
          <w:rFonts w:ascii="Arial" w:cs="Arial" w:eastAsia="Arial" w:hAnsi="Arial"/>
          <w:sz w:val="17"/>
          <w:szCs w:val="17"/>
          <w:color w:val="auto"/>
        </w:rPr>
      </w:pPr>
    </w:p>
    <w:p>
      <w:pPr>
        <w:jc w:val="both"/>
        <w:ind w:left="920" w:right="100" w:hanging="912"/>
        <w:spacing w:after="0" w:line="342" w:lineRule="auto"/>
        <w:tabs>
          <w:tab w:leader="none" w:pos="92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Borrowers, the Guarantor, or the Substitute Guarantor shall pay the full amount of the tax required to be deducted to the appropriate taxation authority promptly in accordance with the relevant law, regulation or regulatory requirement, and in any event before any fine or penalty arises,</w:t>
      </w:r>
    </w:p>
    <w:p>
      <w:pPr>
        <w:spacing w:after="0" w:line="11" w:lineRule="exact"/>
        <w:rPr>
          <w:rFonts w:ascii="Arial" w:cs="Arial" w:eastAsia="Arial" w:hAnsi="Arial"/>
          <w:sz w:val="16"/>
          <w:szCs w:val="16"/>
          <w:color w:val="auto"/>
        </w:rPr>
      </w:pPr>
    </w:p>
    <w:p>
      <w:pPr>
        <w:jc w:val="both"/>
        <w:ind w:left="920" w:right="40"/>
        <w:spacing w:after="0" w:line="314" w:lineRule="auto"/>
        <w:rPr>
          <w:rFonts w:ascii="Arial" w:cs="Arial" w:eastAsia="Arial" w:hAnsi="Arial"/>
          <w:sz w:val="16"/>
          <w:szCs w:val="16"/>
          <w:color w:val="auto"/>
        </w:rPr>
      </w:pPr>
      <w:r>
        <w:rPr>
          <w:rFonts w:ascii="Arial" w:cs="Arial" w:eastAsia="Arial" w:hAnsi="Arial"/>
          <w:sz w:val="16"/>
          <w:szCs w:val="16"/>
          <w:b w:val="1"/>
          <w:bCs w:val="1"/>
          <w:color w:val="auto"/>
        </w:rPr>
        <w:t xml:space="preserve">Provided that </w:t>
      </w:r>
      <w:r>
        <w:rPr>
          <w:rFonts w:ascii="Arial" w:cs="Arial" w:eastAsia="Arial" w:hAnsi="Arial"/>
          <w:sz w:val="16"/>
          <w:szCs w:val="16"/>
          <w:color w:val="auto"/>
        </w:rPr>
        <w:t>if a payment from a Borrower which is not an Affected Borrower is required to be increased under this Clause 22.2, such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not constitute an obligation of any Affected Borrower and </w:t>
      </w:r>
      <w:r>
        <w:rPr>
          <w:rFonts w:ascii="Arial" w:cs="Arial" w:eastAsia="Arial" w:hAnsi="Arial"/>
          <w:sz w:val="16"/>
          <w:szCs w:val="16"/>
          <w:b w:val="1"/>
          <w:bCs w:val="1"/>
          <w:color w:val="auto"/>
        </w:rPr>
        <w:t>Provided further that</w:t>
      </w:r>
      <w:r>
        <w:rPr>
          <w:rFonts w:ascii="Arial" w:cs="Arial" w:eastAsia="Arial" w:hAnsi="Arial"/>
          <w:sz w:val="16"/>
          <w:szCs w:val="16"/>
          <w:color w:val="auto"/>
        </w:rPr>
        <w:t xml:space="preserve"> if a payment from an Affected Borrower is required to be increased under this Clause 22.2, such increase shall not constitute an obligation of any Borrower which is not an Affected Borrower.</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Indemnity and evidence of payment of taxes</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The Borrowers shall fully indemnify each Creditor Party on the Facility Agent’s demand in respect of all claims, expenses, liabilities and losses incurred by any Creditor Party by reason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0" w:right="259" w:bottom="1440" w:gutter="0" w:footer="0" w:header="0"/>
        </w:sectPr>
      </w:pPr>
    </w:p>
    <w:bookmarkStart w:id="268" w:name="page269"/>
    <w:bookmarkEnd w:id="268"/>
    <w:p>
      <w:pPr>
        <w:ind w:left="920" w:hanging="912"/>
        <w:spacing w:after="0"/>
        <w:tabs>
          <w:tab w:leader="none" w:pos="9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failure of a Borrower to make any tax deduction;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increased payment not being made on the due date for such payment in accordance with Clause 22.2; or</w:t>
      </w:r>
    </w:p>
    <w:p>
      <w:pPr>
        <w:spacing w:after="0" w:line="130" w:lineRule="exact"/>
        <w:rPr>
          <w:rFonts w:ascii="Arial" w:cs="Arial" w:eastAsia="Arial" w:hAnsi="Arial"/>
          <w:sz w:val="18"/>
          <w:szCs w:val="18"/>
          <w:color w:val="auto"/>
        </w:rPr>
      </w:pPr>
    </w:p>
    <w:p>
      <w:pPr>
        <w:ind w:left="920" w:right="260" w:hanging="912"/>
        <w:spacing w:after="0" w:line="297" w:lineRule="auto"/>
        <w:tabs>
          <w:tab w:leader="none" w:pos="9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without prejudice to the provisions of Clause 22.2, any payment on account of tax required to be made by a Creditor Party solely as a result of that Creditor Party’s entry into any Finance Document (not being a tax imposed on the net income of that Creditor Party by the jurisdiction in which it is incorporated, or the jurisdiction in which it is located or on the capital of that Creditor Party employed in such jurisdiction or jurisdictions) on any sum received or receivable under the Finance Documents (including, without limitation, any sum received or receivable under this Clause 22.3) or any liability in respect of any such payment is asserted, imposed, levied or assessed against that Creditor Party.</w:t>
      </w:r>
    </w:p>
    <w:p>
      <w:pPr>
        <w:spacing w:after="0" w:line="50" w:lineRule="exact"/>
        <w:rPr>
          <w:rFonts w:ascii="Arial" w:cs="Arial" w:eastAsia="Arial" w:hAnsi="Arial"/>
          <w:sz w:val="16"/>
          <w:szCs w:val="16"/>
          <w:color w:val="auto"/>
        </w:rPr>
      </w:pPr>
    </w:p>
    <w:p>
      <w:pPr>
        <w:ind w:left="920" w:right="160"/>
        <w:spacing w:after="0" w:line="277" w:lineRule="auto"/>
        <w:rPr>
          <w:rFonts w:ascii="Arial" w:cs="Arial" w:eastAsia="Arial" w:hAnsi="Arial"/>
          <w:sz w:val="16"/>
          <w:szCs w:val="16"/>
          <w:color w:val="auto"/>
        </w:rPr>
      </w:pPr>
      <w:r>
        <w:rPr>
          <w:rFonts w:ascii="Arial" w:cs="Arial" w:eastAsia="Arial" w:hAnsi="Arial"/>
          <w:sz w:val="18"/>
          <w:szCs w:val="18"/>
          <w:color w:val="auto"/>
        </w:rPr>
        <w:t>Within 30 days after making any tax deduction, the Borrowers shall deliver to the Facility Agent any receipts, certificates or other documentary evidence satisfactory to the Facility Agent that the tax had been paid to the appropriate taxation authority.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Exclusion of tax on overall net income</w:t>
      </w:r>
    </w:p>
    <w:p>
      <w:pPr>
        <w:spacing w:after="0" w:line="117" w:lineRule="exact"/>
        <w:rPr>
          <w:sz w:val="20"/>
          <w:szCs w:val="20"/>
          <w:color w:val="auto"/>
        </w:rPr>
      </w:pPr>
    </w:p>
    <w:p>
      <w:pPr>
        <w:ind w:left="920" w:right="220"/>
        <w:spacing w:after="0" w:line="282" w:lineRule="auto"/>
        <w:rPr>
          <w:sz w:val="20"/>
          <w:szCs w:val="20"/>
          <w:color w:val="auto"/>
        </w:rPr>
      </w:pPr>
      <w:r>
        <w:rPr>
          <w:rFonts w:ascii="Arial" w:cs="Arial" w:eastAsia="Arial" w:hAnsi="Arial"/>
          <w:sz w:val="18"/>
          <w:szCs w:val="18"/>
          <w:color w:val="auto"/>
        </w:rPr>
        <w:t>In this Clause 22 “</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from any payment due under a Finance Document for or on account of any present or future tax except tax on a Creditor Party’s overall net income.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Application to Master Agreements</w:t>
      </w:r>
    </w:p>
    <w:p>
      <w:pPr>
        <w:spacing w:after="0" w:line="121" w:lineRule="exact"/>
        <w:rPr>
          <w:sz w:val="20"/>
          <w:szCs w:val="20"/>
          <w:color w:val="auto"/>
        </w:rPr>
      </w:pPr>
    </w:p>
    <w:p>
      <w:pPr>
        <w:ind w:left="920" w:right="100"/>
        <w:spacing w:after="0" w:line="342" w:lineRule="auto"/>
        <w:rPr>
          <w:sz w:val="20"/>
          <w:szCs w:val="20"/>
          <w:color w:val="auto"/>
        </w:rPr>
      </w:pPr>
      <w:r>
        <w:rPr>
          <w:rFonts w:ascii="Arial" w:cs="Arial" w:eastAsia="Arial" w:hAnsi="Arial"/>
          <w:sz w:val="16"/>
          <w:szCs w:val="16"/>
          <w:color w:val="auto"/>
        </w:rPr>
        <w:t>For the avoidance of doubt, Clause 22 does not apply in respect of sums due from any Borrower to the Swap Bank under or in connection with a Master Agreement as to which sums the provisions of section 2(d) (Deduction or Withholding for Tax) of a Master Agreement shall apply.</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b w:val="1"/>
          <w:bCs w:val="1"/>
          <w:color w:val="auto"/>
        </w:rPr>
        <w:t>FATCA</w:t>
      </w:r>
    </w:p>
    <w:p>
      <w:pPr>
        <w:spacing w:after="0" w:line="135" w:lineRule="exact"/>
        <w:rPr>
          <w:sz w:val="20"/>
          <w:szCs w:val="20"/>
          <w:color w:val="auto"/>
        </w:rPr>
      </w:pPr>
    </w:p>
    <w:p>
      <w:pPr>
        <w:ind w:left="920" w:hanging="912"/>
        <w:spacing w:after="0"/>
        <w:tabs>
          <w:tab w:leader="none" w:pos="9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FATCA Information:</w:t>
      </w:r>
    </w:p>
    <w:p>
      <w:pPr>
        <w:spacing w:after="0" w:line="130" w:lineRule="exact"/>
        <w:rPr>
          <w:rFonts w:ascii="Arial" w:cs="Arial" w:eastAsia="Arial" w:hAnsi="Arial"/>
          <w:sz w:val="18"/>
          <w:szCs w:val="18"/>
          <w:color w:val="auto"/>
        </w:rPr>
      </w:pPr>
    </w:p>
    <w:p>
      <w:pPr>
        <w:ind w:left="1700" w:right="100" w:hanging="787"/>
        <w:spacing w:after="0" w:line="277" w:lineRule="auto"/>
        <w:tabs>
          <w:tab w:leader="none" w:pos="170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Subject to paragraph (iii) below, each party to a Finance Document shall, within 10 Business Days of a reasonable request by another party to the Finance Documents:</w:t>
      </w:r>
    </w:p>
    <w:p>
      <w:pPr>
        <w:spacing w:after="0" w:line="75" w:lineRule="exact"/>
        <w:rPr>
          <w:rFonts w:ascii="Arial" w:cs="Arial" w:eastAsia="Arial" w:hAnsi="Arial"/>
          <w:sz w:val="18"/>
          <w:szCs w:val="18"/>
          <w:color w:val="auto"/>
        </w:rPr>
      </w:pPr>
    </w:p>
    <w:p>
      <w:pPr>
        <w:ind w:left="2380" w:hanging="670"/>
        <w:spacing w:after="0"/>
        <w:tabs>
          <w:tab w:leader="none" w:pos="2380" w:val="left"/>
        </w:tabs>
        <w:numPr>
          <w:ilvl w:val="2"/>
          <w:numId w:val="385"/>
        </w:numPr>
        <w:rPr>
          <w:rFonts w:ascii="Arial" w:cs="Arial" w:eastAsia="Arial" w:hAnsi="Arial"/>
          <w:sz w:val="18"/>
          <w:szCs w:val="18"/>
          <w:color w:val="auto"/>
        </w:rPr>
      </w:pPr>
      <w:r>
        <w:rPr>
          <w:rFonts w:ascii="Arial" w:cs="Arial" w:eastAsia="Arial" w:hAnsi="Arial"/>
          <w:sz w:val="18"/>
          <w:szCs w:val="18"/>
          <w:color w:val="auto"/>
        </w:rPr>
        <w:t>confirm to that other party whether it is a FATCA Exempt Party or is not a FATCA Exempt Party;</w:t>
      </w:r>
    </w:p>
    <w:p>
      <w:pPr>
        <w:spacing w:after="0" w:line="130" w:lineRule="exact"/>
        <w:rPr>
          <w:rFonts w:ascii="Arial" w:cs="Arial" w:eastAsia="Arial" w:hAnsi="Arial"/>
          <w:sz w:val="18"/>
          <w:szCs w:val="18"/>
          <w:color w:val="auto"/>
        </w:rPr>
      </w:pPr>
    </w:p>
    <w:p>
      <w:pPr>
        <w:ind w:left="2380" w:right="40" w:hanging="670"/>
        <w:spacing w:after="0" w:line="259" w:lineRule="auto"/>
        <w:tabs>
          <w:tab w:leader="none" w:pos="2380" w:val="left"/>
        </w:tabs>
        <w:numPr>
          <w:ilvl w:val="2"/>
          <w:numId w:val="385"/>
        </w:numPr>
        <w:rPr>
          <w:rFonts w:ascii="Arial" w:cs="Arial" w:eastAsia="Arial" w:hAnsi="Arial"/>
          <w:sz w:val="18"/>
          <w:szCs w:val="18"/>
          <w:color w:val="auto"/>
        </w:rPr>
      </w:pPr>
      <w:r>
        <w:rPr>
          <w:rFonts w:ascii="Arial" w:cs="Arial" w:eastAsia="Arial" w:hAnsi="Arial"/>
          <w:sz w:val="18"/>
          <w:szCs w:val="18"/>
          <w:color w:val="auto"/>
        </w:rPr>
        <w:t>supply to the requesting party such forms, documentation and other information relating to its status under FATCA (including information required under the Treasury regulations or other official guidance including intergovernmental agreements) as the requesting party reasonably requests for the purposes of such requesting party’s compliance with FATCA; and</w:t>
      </w:r>
    </w:p>
    <w:p>
      <w:pPr>
        <w:spacing w:after="0" w:line="92" w:lineRule="exact"/>
        <w:rPr>
          <w:rFonts w:ascii="Arial" w:cs="Arial" w:eastAsia="Arial" w:hAnsi="Arial"/>
          <w:sz w:val="18"/>
          <w:szCs w:val="18"/>
          <w:color w:val="auto"/>
        </w:rPr>
      </w:pPr>
    </w:p>
    <w:p>
      <w:pPr>
        <w:ind w:left="2380" w:right="720" w:hanging="670"/>
        <w:spacing w:after="0" w:line="264" w:lineRule="auto"/>
        <w:tabs>
          <w:tab w:leader="none" w:pos="2380" w:val="left"/>
        </w:tabs>
        <w:numPr>
          <w:ilvl w:val="2"/>
          <w:numId w:val="385"/>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86" w:lineRule="exact"/>
        <w:rPr>
          <w:rFonts w:ascii="Arial" w:cs="Arial" w:eastAsia="Arial" w:hAnsi="Arial"/>
          <w:sz w:val="18"/>
          <w:szCs w:val="18"/>
          <w:color w:val="auto"/>
        </w:rPr>
      </w:pPr>
    </w:p>
    <w:p>
      <w:pPr>
        <w:ind w:left="1700" w:hanging="787"/>
        <w:spacing w:after="0" w:line="264" w:lineRule="auto"/>
        <w:tabs>
          <w:tab w:leader="none" w:pos="170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If a party to any Finance Document confirms to another party pursuant to Clause 22.6(a)(i) above that it is a FATCA Exempt Party and it subsequently becomes aware that it is not, or has ceased to be a FATCA Exempt Party, that party shall notify that other party reasonably promptly.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269" w:name="page270"/>
    <w:bookmarkEnd w:id="269"/>
    <w:p>
      <w:pPr>
        <w:ind w:left="1700" w:right="300" w:hanging="787"/>
        <w:spacing w:after="0" w:line="264" w:lineRule="auto"/>
        <w:tabs>
          <w:tab w:leader="none" w:pos="17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Sub-clause (i) above shall not oblige any Creditor Party to do anything which would or might in its reasonable opinion constitute a breach of any law or regulation, any policy of that party, any fiduciary duty or any duty of confidentiality, or to disclose any confidential information (including, without limitation, its tax returns and calculations).</w:t>
      </w:r>
    </w:p>
    <w:p>
      <w:pPr>
        <w:spacing w:after="0" w:line="86" w:lineRule="exact"/>
        <w:rPr>
          <w:rFonts w:ascii="Arial" w:cs="Arial" w:eastAsia="Arial" w:hAnsi="Arial"/>
          <w:sz w:val="18"/>
          <w:szCs w:val="18"/>
          <w:color w:val="auto"/>
        </w:rPr>
      </w:pPr>
    </w:p>
    <w:p>
      <w:pPr>
        <w:ind w:left="1700" w:right="200" w:hanging="787"/>
        <w:spacing w:after="0" w:line="277" w:lineRule="auto"/>
        <w:tabs>
          <w:tab w:leader="none" w:pos="17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If any Borrower is a US Tax Obligor, or where the Facility Agent reasonably believes that its obligations under FATCA or any other applicable law or regulation require it, each Lender shall, within ten Business Days of:</w:t>
      </w:r>
    </w:p>
    <w:p>
      <w:pPr>
        <w:spacing w:after="0" w:line="75" w:lineRule="exact"/>
        <w:rPr>
          <w:rFonts w:ascii="Arial" w:cs="Arial" w:eastAsia="Arial" w:hAnsi="Arial"/>
          <w:sz w:val="18"/>
          <w:szCs w:val="18"/>
          <w:color w:val="auto"/>
        </w:rPr>
      </w:pPr>
    </w:p>
    <w:p>
      <w:pPr>
        <w:ind w:left="2380" w:right="40" w:hanging="670"/>
        <w:spacing w:after="0" w:line="277" w:lineRule="auto"/>
        <w:tabs>
          <w:tab w:leader="none" w:pos="23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where that Borrower is a US Tax Obligor and the relevant Lender was a lender on the date of this Agreement, the date of this Agreement;</w:t>
      </w:r>
    </w:p>
    <w:p>
      <w:pPr>
        <w:spacing w:after="0" w:line="75" w:lineRule="exact"/>
        <w:rPr>
          <w:rFonts w:ascii="Arial" w:cs="Arial" w:eastAsia="Arial" w:hAnsi="Arial"/>
          <w:sz w:val="18"/>
          <w:szCs w:val="18"/>
          <w:color w:val="auto"/>
        </w:rPr>
      </w:pPr>
    </w:p>
    <w:p>
      <w:pPr>
        <w:ind w:left="2380" w:right="240" w:hanging="670"/>
        <w:spacing w:after="0" w:line="277" w:lineRule="auto"/>
        <w:tabs>
          <w:tab w:leader="none" w:pos="23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where that Borrower is a US Tax Obligor and the relevant Lender was not a lender on the date of this Agreement, the later of:</w:t>
      </w:r>
    </w:p>
    <w:p>
      <w:pPr>
        <w:spacing w:after="0" w:line="75" w:lineRule="exact"/>
        <w:rPr>
          <w:rFonts w:ascii="Arial" w:cs="Arial" w:eastAsia="Arial" w:hAnsi="Arial"/>
          <w:sz w:val="18"/>
          <w:szCs w:val="18"/>
          <w:color w:val="auto"/>
        </w:rPr>
      </w:pPr>
    </w:p>
    <w:p>
      <w:pPr>
        <w:ind w:left="3200" w:hanging="802"/>
        <w:spacing w:after="0"/>
        <w:tabs>
          <w:tab w:leader="none" w:pos="320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130" w:lineRule="exact"/>
        <w:rPr>
          <w:rFonts w:ascii="Arial" w:cs="Arial" w:eastAsia="Arial" w:hAnsi="Arial"/>
          <w:sz w:val="18"/>
          <w:szCs w:val="18"/>
          <w:color w:val="auto"/>
        </w:rPr>
      </w:pPr>
    </w:p>
    <w:p>
      <w:pPr>
        <w:ind w:left="3200" w:hanging="802"/>
        <w:spacing w:after="0"/>
        <w:tabs>
          <w:tab w:leader="none" w:pos="3200" w:val="left"/>
        </w:tabs>
        <w:numPr>
          <w:ilvl w:val="2"/>
          <w:numId w:val="386"/>
        </w:numPr>
        <w:rPr>
          <w:rFonts w:ascii="Arial" w:cs="Arial" w:eastAsia="Arial" w:hAnsi="Arial"/>
          <w:sz w:val="17"/>
          <w:szCs w:val="17"/>
          <w:color w:val="auto"/>
        </w:rPr>
      </w:pPr>
      <w:r>
        <w:rPr>
          <w:rFonts w:ascii="Arial" w:cs="Arial" w:eastAsia="Arial" w:hAnsi="Arial"/>
          <w:sz w:val="17"/>
          <w:szCs w:val="17"/>
          <w:color w:val="auto"/>
        </w:rPr>
        <w:t>the date on which the Facility Agent executes the relevant assignment agreement or Transfer Certificate; or</w:t>
      </w:r>
    </w:p>
    <w:p>
      <w:pPr>
        <w:spacing w:after="0" w:line="142" w:lineRule="exact"/>
        <w:rPr>
          <w:rFonts w:ascii="Arial" w:cs="Arial" w:eastAsia="Arial" w:hAnsi="Arial"/>
          <w:sz w:val="17"/>
          <w:szCs w:val="17"/>
          <w:color w:val="auto"/>
        </w:rPr>
      </w:pPr>
    </w:p>
    <w:p>
      <w:pPr>
        <w:ind w:left="2400" w:right="5800" w:hanging="690"/>
        <w:spacing w:after="0" w:line="383" w:lineRule="auto"/>
        <w:tabs>
          <w:tab w:leader="none" w:pos="2381"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date of a request from the Facility Agent, supply to the Facility Agent:</w:t>
      </w:r>
    </w:p>
    <w:p>
      <w:pPr>
        <w:spacing w:after="0" w:line="1" w:lineRule="exact"/>
        <w:rPr>
          <w:rFonts w:ascii="Arial" w:cs="Arial" w:eastAsia="Arial" w:hAnsi="Arial"/>
          <w:sz w:val="18"/>
          <w:szCs w:val="18"/>
          <w:color w:val="auto"/>
        </w:rPr>
      </w:pPr>
    </w:p>
    <w:p>
      <w:pPr>
        <w:ind w:left="3200" w:hanging="802"/>
        <w:spacing w:after="0"/>
        <w:tabs>
          <w:tab w:leader="none" w:pos="320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successor form) (as applicable); or</w:t>
      </w:r>
    </w:p>
    <w:p>
      <w:pPr>
        <w:spacing w:after="0" w:line="130" w:lineRule="exact"/>
        <w:rPr>
          <w:rFonts w:ascii="Arial" w:cs="Arial" w:eastAsia="Arial" w:hAnsi="Arial"/>
          <w:sz w:val="18"/>
          <w:szCs w:val="18"/>
          <w:color w:val="auto"/>
        </w:rPr>
      </w:pPr>
    </w:p>
    <w:p>
      <w:pPr>
        <w:ind w:left="3200" w:right="20" w:hanging="802"/>
        <w:spacing w:after="0" w:line="308" w:lineRule="auto"/>
        <w:tabs>
          <w:tab w:leader="none" w:pos="3200" w:val="left"/>
        </w:tabs>
        <w:numPr>
          <w:ilvl w:val="2"/>
          <w:numId w:val="386"/>
        </w:numPr>
        <w:rPr>
          <w:rFonts w:ascii="Arial" w:cs="Arial" w:eastAsia="Arial" w:hAnsi="Arial"/>
          <w:sz w:val="17"/>
          <w:szCs w:val="17"/>
          <w:color w:val="auto"/>
        </w:rPr>
      </w:pPr>
      <w:r>
        <w:rPr>
          <w:rFonts w:ascii="Arial" w:cs="Arial" w:eastAsia="Arial" w:hAnsi="Arial"/>
          <w:sz w:val="17"/>
          <w:szCs w:val="17"/>
          <w:color w:val="auto"/>
        </w:rPr>
        <w:t>any withholding statement and other documentation, authorisations and waivers as the Facility Agent may require to certify or establish the status of such Lender under FATCA or that other law or regulation.</w:t>
      </w:r>
    </w:p>
    <w:p>
      <w:pPr>
        <w:spacing w:after="0" w:line="38" w:lineRule="exact"/>
        <w:rPr>
          <w:sz w:val="20"/>
          <w:szCs w:val="20"/>
          <w:color w:val="auto"/>
        </w:rPr>
      </w:pPr>
    </w:p>
    <w:p>
      <w:pPr>
        <w:ind w:left="2400" w:right="120"/>
        <w:spacing w:after="0" w:line="302" w:lineRule="auto"/>
        <w:rPr>
          <w:sz w:val="20"/>
          <w:szCs w:val="20"/>
          <w:color w:val="auto"/>
        </w:rPr>
      </w:pPr>
      <w:r>
        <w:rPr>
          <w:rFonts w:ascii="Arial" w:cs="Arial" w:eastAsia="Arial" w:hAnsi="Arial"/>
          <w:sz w:val="16"/>
          <w:szCs w:val="16"/>
          <w:color w:val="auto"/>
        </w:rPr>
        <w:t>The Facility Agent shall provide any withholding certificate, withholding statement, documentation, authorisations and waivers it receives from a Lender pursuant to this paragraph (iv) to the Borrowers and shall be entitled to rely on any such withholding certificate, withholding statement, documentation, authorisations and waivers provided without further verification. The Facility Agent shall not be liable for any action taken by it under or in connection with this paragraph (iv).</w:t>
      </w:r>
    </w:p>
    <w:p>
      <w:pPr>
        <w:spacing w:after="0" w:line="60" w:lineRule="exact"/>
        <w:rPr>
          <w:sz w:val="20"/>
          <w:szCs w:val="20"/>
          <w:color w:val="auto"/>
        </w:rPr>
      </w:pPr>
    </w:p>
    <w:p>
      <w:pPr>
        <w:ind w:left="1700" w:right="20" w:hanging="787"/>
        <w:spacing w:after="0" w:line="279" w:lineRule="auto"/>
        <w:tabs>
          <w:tab w:leader="none" w:pos="170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If a party to any Finance Document fails to confirm its status or to supply forms, documentation or other information requested in accordance with sub-clause (i) above (including, for the avoidance of doubt, where sub-clause (iii)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76" w:lineRule="exact"/>
        <w:rPr>
          <w:rFonts w:ascii="Arial" w:cs="Arial" w:eastAsia="Arial" w:hAnsi="Arial"/>
          <w:sz w:val="17"/>
          <w:szCs w:val="17"/>
          <w:color w:val="auto"/>
        </w:rPr>
      </w:pPr>
    </w:p>
    <w:p>
      <w:pPr>
        <w:ind w:left="920" w:hanging="912"/>
        <w:spacing w:after="0"/>
        <w:tabs>
          <w:tab w:leader="none" w:pos="9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FATCA Deduction:</w:t>
      </w:r>
    </w:p>
    <w:p>
      <w:pPr>
        <w:spacing w:after="0" w:line="130" w:lineRule="exact"/>
        <w:rPr>
          <w:rFonts w:ascii="Arial" w:cs="Arial" w:eastAsia="Arial" w:hAnsi="Arial"/>
          <w:sz w:val="18"/>
          <w:szCs w:val="18"/>
          <w:color w:val="auto"/>
        </w:rPr>
      </w:pPr>
    </w:p>
    <w:p>
      <w:pPr>
        <w:ind w:left="1700" w:hanging="787"/>
        <w:spacing w:after="0" w:line="286" w:lineRule="auto"/>
        <w:tabs>
          <w:tab w:leader="none" w:pos="170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Each party to a Finance Document may make any FATCA Deduction it is required to make by FATCA, and any payment required in connection with that FATCA Deduction, and no such party shall be required to increase any payment in respect of which it makes such a FATCA Deduction or otherwise compensate the recipient of the payment for that FATCA Deduction.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(ii)</w:t>
            </w:r>
          </w:p>
        </w:tc>
        <w:tc>
          <w:tcPr>
            <w:tcW w:w="9700" w:type="dxa"/>
            <w:vAlign w:val="bottom"/>
          </w:tcPr>
          <w:p>
            <w:pPr>
              <w:ind w:left="40"/>
              <w:spacing w:after="0"/>
              <w:rPr>
                <w:sz w:val="20"/>
                <w:szCs w:val="20"/>
                <w:color w:val="auto"/>
              </w:rPr>
            </w:pPr>
            <w:r>
              <w:rPr>
                <w:rFonts w:ascii="Arial" w:cs="Arial" w:eastAsia="Arial" w:hAnsi="Arial"/>
                <w:sz w:val="18"/>
                <w:szCs w:val="18"/>
                <w:color w:val="auto"/>
                <w:w w:val="92"/>
              </w:rPr>
              <w:t>Each party to a Finance Document shall promptly, upon becoming aware that it must make a FATCA Deduction (or that there is any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change in the rate or the basis of such FATCA Deduction), notify the party to whom it is making the payment and, in addition, shall</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notify the Borrowers and the Facility Agent and the Facility Agent shall notify the other Creditor Parties.</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22.7</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Stamp taxes</w:t>
            </w:r>
          </w:p>
        </w:tc>
      </w:tr>
      <w:tr>
        <w:trPr>
          <w:trHeight w:val="310"/>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3"/>
              </w:rPr>
              <w:t>The Borrowers must pay and indemnify each Creditor Party against any stamp duty, registration or other similar Tax payable by that Creditor</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Party in connection with the entry into, performance or enforcement of any Finance Document.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22.8</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Value added taxes</w:t>
            </w:r>
          </w:p>
        </w:tc>
      </w:tr>
      <w:tr>
        <w:trPr>
          <w:trHeight w:val="310"/>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3"/>
              </w:rPr>
              <w:t>Any amount (including costs and expenses) payable under a Finance Document by the Borrowers is exclusive of any value added tax or any</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1"/>
              </w:rPr>
              <w:t>other tax of a similar nature which might be chargeable in connection with that amount. If any such tax is chargeable, the Borrowers must pay to</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the Facility Agent (in addition to and at the same time as paying that amount) an amount equal to the amount of that tax.</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23</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ILLEGALITY, ETC</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23.1</w:t>
            </w: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w w:val="99"/>
              </w:rPr>
              <w:t>Illegality</w:t>
            </w:r>
          </w:p>
        </w:tc>
        <w:tc>
          <w:tcPr>
            <w:tcW w:w="9700" w:type="dxa"/>
            <w:vAlign w:val="bottom"/>
          </w:tcPr>
          <w:p>
            <w:pPr>
              <w:spacing w:after="0"/>
              <w:rPr>
                <w:sz w:val="24"/>
                <w:szCs w:val="24"/>
                <w:color w:val="auto"/>
              </w:rPr>
            </w:pPr>
          </w:p>
        </w:tc>
      </w:tr>
      <w:tr>
        <w:trPr>
          <w:trHeight w:val="306"/>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1"/>
              </w:rPr>
              <w:t>If it becomes unlawful and/or contrary to, or declared by any Sanctions Authority to be contrary to, Sanctions, in any applicable jurisdiction for a</w:t>
            </w:r>
          </w:p>
        </w:tc>
      </w:tr>
      <w:tr>
        <w:trPr>
          <w:trHeight w:val="220"/>
        </w:trPr>
        <w:tc>
          <w:tcPr>
            <w:tcW w:w="620" w:type="dxa"/>
            <w:vAlign w:val="bottom"/>
          </w:tcPr>
          <w:p>
            <w:pPr>
              <w:spacing w:after="0"/>
              <w:rPr>
                <w:sz w:val="19"/>
                <w:szCs w:val="19"/>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9"/>
              </w:rPr>
              <w:t>Lender (the “</w:t>
            </w:r>
            <w:r>
              <w:rPr>
                <w:rFonts w:ascii="Arial" w:cs="Arial" w:eastAsia="Arial" w:hAnsi="Arial"/>
                <w:sz w:val="18"/>
                <w:szCs w:val="18"/>
                <w:b w:val="1"/>
                <w:bCs w:val="1"/>
                <w:color w:val="auto"/>
                <w:w w:val="99"/>
              </w:rPr>
              <w:t>Notifying Lender</w:t>
            </w:r>
            <w:r>
              <w:rPr>
                <w:rFonts w:ascii="Arial" w:cs="Arial" w:eastAsia="Arial" w:hAnsi="Arial"/>
                <w:sz w:val="18"/>
                <w:szCs w:val="18"/>
                <w:color w:val="auto"/>
                <w:w w:val="99"/>
              </w:rPr>
              <w:t>”) to perform any of its obligations as contemplated by this Agreement or to fund, issue or maintain its</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participation in the Loan or it becomes unlawful and/or contrary to, or declared by any Sanctions Authority to be contrary to, Sanctions for any</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Affiliate of a Lender for that Lender to do so:</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that Notifying Lender shall promptly notify the Facility Agent upon becoming aware of that event;</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upon the Facility Agent notifying the Borrowers, the Commitment of that Notifying Lender will be immediately cancelled; and</w:t>
      </w:r>
    </w:p>
    <w:p>
      <w:pPr>
        <w:spacing w:after="0" w:line="130" w:lineRule="exact"/>
        <w:rPr>
          <w:rFonts w:ascii="Arial" w:cs="Arial" w:eastAsia="Arial" w:hAnsi="Arial"/>
          <w:sz w:val="18"/>
          <w:szCs w:val="18"/>
          <w:color w:val="auto"/>
        </w:rPr>
      </w:pPr>
    </w:p>
    <w:p>
      <w:pPr>
        <w:ind w:left="920" w:right="100" w:hanging="912"/>
        <w:spacing w:after="0" w:line="257" w:lineRule="auto"/>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to the extent that the Notifying Lender’s participation has not been transferred pursuant to clause 8 each Borrower shall repay that Notifying Lender’s participation in the Loan made to the Borrower(s) on the last day of the Interest Period for each Loan occurring after the Facility Agent has notified the Borrowers or, if earlier, the date specified by the Notifying Lender in the notice delivered to the Facility Agent (being no earlier than the last day of any applicable grace period permitted by law) and that Notifying Lender’s corresponding Commitment(s) shall be cancelled in the amount of the participations repaid.</w:t>
      </w:r>
    </w:p>
    <w:p>
      <w:pPr>
        <w:spacing w:after="0" w:line="333" w:lineRule="exact"/>
        <w:rPr>
          <w:sz w:val="20"/>
          <w:szCs w:val="20"/>
          <w:color w:val="auto"/>
        </w:rPr>
      </w:pPr>
    </w:p>
    <w:p>
      <w:pPr>
        <w:ind w:left="920" w:hanging="912"/>
        <w:spacing w:after="0"/>
        <w:tabs>
          <w:tab w:leader="none" w:pos="92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24.1</w:t>
      </w:r>
      <w:r>
        <w:rPr>
          <w:rFonts w:ascii="Arial" w:cs="Arial" w:eastAsia="Arial" w:hAnsi="Arial"/>
          <w:sz w:val="15"/>
          <w:szCs w:val="15"/>
          <w:b w:val="1"/>
          <w:bCs w:val="1"/>
          <w:color w:val="auto"/>
        </w:rPr>
        <w:t>Increased costs</w:t>
      </w:r>
    </w:p>
    <w:p>
      <w:pPr>
        <w:spacing w:after="0" w:line="117" w:lineRule="exact"/>
        <w:rPr>
          <w:sz w:val="20"/>
          <w:szCs w:val="20"/>
          <w:color w:val="auto"/>
        </w:rPr>
      </w:pPr>
    </w:p>
    <w:p>
      <w:pPr>
        <w:ind w:left="920" w:right="340"/>
        <w:spacing w:after="0" w:line="282" w:lineRule="auto"/>
        <w:rPr>
          <w:sz w:val="20"/>
          <w:szCs w:val="20"/>
          <w:color w:val="auto"/>
        </w:rPr>
      </w:pPr>
      <w:r>
        <w:rPr>
          <w:rFonts w:ascii="Arial" w:cs="Arial" w:eastAsia="Arial" w:hAnsi="Arial"/>
          <w:sz w:val="18"/>
          <w:szCs w:val="18"/>
          <w:color w:val="auto"/>
        </w:rPr>
        <w:t>This Clause 24 applies if a Lender or any affiliate of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the Notifying Lender considers that as a result of:</w:t>
      </w:r>
    </w:p>
    <w:p>
      <w:pPr>
        <w:spacing w:after="0" w:line="71" w:lineRule="exact"/>
        <w:rPr>
          <w:sz w:val="20"/>
          <w:szCs w:val="20"/>
          <w:color w:val="auto"/>
        </w:rPr>
      </w:pPr>
    </w:p>
    <w:p>
      <w:pPr>
        <w:ind w:left="920" w:hanging="912"/>
        <w:spacing w:after="0" w:line="264" w:lineRule="auto"/>
        <w:tabs>
          <w:tab w:leader="none" w:pos="9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introduction or change after the date of this Agreement of a law or regulation or a change after the date of this Agreement in the manner in which a law or regulation is interpreted or applied (disregarding any effect which relates to the application to payments under this Agreement of a tax on a Lender’s overall net income);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271" w:name="page272"/>
    <w:bookmarkEnd w:id="271"/>
    <w:p>
      <w:pPr>
        <w:ind w:left="920" w:right="80" w:hanging="912"/>
        <w:spacing w:after="0" w:line="264" w:lineRule="auto"/>
        <w:tabs>
          <w:tab w:leader="none" w:pos="9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complying with any law or regulation (including any which relates to capital adequacy or liquidity controls or which affects the manner in which the Notifying Lender allocates capital resources to its obligations under this Agreement) which is made, introduced, or changed, or the interpretation or application of which is changed, after the date of this Agreement; or</w:t>
      </w:r>
    </w:p>
    <w:p>
      <w:pPr>
        <w:spacing w:after="0" w:line="86" w:lineRule="exact"/>
        <w:rPr>
          <w:rFonts w:ascii="Arial" w:cs="Arial" w:eastAsia="Arial" w:hAnsi="Arial"/>
          <w:sz w:val="18"/>
          <w:szCs w:val="18"/>
          <w:color w:val="auto"/>
        </w:rPr>
      </w:pPr>
    </w:p>
    <w:p>
      <w:pPr>
        <w:ind w:left="920" w:right="40" w:hanging="912"/>
        <w:spacing w:after="0" w:line="257" w:lineRule="auto"/>
        <w:tabs>
          <w:tab w:leader="none" w:pos="9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CRD IV or CRR or any law or regulation that implements or applies Basel III, CRD IV or CRR (whether such implementation, application or compliance is by a government, regulator or the Notifying Lender or a parent company or an affiliate of it) to the extent such increased costs were not capable of being calculated with sufficient accuracy prior to the date of this Agreement due to a lack of clarity or detail in Basel III, CRD IV, CRR and/or any related information from a banking regulator available on the date of this Agreement.</w:t>
      </w:r>
    </w:p>
    <w:p>
      <w:pPr>
        <w:spacing w:after="0" w:line="93" w:lineRule="exact"/>
        <w:rPr>
          <w:rFonts w:ascii="Arial" w:cs="Arial" w:eastAsia="Arial" w:hAnsi="Arial"/>
          <w:sz w:val="18"/>
          <w:szCs w:val="18"/>
          <w:color w:val="auto"/>
        </w:rPr>
      </w:pPr>
    </w:p>
    <w:p>
      <w:pPr>
        <w:ind w:left="920" w:right="100" w:hanging="912"/>
        <w:spacing w:after="0" w:line="264" w:lineRule="auto"/>
        <w:tabs>
          <w:tab w:leader="none" w:pos="9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in each case when compared to the cost of complying with such regulations as determined by the Notifying Lender (or parent company or affiliate of it) on the date of this Agreement (whether such implementation, application or compliance is by a government, regulator, supervisory authority, the Notifying Lender or its holding company),</w:t>
      </w:r>
    </w:p>
    <w:p>
      <w:pPr>
        <w:spacing w:after="0" w:line="6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Notifying Lender (or a parent company or affiliate of it) has incurred or will incur an “</w:t>
      </w:r>
      <w:r>
        <w:rPr>
          <w:rFonts w:ascii="Arial" w:cs="Arial" w:eastAsia="Arial" w:hAnsi="Arial"/>
          <w:sz w:val="18"/>
          <w:szCs w:val="18"/>
          <w:b w:val="1"/>
          <w:bCs w:val="1"/>
          <w:color w:val="auto"/>
        </w:rPr>
        <w:t>increased cost</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5"/>
          <w:szCs w:val="15"/>
          <w:b w:val="1"/>
          <w:bCs w:val="1"/>
          <w:color w:val="auto"/>
        </w:rPr>
        <w:t>Meaning of “increased costs”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Clause 24, “</w:t>
      </w:r>
      <w:r>
        <w:rPr>
          <w:rFonts w:ascii="Arial" w:cs="Arial" w:eastAsia="Arial" w:hAnsi="Arial"/>
          <w:sz w:val="18"/>
          <w:szCs w:val="18"/>
          <w:b w:val="1"/>
          <w:bCs w:val="1"/>
          <w:color w:val="auto"/>
        </w:rPr>
        <w:t>increased costs</w:t>
      </w:r>
      <w:r>
        <w:rPr>
          <w:rFonts w:ascii="Arial" w:cs="Arial" w:eastAsia="Arial" w:hAnsi="Arial"/>
          <w:sz w:val="18"/>
          <w:szCs w:val="18"/>
          <w:color w:val="auto"/>
        </w:rPr>
        <w:t>” means, in relation to a Notifying Lender:</w:t>
      </w:r>
    </w:p>
    <w:p>
      <w:pPr>
        <w:spacing w:after="0" w:line="135" w:lineRule="exact"/>
        <w:rPr>
          <w:sz w:val="20"/>
          <w:szCs w:val="20"/>
          <w:color w:val="auto"/>
        </w:rPr>
      </w:pPr>
    </w:p>
    <w:p>
      <w:pPr>
        <w:ind w:left="920" w:hanging="912"/>
        <w:spacing w:after="0"/>
        <w:tabs>
          <w:tab w:leader="none" w:pos="9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 additional or increased cost;</w:t>
      </w:r>
    </w:p>
    <w:p>
      <w:pPr>
        <w:spacing w:after="0" w:line="130" w:lineRule="exact"/>
        <w:rPr>
          <w:rFonts w:ascii="Arial" w:cs="Arial" w:eastAsia="Arial" w:hAnsi="Arial"/>
          <w:sz w:val="18"/>
          <w:szCs w:val="18"/>
          <w:color w:val="auto"/>
        </w:rPr>
      </w:pPr>
    </w:p>
    <w:p>
      <w:pPr>
        <w:ind w:left="920" w:right="100" w:hanging="912"/>
        <w:spacing w:after="0" w:line="277" w:lineRule="auto"/>
        <w:tabs>
          <w:tab w:leader="none" w:pos="9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 reduction of any amount due and payable to the Notifying Lender under this Agreement or in the effective rate of return which such a payment represents to the Notifying Lender or on its overall capital;</w:t>
      </w:r>
    </w:p>
    <w:p>
      <w:pPr>
        <w:spacing w:after="0" w:line="75" w:lineRule="exact"/>
        <w:rPr>
          <w:rFonts w:ascii="Arial" w:cs="Arial" w:eastAsia="Arial" w:hAnsi="Arial"/>
          <w:sz w:val="18"/>
          <w:szCs w:val="18"/>
          <w:color w:val="auto"/>
        </w:rPr>
      </w:pPr>
    </w:p>
    <w:p>
      <w:pPr>
        <w:ind w:left="920" w:right="200" w:hanging="912"/>
        <w:spacing w:after="0" w:line="277" w:lineRule="auto"/>
        <w:tabs>
          <w:tab w:leader="none" w:pos="9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 additional or increased cost of funding all or maintaining all or any of the advances comprised in a class of advances formed by or including the Notifying Lender’s Contribution,</w:t>
      </w:r>
    </w:p>
    <w:p>
      <w:pPr>
        <w:spacing w:after="0" w:line="62" w:lineRule="exact"/>
        <w:rPr>
          <w:rFonts w:ascii="Arial" w:cs="Arial" w:eastAsia="Arial" w:hAnsi="Arial"/>
          <w:sz w:val="18"/>
          <w:szCs w:val="18"/>
          <w:color w:val="auto"/>
        </w:rPr>
      </w:pPr>
    </w:p>
    <w:p>
      <w:pPr>
        <w:ind w:left="920" w:right="560"/>
        <w:spacing w:after="0" w:line="342" w:lineRule="auto"/>
        <w:rPr>
          <w:rFonts w:ascii="Arial" w:cs="Arial" w:eastAsia="Arial" w:hAnsi="Arial"/>
          <w:sz w:val="18"/>
          <w:szCs w:val="18"/>
          <w:color w:val="auto"/>
        </w:rPr>
      </w:pPr>
      <w:r>
        <w:rPr>
          <w:rFonts w:ascii="Arial" w:cs="Arial" w:eastAsia="Arial" w:hAnsi="Arial"/>
          <w:sz w:val="16"/>
          <w:szCs w:val="16"/>
          <w:color w:val="auto"/>
        </w:rPr>
        <w:t>(and in the case of paragraphs (a) to (c) inclusive, which increased costs is incurred or suffered the Notifying Lender to the extent that it is attributable to the it having entered into its Commitment or funding or performing its obligations under any Finance Document); or</w:t>
      </w:r>
    </w:p>
    <w:p>
      <w:pPr>
        <w:spacing w:after="0" w:line="29" w:lineRule="exact"/>
        <w:rPr>
          <w:rFonts w:ascii="Arial" w:cs="Arial" w:eastAsia="Arial" w:hAnsi="Arial"/>
          <w:sz w:val="18"/>
          <w:szCs w:val="18"/>
          <w:color w:val="auto"/>
        </w:rPr>
      </w:pPr>
    </w:p>
    <w:p>
      <w:pPr>
        <w:ind w:left="920" w:right="460" w:hanging="912"/>
        <w:spacing w:after="0" w:line="277" w:lineRule="auto"/>
        <w:tabs>
          <w:tab w:leader="none" w:pos="9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 liability to make a payment, or a return foregone, which is calculated by reference to any amounts received or receivable by the Notifying Lender under this Agreement,</w:t>
      </w:r>
    </w:p>
    <w:p>
      <w:pPr>
        <w:spacing w:after="0" w:line="62" w:lineRule="exact"/>
        <w:rPr>
          <w:rFonts w:ascii="Arial" w:cs="Arial" w:eastAsia="Arial" w:hAnsi="Arial"/>
          <w:sz w:val="18"/>
          <w:szCs w:val="18"/>
          <w:color w:val="auto"/>
        </w:rPr>
      </w:pPr>
    </w:p>
    <w:p>
      <w:pPr>
        <w:ind w:left="920"/>
        <w:spacing w:after="0" w:line="293" w:lineRule="auto"/>
        <w:rPr>
          <w:rFonts w:ascii="Arial" w:cs="Arial" w:eastAsia="Arial" w:hAnsi="Arial"/>
          <w:sz w:val="18"/>
          <w:szCs w:val="18"/>
          <w:color w:val="auto"/>
        </w:rPr>
      </w:pPr>
      <w:r>
        <w:rPr>
          <w:rFonts w:ascii="Arial" w:cs="Arial" w:eastAsia="Arial" w:hAnsi="Arial"/>
          <w:sz w:val="16"/>
          <w:szCs w:val="16"/>
          <w:color w:val="auto"/>
        </w:rPr>
        <w:t>but not an item attributable to a change in the rate of tax on the overall net income of the Notifying Lender (or a parent company or affiliate of it), or an item covered by the indemnity for tax in Clause 21.1, or by Clause 22, or attributable to a FATCA Deduction required to be made by a Party, or 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Arial" w:cs="Arial" w:eastAsia="Arial" w:hAnsi="Arial"/>
          <w:sz w:val="16"/>
          <w:szCs w:val="16"/>
          <w:b w:val="1"/>
          <w:bCs w:val="1"/>
          <w:color w:val="auto"/>
        </w:rPr>
        <w:t>Basel II</w:t>
      </w:r>
      <w:r>
        <w:rPr>
          <w:rFonts w:ascii="Arial" w:cs="Arial" w:eastAsia="Arial" w:hAnsi="Arial"/>
          <w:sz w:val="16"/>
          <w:szCs w:val="16"/>
          <w:color w:val="auto"/>
        </w:rPr>
        <w:t>”) or any other law or regulation which implements Basel II (whether such implementation, application or compliance is by a government, regulator, a Creditor Party or any of its Affiliates);.</w:t>
      </w:r>
    </w:p>
    <w:p>
      <w:pPr>
        <w:spacing w:after="0" w:line="56" w:lineRule="exact"/>
        <w:rPr>
          <w:rFonts w:ascii="Arial" w:cs="Arial" w:eastAsia="Arial" w:hAnsi="Arial"/>
          <w:sz w:val="18"/>
          <w:szCs w:val="18"/>
          <w:color w:val="auto"/>
        </w:rPr>
      </w:pPr>
    </w:p>
    <w:p>
      <w:pPr>
        <w:ind w:left="920" w:right="80"/>
        <w:spacing w:after="0" w:line="277" w:lineRule="auto"/>
        <w:rPr>
          <w:rFonts w:ascii="Arial" w:cs="Arial" w:eastAsia="Arial" w:hAnsi="Arial"/>
          <w:sz w:val="18"/>
          <w:szCs w:val="18"/>
          <w:color w:val="auto"/>
        </w:rPr>
      </w:pPr>
      <w:r>
        <w:rPr>
          <w:rFonts w:ascii="Arial" w:cs="Arial" w:eastAsia="Arial" w:hAnsi="Arial"/>
          <w:sz w:val="18"/>
          <w:szCs w:val="18"/>
          <w:color w:val="auto"/>
        </w:rPr>
        <w:t>For the purposes of this Clause 24.2 the Notifying Lender may in good faith allocate or spread costs and/or losses among its assets and liabilities (or any class of its assets and liabilities) on such basis as it considers appropriate.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272" w:name="page273"/>
    <w:bookmarkEnd w:id="27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24.3</w:t>
      </w:r>
      <w:r>
        <w:rPr>
          <w:sz w:val="20"/>
          <w:szCs w:val="20"/>
          <w:color w:val="auto"/>
        </w:rPr>
        <w:tab/>
      </w:r>
      <w:r>
        <w:rPr>
          <w:rFonts w:ascii="Arial" w:cs="Arial" w:eastAsia="Arial" w:hAnsi="Arial"/>
          <w:sz w:val="15"/>
          <w:szCs w:val="15"/>
          <w:b w:val="1"/>
          <w:bCs w:val="1"/>
          <w:color w:val="auto"/>
        </w:rPr>
        <w:t>Notification to Borrowers of claim for increased costs</w:t>
      </w:r>
    </w:p>
    <w:p>
      <w:pPr>
        <w:spacing w:after="0" w:line="121"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The Facility Agent shall promptly notify the Borrowers and the Security Parties of the notice which the Facility Agent received from the Notifying Lender under Clause 24.1.</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Payment of increased costs</w:t>
      </w:r>
    </w:p>
    <w:p>
      <w:pPr>
        <w:spacing w:after="0" w:line="121"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The Borrowers (or, subject to Clause 29.2, each applicable Affected Borrower), shall pay to the Facility Agent, on the Facility Agent’s demand, for the account of the Notifying Lender the amounts which the Facility Agent from time to time notifies the Borrowers (or each relevant Affected Borrower), that the Notifying Lender has specified to be necessary to compensate the Notifying Lender for the increased cost.</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Notice of prepayment</w:t>
      </w:r>
    </w:p>
    <w:p>
      <w:pPr>
        <w:spacing w:after="0" w:line="121"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If the Borrowers are (or, subject to Clause 29.2, each applicable Affected Borrower is) not willing to continue to compensate the Notifying Lender for the increased cost under Clause 24.4, the Borrowers (or each Affected Borrower) may give the Facility Agent not less than 15 days’ notice of its intention to prepay the Notifying Lender’s Contribution at the end of an Interest Period.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Prepayment; termination of Commitment</w:t>
      </w:r>
    </w:p>
    <w:p>
      <w:pPr>
        <w:spacing w:after="0" w:line="121"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A notice under Clause 24.5 shall be irrevocable; the Facility Agent shall promptly notify the Notifying Lender of the Borrowers’ (or each relevant Affected Borrower’s) notice of intended prepayment; and:</w:t>
      </w:r>
    </w:p>
    <w:p>
      <w:pPr>
        <w:spacing w:after="0" w:line="76" w:lineRule="exact"/>
        <w:rPr>
          <w:sz w:val="20"/>
          <w:szCs w:val="20"/>
          <w:color w:val="auto"/>
        </w:rPr>
      </w:pPr>
    </w:p>
    <w:p>
      <w:pPr>
        <w:ind w:left="920" w:hanging="912"/>
        <w:spacing w:after="0"/>
        <w:tabs>
          <w:tab w:leader="none" w:pos="9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on the date on which the Facility Agent serves that notice, the Commitment of the Notifying Lender shall be cancelled; and</w:t>
      </w:r>
    </w:p>
    <w:p>
      <w:pPr>
        <w:spacing w:after="0" w:line="130" w:lineRule="exact"/>
        <w:rPr>
          <w:rFonts w:ascii="Arial" w:cs="Arial" w:eastAsia="Arial" w:hAnsi="Arial"/>
          <w:sz w:val="18"/>
          <w:szCs w:val="18"/>
          <w:color w:val="auto"/>
        </w:rPr>
      </w:pPr>
    </w:p>
    <w:p>
      <w:pPr>
        <w:ind w:left="920" w:right="60" w:hanging="912"/>
        <w:spacing w:after="0" w:line="308" w:lineRule="auto"/>
        <w:tabs>
          <w:tab w:leader="none" w:pos="92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on the date specified in its notice of intended prepayment, the Borrowers (or each relevant Affected Borrower) shall prepay (without premium or penalty) the Notifying Lender’s Contribution, together with accrued interest thereon at the applicable rate plus the Margin.</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Application of prepayment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Clause 8 shall apply in relation to the prepayment.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SET-OFF</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Application of credit balances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Creditor Party may without prior notice:</w:t>
      </w:r>
    </w:p>
    <w:p>
      <w:pPr>
        <w:spacing w:after="0" w:line="131" w:lineRule="exact"/>
        <w:rPr>
          <w:sz w:val="20"/>
          <w:szCs w:val="20"/>
          <w:color w:val="auto"/>
        </w:rPr>
      </w:pPr>
    </w:p>
    <w:p>
      <w:pPr>
        <w:ind w:left="920" w:right="200" w:hanging="912"/>
        <w:spacing w:after="0" w:line="264" w:lineRule="auto"/>
        <w:tabs>
          <w:tab w:leader="none" w:pos="9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the Borrowers at any office in any country of that Creditor Party in or towards satisfaction of any sum then due from the Borrowers to that Creditor Party under any of the Finance Documents; and</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the Borrowers;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130" w:lineRule="exact"/>
        <w:rPr>
          <w:rFonts w:ascii="Arial" w:cs="Arial" w:eastAsia="Arial" w:hAnsi="Arial"/>
          <w:sz w:val="18"/>
          <w:szCs w:val="18"/>
          <w:color w:val="auto"/>
        </w:rPr>
      </w:pPr>
    </w:p>
    <w:p>
      <w:pPr>
        <w:ind w:left="1700" w:right="400" w:hanging="787"/>
        <w:spacing w:after="0" w:line="277" w:lineRule="auto"/>
        <w:tabs>
          <w:tab w:leader="none" w:pos="17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enter into any other transaction or make any entry with regard to the credit balance which the Creditor Party concerned considers appropriate.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0" w:right="259" w:bottom="1440" w:gutter="0" w:footer="0" w:header="0"/>
        </w:sectPr>
      </w:pPr>
    </w:p>
    <w:bookmarkStart w:id="273" w:name="page274"/>
    <w:bookmarkEnd w:id="27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25.2</w:t>
      </w:r>
      <w:r>
        <w:rPr>
          <w:sz w:val="20"/>
          <w:szCs w:val="20"/>
          <w:color w:val="auto"/>
        </w:rPr>
        <w:tab/>
      </w:r>
      <w:r>
        <w:rPr>
          <w:rFonts w:ascii="Arial" w:cs="Arial" w:eastAsia="Arial" w:hAnsi="Arial"/>
          <w:sz w:val="16"/>
          <w:szCs w:val="16"/>
          <w:b w:val="1"/>
          <w:bCs w:val="1"/>
          <w:color w:val="auto"/>
        </w:rPr>
        <w:t>Existing rights unaffected</w:t>
      </w:r>
    </w:p>
    <w:p>
      <w:pPr>
        <w:spacing w:after="0" w:line="121"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No Creditor Party shall be obliged to exercise any of its rights under Clause 25.1; and those rights shall be without prejudice and in addition to any right of set-off, combination of accounts, charge, lien or other right or remedy to which a Creditor Party is entitled (whether under the general law or any document).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For the purposes of this Clause 25, a sum payable by the Borrowers to the Facility Agent or the Security Trustee for distribution to, or for the account of, a Lender shall be treated as a sum due to that Lender; and each Lender’s proportion of a sum so payable for distribution to, or for the account of, the Lenders shall be treated as a sum due to such Lender.</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No Security Interest</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This Clause 25 gives the Creditor Parties a contractual right of set-off only, and does not create any equitable charge or other Security Interest over any credit balance of the Borrowers.</w:t>
      </w:r>
    </w:p>
    <w:p>
      <w:pPr>
        <w:spacing w:after="0" w:line="315" w:lineRule="exact"/>
        <w:rPr>
          <w:sz w:val="20"/>
          <w:szCs w:val="20"/>
          <w:color w:val="auto"/>
        </w:rPr>
      </w:pPr>
    </w:p>
    <w:p>
      <w:pPr>
        <w:ind w:left="920" w:hanging="912"/>
        <w:spacing w:after="0"/>
        <w:tabs>
          <w:tab w:leader="none" w:pos="92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AND CHANGES IN LENDING OFFICES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26.1</w:t>
      </w:r>
      <w:r>
        <w:rPr>
          <w:rFonts w:ascii="Arial" w:cs="Arial" w:eastAsia="Arial" w:hAnsi="Arial"/>
          <w:sz w:val="16"/>
          <w:szCs w:val="16"/>
          <w:b w:val="1"/>
          <w:bCs w:val="1"/>
          <w:color w:val="auto"/>
        </w:rPr>
        <w:t>Transfer by the Borrowers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The Borrowers may not assign or transfer any of their rights, liabilities or obligations under any Finance Document.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Transfer by a Lender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 26.4, a Lender (the “</w:t>
      </w:r>
      <w:r>
        <w:rPr>
          <w:rFonts w:ascii="Arial" w:cs="Arial" w:eastAsia="Arial" w:hAnsi="Arial"/>
          <w:sz w:val="18"/>
          <w:szCs w:val="18"/>
          <w:b w:val="1"/>
          <w:bCs w:val="1"/>
          <w:color w:val="auto"/>
        </w:rPr>
        <w:t>Transferor Lender</w:t>
      </w:r>
      <w:r>
        <w:rPr>
          <w:rFonts w:ascii="Arial" w:cs="Arial" w:eastAsia="Arial" w:hAnsi="Arial"/>
          <w:sz w:val="18"/>
          <w:szCs w:val="18"/>
          <w:color w:val="auto"/>
        </w:rPr>
        <w:t>”) may, at any time, cause:</w:t>
      </w:r>
    </w:p>
    <w:p>
      <w:pPr>
        <w:spacing w:after="0" w:line="135" w:lineRule="exact"/>
        <w:rPr>
          <w:sz w:val="20"/>
          <w:szCs w:val="20"/>
          <w:color w:val="auto"/>
        </w:rPr>
      </w:pPr>
    </w:p>
    <w:p>
      <w:pPr>
        <w:ind w:left="920" w:hanging="912"/>
        <w:spacing w:after="0"/>
        <w:tabs>
          <w:tab w:leader="none" w:pos="9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its rights in respect of all or part of its Contribution;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its obligations in respect of all or part of its Commitment;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 combination of (a) and (b);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all or part of its credit risk under this Agreement and the other Finance Documents,</w:t>
      </w:r>
    </w:p>
    <w:p>
      <w:pPr>
        <w:spacing w:after="0" w:line="117" w:lineRule="exact"/>
        <w:rPr>
          <w:rFonts w:ascii="Arial" w:cs="Arial" w:eastAsia="Arial" w:hAnsi="Arial"/>
          <w:sz w:val="18"/>
          <w:szCs w:val="18"/>
          <w:color w:val="auto"/>
        </w:rPr>
      </w:pPr>
    </w:p>
    <w:p>
      <w:pPr>
        <w:ind w:left="920" w:right="120"/>
        <w:spacing w:after="0" w:line="259" w:lineRule="auto"/>
        <w:rPr>
          <w:rFonts w:ascii="Arial" w:cs="Arial" w:eastAsia="Arial" w:hAnsi="Arial"/>
          <w:sz w:val="18"/>
          <w:szCs w:val="18"/>
          <w:color w:val="auto"/>
        </w:rPr>
      </w:pPr>
      <w:r>
        <w:rPr>
          <w:rFonts w:ascii="Arial" w:cs="Arial" w:eastAsia="Arial" w:hAnsi="Arial"/>
          <w:sz w:val="18"/>
          <w:szCs w:val="18"/>
          <w:color w:val="auto"/>
        </w:rPr>
        <w:t>to be syndicated to or, (in the case of its rights) assigned, pledged or transferred to, or (in the case of its obligations) pledged or assumed by, any third party (a “</w:t>
      </w:r>
      <w:r>
        <w:rPr>
          <w:rFonts w:ascii="Arial" w:cs="Arial" w:eastAsia="Arial" w:hAnsi="Arial"/>
          <w:sz w:val="18"/>
          <w:szCs w:val="18"/>
          <w:b w:val="1"/>
          <w:bCs w:val="1"/>
          <w:color w:val="auto"/>
        </w:rPr>
        <w:t>Transferee Lender</w:t>
      </w:r>
      <w:r>
        <w:rPr>
          <w:rFonts w:ascii="Arial" w:cs="Arial" w:eastAsia="Arial" w:hAnsi="Arial"/>
          <w:sz w:val="18"/>
          <w:szCs w:val="18"/>
          <w:color w:val="auto"/>
        </w:rPr>
        <w:t>”) by delivering to the Facility Agent a completed certificate in the form set out in Schedule 4 with any modifications approved or required by the Facility Agent (a “</w:t>
      </w:r>
      <w:r>
        <w:rPr>
          <w:rFonts w:ascii="Arial" w:cs="Arial" w:eastAsia="Arial" w:hAnsi="Arial"/>
          <w:sz w:val="18"/>
          <w:szCs w:val="18"/>
          <w:b w:val="1"/>
          <w:bCs w:val="1"/>
          <w:color w:val="auto"/>
        </w:rPr>
        <w:t>Transfer Certificate</w:t>
      </w:r>
      <w:r>
        <w:rPr>
          <w:rFonts w:ascii="Arial" w:cs="Arial" w:eastAsia="Arial" w:hAnsi="Arial"/>
          <w:sz w:val="18"/>
          <w:szCs w:val="18"/>
          <w:color w:val="auto"/>
        </w:rPr>
        <w:t>”) executed by the Transferor Lender and the Transferee Lender.</w:t>
      </w:r>
    </w:p>
    <w:p>
      <w:pPr>
        <w:spacing w:after="0" w:line="78" w:lineRule="exact"/>
        <w:rPr>
          <w:rFonts w:ascii="Arial" w:cs="Arial" w:eastAsia="Arial" w:hAnsi="Arial"/>
          <w:sz w:val="18"/>
          <w:szCs w:val="18"/>
          <w:color w:val="auto"/>
        </w:rPr>
      </w:pPr>
    </w:p>
    <w:p>
      <w:pPr>
        <w:ind w:left="920"/>
        <w:spacing w:after="0" w:line="271" w:lineRule="auto"/>
        <w:rPr>
          <w:rFonts w:ascii="Arial" w:cs="Arial" w:eastAsia="Arial" w:hAnsi="Arial"/>
          <w:sz w:val="18"/>
          <w:szCs w:val="18"/>
          <w:color w:val="auto"/>
        </w:rPr>
      </w:pPr>
      <w:r>
        <w:rPr>
          <w:rFonts w:ascii="Arial" w:cs="Arial" w:eastAsia="Arial" w:hAnsi="Arial"/>
          <w:sz w:val="17"/>
          <w:szCs w:val="17"/>
          <w:color w:val="auto"/>
        </w:rPr>
        <w:t xml:space="preserve">Prior to exercising its rights pursuant to this Clause 26.2, the Transferor Lender may, other than in the case of a transfer contemplated in subparagraphs (i)(A) or (B) below, shall first give each other Lender the option (through a notice in writing) to receive the benefit of a syndication or any assignment, pledge, transfer or assumption of its Contribution (or the relevant thereof), its Commitment (or the relevant part thereof) or a combination of both and,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there is no Event of Default in existence at the relevant time, the Borrowers the right to propose a Transferee Lender to the Transferor Lender. Each Lender shall have 5 Business Days from the date of the Transferor Lender’s notice to advise the Transferor Lender in writing if it shall exercise such option. If any Lender(s) exercise(s) such option within the aforementioned 5-Business Day period, the Transferor Lender(s) and the Transferee Lender(s) shall execute and deliver to the Facility Agent a completed certificate(s) in the form set out in Schedule 4 with any modifications approved or required by the Facility Agent.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70" w:right="259" w:bottom="1440" w:gutter="0" w:footer="0" w:header="0"/>
        </w:sectPr>
      </w:pPr>
    </w:p>
    <w:bookmarkStart w:id="274" w:name="page275"/>
    <w:bookmarkEnd w:id="274"/>
    <w:p>
      <w:pPr>
        <w:ind w:left="9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any rights and obligations of the Transferor Lender in its capacity as Facility Agent or Security Trustee will have to be dealt with separately in accordance with the Agency and Trust Agreement. All costs and expenses relating to a transfer effected pursuant to this Clause 26.2 shall be borne by the Transferee Lender.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transfer pursuant to this Clause 26.2 shall:</w:t>
      </w:r>
    </w:p>
    <w:p>
      <w:pPr>
        <w:spacing w:after="0" w:line="131" w:lineRule="exact"/>
        <w:rPr>
          <w:sz w:val="20"/>
          <w:szCs w:val="20"/>
          <w:color w:val="auto"/>
        </w:rPr>
      </w:pPr>
    </w:p>
    <w:p>
      <w:pPr>
        <w:ind w:left="1700" w:hanging="787"/>
        <w:spacing w:after="0"/>
        <w:tabs>
          <w:tab w:leader="none" w:pos="17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be effected without the consent of the Borrowers;</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following the occurrence of an Event of Default;</w:t>
      </w:r>
    </w:p>
    <w:p>
      <w:pPr>
        <w:spacing w:after="0" w:line="130" w:lineRule="exact"/>
        <w:rPr>
          <w:rFonts w:ascii="Arial" w:cs="Arial" w:eastAsia="Arial" w:hAnsi="Arial"/>
          <w:sz w:val="18"/>
          <w:szCs w:val="18"/>
          <w:color w:val="auto"/>
        </w:rPr>
      </w:pPr>
    </w:p>
    <w:p>
      <w:pPr>
        <w:ind w:left="2380" w:right="180" w:hanging="670"/>
        <w:spacing w:after="0" w:line="277" w:lineRule="auto"/>
        <w:tabs>
          <w:tab w:leader="none" w:pos="238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if such transfer is to a subsidiary or any other company or financial institution which is in the same ownership or control as one of the Lenders;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3200" w:right="140" w:hanging="802"/>
        <w:spacing w:after="0" w:line="277" w:lineRule="auto"/>
        <w:tabs>
          <w:tab w:leader="none" w:pos="320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a Transferor Lender assigns or transfers any of its rights or obligations under the Finance Documents or changes its facility office; and</w:t>
      </w:r>
    </w:p>
    <w:p>
      <w:pPr>
        <w:spacing w:after="0" w:line="75" w:lineRule="exact"/>
        <w:rPr>
          <w:rFonts w:ascii="Arial" w:cs="Arial" w:eastAsia="Arial" w:hAnsi="Arial"/>
          <w:sz w:val="18"/>
          <w:szCs w:val="18"/>
          <w:color w:val="auto"/>
        </w:rPr>
      </w:pPr>
    </w:p>
    <w:p>
      <w:pPr>
        <w:ind w:left="3200" w:right="80" w:hanging="802"/>
        <w:spacing w:after="0" w:line="264" w:lineRule="auto"/>
        <w:tabs>
          <w:tab w:leader="none" w:pos="320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a Security Party would be obliged to make a payment to the Transferee Lender or Lender acting through its new facility office under Clause 21 or Clause 24</w:t>
      </w:r>
    </w:p>
    <w:p>
      <w:pPr>
        <w:spacing w:after="0" w:line="73" w:lineRule="exact"/>
        <w:rPr>
          <w:sz w:val="20"/>
          <w:szCs w:val="20"/>
          <w:color w:val="auto"/>
        </w:rPr>
      </w:pPr>
    </w:p>
    <w:p>
      <w:pPr>
        <w:ind w:left="1720" w:right="140"/>
        <w:spacing w:after="0" w:line="264" w:lineRule="auto"/>
        <w:rPr>
          <w:sz w:val="20"/>
          <w:szCs w:val="20"/>
          <w:color w:val="auto"/>
        </w:rPr>
      </w:pPr>
      <w:r>
        <w:rPr>
          <w:rFonts w:ascii="Arial" w:cs="Arial" w:eastAsia="Arial" w:hAnsi="Arial"/>
          <w:sz w:val="18"/>
          <w:szCs w:val="18"/>
          <w:color w:val="auto"/>
        </w:rPr>
        <w:t>then the Transferee Lender or Lender acting through its new facility office is only entitled to receive payment under those Clauses to the same extent as the Transferor Lender or Lender acting through its previous facility office would have been if the assignment, transfer or change had not occurred. This paragraph (i) shall not apply:</w:t>
      </w:r>
    </w:p>
    <w:p>
      <w:pPr>
        <w:spacing w:after="0" w:line="87" w:lineRule="exact"/>
        <w:rPr>
          <w:sz w:val="20"/>
          <w:szCs w:val="20"/>
          <w:color w:val="auto"/>
        </w:rPr>
      </w:pPr>
    </w:p>
    <w:p>
      <w:pPr>
        <w:ind w:left="1700" w:right="280" w:hanging="787"/>
        <w:spacing w:after="0" w:line="257" w:lineRule="auto"/>
        <w:tabs>
          <w:tab w:leader="none" w:pos="170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in all other circumstances, including without limitation in the case of a transfer to any other bank or financial institution regularly engaged in providing shipping loans, shipping securities or shipping financial assets, first class international bank(s) or financial institution(s), trust, fund or capital investment company, require the consent of the Borrowers (such consent not to be unreasonably withheld, conditioned or delayed) which should be provided within 5 days otherwise such consent shall be deemed to have been provided.</w:t>
      </w:r>
    </w:p>
    <w:p>
      <w:pPr>
        <w:spacing w:after="0" w:line="93" w:lineRule="exact"/>
        <w:rPr>
          <w:rFonts w:ascii="Arial" w:cs="Arial" w:eastAsia="Arial" w:hAnsi="Arial"/>
          <w:sz w:val="18"/>
          <w:szCs w:val="18"/>
          <w:color w:val="auto"/>
        </w:rPr>
      </w:pPr>
    </w:p>
    <w:p>
      <w:pPr>
        <w:ind w:left="920" w:right="60" w:hanging="912"/>
        <w:spacing w:after="0" w:line="255" w:lineRule="auto"/>
        <w:tabs>
          <w:tab w:leader="none" w:pos="9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 the case of a transfer to be effected in the circumstances other than those referred to in subparagraphs (A) and (B) of Clause 26.2(d)(i), the Borrowers shall have the option, exercisable within 10 Business Days of a Lender notifying the Borrowers that it wishes to effect a transfer pursuant to this Clause 26.2, give written notice (the “</w:t>
      </w:r>
      <w:r>
        <w:rPr>
          <w:rFonts w:ascii="Arial" w:cs="Arial" w:eastAsia="Arial" w:hAnsi="Arial"/>
          <w:sz w:val="18"/>
          <w:szCs w:val="18"/>
          <w:b w:val="1"/>
          <w:bCs w:val="1"/>
          <w:color w:val="auto"/>
        </w:rPr>
        <w:t>Borrowers’ Notice</w:t>
      </w:r>
      <w:r>
        <w:rPr>
          <w:rFonts w:ascii="Arial" w:cs="Arial" w:eastAsia="Arial" w:hAnsi="Arial"/>
          <w:sz w:val="18"/>
          <w:szCs w:val="18"/>
          <w:color w:val="auto"/>
        </w:rPr>
        <w:t>”) of its intention to prepay the Contribution which the Lender is planning to transfer. The prepayment shall be in an amount equal to the lesser of (i) the par value of the Contribution to be transferred and (ii) the amount offered by the proposed Transferee Lender to acquire the Contribution which is to be transferred. The Borrowers shall effect such prepayment within 10 Business Days of the date of Borrowers’ Notice.</w:t>
      </w:r>
    </w:p>
    <w:p>
      <w:pPr>
        <w:spacing w:after="0" w:line="3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Transfer Certificate, delivery and notification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soon as reasonably practicable after a Transfer Certificate is delivered to the Facility Agent, it shall (unless it has reason to believe that the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Transfer Certificate may be defective):</w:t>
      </w:r>
    </w:p>
    <w:p>
      <w:pPr>
        <w:spacing w:after="0" w:line="116" w:lineRule="exact"/>
        <w:rPr>
          <w:sz w:val="20"/>
          <w:szCs w:val="20"/>
          <w:color w:val="auto"/>
        </w:rPr>
      </w:pPr>
    </w:p>
    <w:p>
      <w:pPr>
        <w:ind w:left="920" w:hanging="912"/>
        <w:spacing w:after="0" w:line="277" w:lineRule="auto"/>
        <w:tabs>
          <w:tab w:leader="none" w:pos="9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ensure that all relevant “know your customer” requirements in connection with the Transferee Lender are complied with under all applicable laws and regulations and shall promptly notify the other Lenders and the Transferee Lender accordingly;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275" w:name="page276"/>
    <w:bookmarkEnd w:id="275"/>
    <w:p>
      <w:pPr>
        <w:ind w:left="920" w:right="300" w:hanging="912"/>
        <w:spacing w:after="0" w:line="277" w:lineRule="auto"/>
        <w:tabs>
          <w:tab w:leader="none" w:pos="9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 the Transfer Certificate on behalf of itself the Borrowers, the Security Parties, the Security Trustee and each of the other Lenders and the Swap Bank;</w:t>
      </w:r>
    </w:p>
    <w:p>
      <w:pPr>
        <w:spacing w:after="0" w:line="75" w:lineRule="exact"/>
        <w:rPr>
          <w:rFonts w:ascii="Arial" w:cs="Arial" w:eastAsia="Arial" w:hAnsi="Arial"/>
          <w:sz w:val="18"/>
          <w:szCs w:val="18"/>
          <w:color w:val="auto"/>
        </w:rPr>
      </w:pPr>
    </w:p>
    <w:p>
      <w:pPr>
        <w:ind w:left="920" w:right="140" w:hanging="912"/>
        <w:spacing w:after="0" w:line="277" w:lineRule="auto"/>
        <w:tabs>
          <w:tab w:leader="none" w:pos="9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on behalf of the Transferee Lender, send to the Borrowers and each Security Party letters or faxes notifying them of the Transfer Certificate and attaching a copy of it;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send to the Transferee Lender copies of the letters or faxes sent under paragraph (b) above.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26.4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Effective Date of Transfer Certificate</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 xml:space="preserve">A Transfer Certificate becomes effective on the date, if any, specified in the Transfer Certificate as its effective date </w:t>
            </w:r>
            <w:r>
              <w:rPr>
                <w:rFonts w:ascii="Arial" w:cs="Arial" w:eastAsia="Arial" w:hAnsi="Arial"/>
                <w:sz w:val="18"/>
                <w:szCs w:val="18"/>
                <w:b w:val="1"/>
                <w:bCs w:val="1"/>
                <w:color w:val="auto"/>
                <w:w w:val="90"/>
              </w:rPr>
              <w:t>Provided that</w:t>
            </w:r>
            <w:r>
              <w:rPr>
                <w:rFonts w:ascii="Arial" w:cs="Arial" w:eastAsia="Arial" w:hAnsi="Arial"/>
                <w:sz w:val="18"/>
                <w:szCs w:val="18"/>
                <w:color w:val="auto"/>
                <w:w w:val="90"/>
              </w:rPr>
              <w:t xml:space="preserve"> it is signed by</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the Facility Agent under Clause 26.3 on or before that date.</w:t>
            </w:r>
          </w:p>
        </w:tc>
      </w:tr>
      <w:tr>
        <w:trPr>
          <w:trHeight w:val="58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26.5</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No transfer without Transfer Certificate</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No assignment or transfer of any right or obligation of a Lender under any Finance Document is binding on, or effective in relation to, the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Borrowers, any Security Party, the Facility Agent or the Security Trustee unless it is effected, evidenced or perfected by a Transfer Certificate.</w:t>
            </w:r>
          </w:p>
        </w:tc>
      </w:tr>
      <w:tr>
        <w:trPr>
          <w:trHeight w:val="58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26.6</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Lender re-organisation; waiver of Transfer Certificate</w:t>
            </w:r>
          </w:p>
        </w:tc>
      </w:tr>
      <w:tr>
        <w:trPr>
          <w:trHeight w:val="306"/>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However, if a Lender enters into any merger, de-merger or other reorganisation as a result of which all its rights or obligations vest in another</w:t>
            </w:r>
          </w:p>
        </w:tc>
      </w:tr>
      <w:tr>
        <w:trPr>
          <w:trHeight w:val="220"/>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person (the “</w:t>
            </w:r>
            <w:r>
              <w:rPr>
                <w:rFonts w:ascii="Arial" w:cs="Arial" w:eastAsia="Arial" w:hAnsi="Arial"/>
                <w:sz w:val="18"/>
                <w:szCs w:val="18"/>
                <w:b w:val="1"/>
                <w:bCs w:val="1"/>
                <w:color w:val="auto"/>
                <w:w w:val="91"/>
              </w:rPr>
              <w:t>successor</w:t>
            </w:r>
            <w:r>
              <w:rPr>
                <w:rFonts w:ascii="Arial" w:cs="Arial" w:eastAsia="Arial" w:hAnsi="Arial"/>
                <w:sz w:val="18"/>
                <w:szCs w:val="18"/>
                <w:color w:val="auto"/>
                <w:w w:val="91"/>
              </w:rPr>
              <w:t>”), the Facility Agent may, if it sees fit, by notice to the successor and the Borrowers and the Security Trustee waive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need for the execution and delivery of a Transfer Certificate; and, upon service of the Facility Agent’s notice, the successor shall become a</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Lender with the same Commitment and Contribution as were held by the predecessor Lender.</w:t>
            </w:r>
          </w:p>
        </w:tc>
      </w:tr>
      <w:tr>
        <w:trPr>
          <w:trHeight w:val="58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26.7</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Effect of Transfer Certificate</w:t>
            </w:r>
          </w:p>
        </w:tc>
      </w:tr>
      <w:tr>
        <w:trPr>
          <w:trHeight w:val="324"/>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A Transfer Certificate takes effect in accordance with English law as follows:</w:t>
            </w:r>
          </w:p>
        </w:tc>
      </w:tr>
    </w:tbl>
    <w:p>
      <w:pPr>
        <w:spacing w:after="0" w:line="107" w:lineRule="exact"/>
        <w:rPr>
          <w:sz w:val="20"/>
          <w:szCs w:val="20"/>
          <w:color w:val="auto"/>
        </w:rPr>
      </w:pPr>
    </w:p>
    <w:p>
      <w:pPr>
        <w:jc w:val="both"/>
        <w:ind w:left="920" w:right="80" w:hanging="912"/>
        <w:spacing w:after="0" w:line="312" w:lineRule="auto"/>
        <w:tabs>
          <w:tab w:leader="none" w:pos="92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to the extent specified in the Transfer Certificate, all rights and interests (present, future or contingent) which the Transferor Lender has under or by virtue of the Finance Documents (other than a Master Agreement) are assigned to the Transferee Lender absolutely, free of any defects in the Transferor Lender’s title and of any rights or equities which the Borrowers or any Security Party had against the Transferor Lender;</w:t>
      </w:r>
    </w:p>
    <w:p>
      <w:pPr>
        <w:spacing w:after="0" w:line="52" w:lineRule="exact"/>
        <w:rPr>
          <w:rFonts w:ascii="Arial" w:cs="Arial" w:eastAsia="Arial" w:hAnsi="Arial"/>
          <w:sz w:val="16"/>
          <w:szCs w:val="16"/>
          <w:color w:val="auto"/>
        </w:rPr>
      </w:pPr>
    </w:p>
    <w:p>
      <w:pPr>
        <w:ind w:left="920" w:hanging="912"/>
        <w:spacing w:after="0"/>
        <w:tabs>
          <w:tab w:leader="none" w:pos="9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Transferor Lender’s Commitment is discharged to the extent specified in the Transfer Certificate;</w:t>
      </w:r>
    </w:p>
    <w:p>
      <w:pPr>
        <w:spacing w:after="0" w:line="130" w:lineRule="exact"/>
        <w:rPr>
          <w:rFonts w:ascii="Arial" w:cs="Arial" w:eastAsia="Arial" w:hAnsi="Arial"/>
          <w:sz w:val="18"/>
          <w:szCs w:val="18"/>
          <w:color w:val="auto"/>
        </w:rPr>
      </w:pPr>
    </w:p>
    <w:p>
      <w:pPr>
        <w:ind w:left="920" w:right="540" w:hanging="912"/>
        <w:spacing w:after="0" w:line="277" w:lineRule="auto"/>
        <w:tabs>
          <w:tab w:leader="none" w:pos="9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Transferee Lender becomes a Lender with the Contribution previously held by the Transferor Lender and a Commitment of an amount specified in the Transfer Certificate;</w:t>
      </w:r>
    </w:p>
    <w:p>
      <w:pPr>
        <w:spacing w:after="0" w:line="75" w:lineRule="exact"/>
        <w:rPr>
          <w:rFonts w:ascii="Arial" w:cs="Arial" w:eastAsia="Arial" w:hAnsi="Arial"/>
          <w:sz w:val="18"/>
          <w:szCs w:val="18"/>
          <w:color w:val="auto"/>
        </w:rPr>
      </w:pPr>
    </w:p>
    <w:p>
      <w:pPr>
        <w:ind w:left="920" w:right="100" w:hanging="912"/>
        <w:spacing w:after="0" w:line="259" w:lineRule="auto"/>
        <w:tabs>
          <w:tab w:leader="none" w:pos="9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Transferee Lender becomes bound by all the provisions of the Finance Documents (other than a Master Agreement) which are applicable to the Lenders generally, including those about pro-rata sharing and the exclusion of liability on the part of, and the indemnification of, the Facility Agent and the Security Trustee and, to the extent that the Transferee Lender becomes bound by those provisions (other than those relating to exclusion of liability), the Transferor Lender ceases to be bound by them;</w:t>
      </w:r>
    </w:p>
    <w:p>
      <w:pPr>
        <w:spacing w:after="0" w:line="92" w:lineRule="exact"/>
        <w:rPr>
          <w:rFonts w:ascii="Arial" w:cs="Arial" w:eastAsia="Arial" w:hAnsi="Arial"/>
          <w:sz w:val="18"/>
          <w:szCs w:val="18"/>
          <w:color w:val="auto"/>
        </w:rPr>
      </w:pPr>
    </w:p>
    <w:p>
      <w:pPr>
        <w:jc w:val="both"/>
        <w:ind w:left="920" w:right="60" w:hanging="912"/>
        <w:spacing w:after="0" w:line="264" w:lineRule="auto"/>
        <w:tabs>
          <w:tab w:leader="none" w:pos="9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part of the Loan which the Transferee Lender advances after the Transfer Certificate’s effective date ranks in point of priority and security in the same way as it would have ranked had it been advanced by the transferor, assuming that any defects in the transferor’s title and any rights or equities of the Borrowers or any Security Party against the Transferor Lender had not existed;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276" w:name="page277"/>
    <w:bookmarkEnd w:id="276"/>
    <w:p>
      <w:pPr>
        <w:ind w:left="920" w:right="200" w:hanging="912"/>
        <w:spacing w:after="0" w:line="312" w:lineRule="auto"/>
        <w:tabs>
          <w:tab w:leader="none" w:pos="920" w:val="left"/>
        </w:tabs>
        <w:numPr>
          <w:ilvl w:val="0"/>
          <w:numId w:val="4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Transferee Lender becomes entitled to all the rights under the Finance Documents (other than a Master Agreement) which are applicable to the Lenders generally, including but not limited to those relating to the Majority Lenders and those under Clause 5.7 and Clause 20, and to the extent that the Transferee Lender becomes entitled to such rights, the Transferor Lender ceases to be entitled to them; and</w:t>
      </w:r>
    </w:p>
    <w:p>
      <w:pPr>
        <w:spacing w:after="0" w:line="52" w:lineRule="exact"/>
        <w:rPr>
          <w:rFonts w:ascii="Arial" w:cs="Arial" w:eastAsia="Arial" w:hAnsi="Arial"/>
          <w:sz w:val="16"/>
          <w:szCs w:val="16"/>
          <w:color w:val="auto"/>
        </w:rPr>
      </w:pPr>
    </w:p>
    <w:p>
      <w:pPr>
        <w:jc w:val="both"/>
        <w:ind w:left="920" w:right="140" w:hanging="912"/>
        <w:spacing w:after="0" w:line="259" w:lineRule="auto"/>
        <w:tabs>
          <w:tab w:leader="none" w:pos="9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respect of any breach of a warranty, undertaking, condition or other provision of a Finance Document or any misrepresentation made in or in connection with a Finance Document (other than a Master Agreement), the Transferee Lender shall be entitled to recover damages by reference to the loss incurred by it as a result of the breach or misrepresentation, irrespective of whether the original Lender would have incurred a loss of that kind or amount.</w:t>
      </w:r>
    </w:p>
    <w:p>
      <w:pPr>
        <w:spacing w:after="0" w:line="78" w:lineRule="exact"/>
        <w:rPr>
          <w:rFonts w:ascii="Arial" w:cs="Arial" w:eastAsia="Arial" w:hAnsi="Arial"/>
          <w:sz w:val="18"/>
          <w:szCs w:val="18"/>
          <w:color w:val="auto"/>
        </w:rPr>
      </w:pPr>
    </w:p>
    <w:p>
      <w:pPr>
        <w:ind w:left="920" w:right="100"/>
        <w:spacing w:after="0" w:line="277" w:lineRule="auto"/>
        <w:rPr>
          <w:rFonts w:ascii="Arial" w:cs="Arial" w:eastAsia="Arial" w:hAnsi="Arial"/>
          <w:sz w:val="18"/>
          <w:szCs w:val="18"/>
          <w:color w:val="auto"/>
        </w:rPr>
      </w:pPr>
      <w:r>
        <w:rPr>
          <w:rFonts w:ascii="Arial" w:cs="Arial" w:eastAsia="Arial" w:hAnsi="Arial"/>
          <w:sz w:val="18"/>
          <w:szCs w:val="18"/>
          <w:color w:val="auto"/>
        </w:rPr>
        <w:t>The rights and equities of the Borrowers or any Security Party referred to above include, but are not limited to, any right of set off and any other kind of cross-claim.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b w:val="1"/>
          <w:bCs w:val="1"/>
          <w:color w:val="auto"/>
        </w:rPr>
        <w:t>Maintenance of register of Lenders</w:t>
      </w:r>
    </w:p>
    <w:p>
      <w:pPr>
        <w:spacing w:after="0" w:line="121" w:lineRule="exact"/>
        <w:rPr>
          <w:sz w:val="20"/>
          <w:szCs w:val="20"/>
          <w:color w:val="auto"/>
        </w:rPr>
      </w:pPr>
    </w:p>
    <w:p>
      <w:pPr>
        <w:ind w:left="920" w:right="340"/>
        <w:spacing w:after="0" w:line="257" w:lineRule="auto"/>
        <w:rPr>
          <w:sz w:val="20"/>
          <w:szCs w:val="20"/>
          <w:color w:val="auto"/>
        </w:rPr>
      </w:pPr>
      <w:r>
        <w:rPr>
          <w:rFonts w:ascii="Arial" w:cs="Arial" w:eastAsia="Arial" w:hAnsi="Arial"/>
          <w:sz w:val="18"/>
          <w:szCs w:val="18"/>
          <w:color w:val="auto"/>
        </w:rPr>
        <w:t>During the Security Period, the Facility Agent shall maintain a register in which it shall record the name, Commitment, Contribution and administrative details (including the lending office) from time to time of each Lender holding a Transfer Certificate and the effective date (in accordance with Clause 26.4 or, as the case may be, Clause 2.5) of the Transfer Certificate; and the Facility Agent shall make the register available for inspection by any Lender, the Security Trustee and the Borrowers during normal banking hours, subject to receiving at least 3 Business Days prior notice.</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5"/>
          <w:szCs w:val="15"/>
          <w:b w:val="1"/>
          <w:bCs w:val="1"/>
          <w:color w:val="auto"/>
        </w:rPr>
        <w:t>Reliance on register of Lenders</w:t>
      </w:r>
    </w:p>
    <w:p>
      <w:pPr>
        <w:spacing w:after="0" w:line="12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The entries on that register shall, in the absence of manifest error, be conclusive in determining the identities of the Lenders and the amounts of their Commitments and Contributions and the effective dates of Transfer Certificates and may be relied upon by the Facility Agent and the other parties to the Finance Documents for all purposes relating to the Finance Documents.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26.10</w:t>
      </w:r>
      <w:r>
        <w:rPr>
          <w:sz w:val="20"/>
          <w:szCs w:val="20"/>
          <w:color w:val="auto"/>
        </w:rPr>
        <w:tab/>
      </w:r>
      <w:r>
        <w:rPr>
          <w:rFonts w:ascii="Arial" w:cs="Arial" w:eastAsia="Arial" w:hAnsi="Arial"/>
          <w:sz w:val="16"/>
          <w:szCs w:val="16"/>
          <w:b w:val="1"/>
          <w:bCs w:val="1"/>
          <w:color w:val="auto"/>
        </w:rPr>
        <w:t>Authorisation of Facility Agent and conditions to sign Transfer Certificates</w:t>
      </w:r>
    </w:p>
    <w:p>
      <w:pPr>
        <w:spacing w:after="0" w:line="12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Borrowers, the Security Trustee, each Lender and the Swap Bank irrevocably authorises the Facility Agent to sign Transfer Certificates on its behalf. The Borrowers and each Security Party irrevocably agree to the transfer procedures set out in this Clause 26 and to the extent the cooperation of the Borrowers and/or any Security Party shall be required to effect any such transfer, the Borrowers and such Security Party shall take all necessary steps to afford such cooperation.</w:t>
      </w:r>
    </w:p>
    <w:p>
      <w:pPr>
        <w:spacing w:after="0" w:line="7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Facility Agent shall only be obliged to execute a Transfer Certificate as soon as it is satisfied that all “know your customer” requirements are complied with under all applicable laws and regulations in connection with the Transferee Lender.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26.11</w:t>
      </w:r>
      <w:r>
        <w:rPr>
          <w:sz w:val="20"/>
          <w:szCs w:val="20"/>
          <w:color w:val="auto"/>
        </w:rPr>
        <w:tab/>
      </w:r>
      <w:r>
        <w:rPr>
          <w:rFonts w:ascii="Arial" w:cs="Arial" w:eastAsia="Arial" w:hAnsi="Arial"/>
          <w:sz w:val="15"/>
          <w:szCs w:val="15"/>
          <w:b w:val="1"/>
          <w:bCs w:val="1"/>
          <w:color w:val="auto"/>
        </w:rPr>
        <w:t>Registration fee</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In respect of any Transfer Certificate, the Facility Agent shall be entitled to recover a registration fee of $2,500 from the Transferor Lender or (at the Facility Agent’s option) the Transferee Lender.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26.12</w:t>
      </w:r>
      <w:r>
        <w:rPr>
          <w:sz w:val="20"/>
          <w:szCs w:val="20"/>
          <w:color w:val="auto"/>
        </w:rPr>
        <w:tab/>
      </w:r>
      <w:r>
        <w:rPr>
          <w:rFonts w:ascii="Arial" w:cs="Arial" w:eastAsia="Arial" w:hAnsi="Arial"/>
          <w:sz w:val="16"/>
          <w:szCs w:val="16"/>
          <w:b w:val="1"/>
          <w:bCs w:val="1"/>
          <w:color w:val="auto"/>
        </w:rPr>
        <w:t>Sub-participation; subrogation assignment</w:t>
      </w:r>
    </w:p>
    <w:p>
      <w:pPr>
        <w:spacing w:after="0" w:line="121" w:lineRule="exact"/>
        <w:rPr>
          <w:sz w:val="20"/>
          <w:szCs w:val="20"/>
          <w:color w:val="auto"/>
        </w:rPr>
      </w:pPr>
    </w:p>
    <w:p>
      <w:pPr>
        <w:ind w:left="920" w:right="320"/>
        <w:spacing w:after="0" w:line="308" w:lineRule="auto"/>
        <w:rPr>
          <w:sz w:val="20"/>
          <w:szCs w:val="20"/>
          <w:color w:val="auto"/>
        </w:rPr>
      </w:pPr>
      <w:r>
        <w:rPr>
          <w:rFonts w:ascii="Arial" w:cs="Arial" w:eastAsia="Arial" w:hAnsi="Arial"/>
          <w:sz w:val="17"/>
          <w:szCs w:val="17"/>
          <w:color w:val="auto"/>
        </w:rPr>
        <w:t>A Lender may sub-participate all or any part of its rights and/or obligations under or in connection with the Finance Documents (other than a Master Agreement) without the consent of, or any notice to, the Borrowers, any Security Party, the Facility Agent or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277" w:name="page278"/>
    <w:bookmarkEnd w:id="277"/>
    <w:p>
      <w:pPr>
        <w:ind w:left="920"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Trustee or any other Creditor Party; and the Lenders may assign, in any manner and terms agreed by the Majority Lenders, the Facility Agent and the Security Trustee, all or any part of those rights to an insurer or surety who has become subrogated to them.</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26.13</w:t>
      </w:r>
      <w:r>
        <w:rPr>
          <w:sz w:val="20"/>
          <w:szCs w:val="20"/>
          <w:color w:val="auto"/>
        </w:rPr>
        <w:tab/>
      </w:r>
      <w:r>
        <w:rPr>
          <w:rFonts w:ascii="Arial" w:cs="Arial" w:eastAsia="Arial" w:hAnsi="Arial"/>
          <w:sz w:val="16"/>
          <w:szCs w:val="16"/>
          <w:b w:val="1"/>
          <w:bCs w:val="1"/>
          <w:color w:val="auto"/>
        </w:rPr>
        <w:t>Disclosure of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Lender may, without the prior consent of the Borrowers or any Security Party, disclose to:</w:t>
      </w:r>
    </w:p>
    <w:p>
      <w:pPr>
        <w:spacing w:after="0" w:line="131" w:lineRule="exact"/>
        <w:rPr>
          <w:sz w:val="20"/>
          <w:szCs w:val="20"/>
          <w:color w:val="auto"/>
        </w:rPr>
      </w:pPr>
    </w:p>
    <w:p>
      <w:pPr>
        <w:ind w:left="920" w:hanging="912"/>
        <w:spacing w:after="0"/>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 potential Transferee Lender or sub participant as well as, where relevant, to rating agencies, trustees and accountants;</w:t>
      </w:r>
    </w:p>
    <w:p>
      <w:pPr>
        <w:spacing w:after="0" w:line="130" w:lineRule="exact"/>
        <w:rPr>
          <w:rFonts w:ascii="Arial" w:cs="Arial" w:eastAsia="Arial" w:hAnsi="Arial"/>
          <w:sz w:val="18"/>
          <w:szCs w:val="18"/>
          <w:color w:val="auto"/>
        </w:rPr>
      </w:pPr>
    </w:p>
    <w:p>
      <w:pPr>
        <w:jc w:val="both"/>
        <w:ind w:left="920" w:right="240" w:hanging="912"/>
        <w:spacing w:after="0" w:line="342" w:lineRule="auto"/>
        <w:tabs>
          <w:tab w:leader="none" w:pos="92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29" w:lineRule="exact"/>
        <w:rPr>
          <w:rFonts w:ascii="Arial" w:cs="Arial" w:eastAsia="Arial" w:hAnsi="Arial"/>
          <w:sz w:val="16"/>
          <w:szCs w:val="16"/>
          <w:color w:val="auto"/>
        </w:rPr>
      </w:pPr>
    </w:p>
    <w:p>
      <w:pPr>
        <w:ind w:left="920" w:right="300" w:hanging="912"/>
        <w:spacing w:after="0" w:line="277" w:lineRule="auto"/>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to whom or for whose benefit that Lender charges, assigns or otherwise creates a Security Interest (or may do so) pursuant to Clause 26.16,</w:t>
      </w:r>
    </w:p>
    <w:p>
      <w:pPr>
        <w:spacing w:after="0" w:line="140" w:lineRule="exact"/>
        <w:rPr>
          <w:rFonts w:ascii="Arial" w:cs="Arial" w:eastAsia="Arial" w:hAnsi="Arial"/>
          <w:sz w:val="16"/>
          <w:szCs w:val="16"/>
          <w:color w:val="auto"/>
        </w:rPr>
      </w:pPr>
    </w:p>
    <w:p>
      <w:pPr>
        <w:ind w:left="920" w:right="220"/>
        <w:spacing w:after="0" w:line="255" w:lineRule="auto"/>
        <w:rPr>
          <w:rFonts w:ascii="Arial" w:cs="Arial" w:eastAsia="Arial" w:hAnsi="Arial"/>
          <w:sz w:val="16"/>
          <w:szCs w:val="16"/>
          <w:color w:val="auto"/>
        </w:rPr>
      </w:pPr>
      <w:r>
        <w:rPr>
          <w:rFonts w:ascii="Arial" w:cs="Arial" w:eastAsia="Arial" w:hAnsi="Arial"/>
          <w:sz w:val="18"/>
          <w:szCs w:val="18"/>
          <w:color w:val="auto"/>
        </w:rPr>
        <w:t>any financial or other information which that Lender has received in relation to the Loan, the Borrowers, any Security Party or their affairs and collateral or security provided under or in connection with any Finance Document, their financial circumstances and any other information whatsoever, as that Lender may deem reasonably necessary or appropriate in connection with the potential syndication, the assessment of the credit risk and the ongoing monitoring of the Loan by any potential Transferee Lender and that Lender shall be released from its obligation of secrecy and from banking confidentiality. The Lender concerned and the Borrowers shall require that any such potential Transferee Lender, sub-participant, rating agency, trustee or accountant signs a confidentiality agreement. The Borrowers shall, and shall procure that any other Security Party shall:</w:t>
      </w:r>
    </w:p>
    <w:p>
      <w:pPr>
        <w:spacing w:after="0" w:line="94" w:lineRule="exact"/>
        <w:rPr>
          <w:rFonts w:ascii="Arial" w:cs="Arial" w:eastAsia="Arial" w:hAnsi="Arial"/>
          <w:sz w:val="16"/>
          <w:szCs w:val="16"/>
          <w:color w:val="auto"/>
        </w:rPr>
      </w:pPr>
    </w:p>
    <w:p>
      <w:pPr>
        <w:ind w:left="1700" w:right="340" w:hanging="787"/>
        <w:spacing w:after="0" w:line="277" w:lineRule="auto"/>
        <w:tabs>
          <w:tab w:leader="none" w:pos="17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provide the Creditor Parties (or any of them) with all information deemed, reasonably, necessary by the Creditor Parties (or any of them) for the purposes of any transfer or sub-participation to be effected pursuant to this Clause 26;</w:t>
      </w:r>
    </w:p>
    <w:p>
      <w:pPr>
        <w:spacing w:after="0" w:line="75" w:lineRule="exact"/>
        <w:rPr>
          <w:rFonts w:ascii="Arial" w:cs="Arial" w:eastAsia="Arial" w:hAnsi="Arial"/>
          <w:sz w:val="18"/>
          <w:szCs w:val="18"/>
          <w:color w:val="auto"/>
        </w:rPr>
      </w:pPr>
    </w:p>
    <w:p>
      <w:pPr>
        <w:ind w:left="1700" w:right="20" w:hanging="787"/>
        <w:spacing w:after="0" w:line="264" w:lineRule="auto"/>
        <w:tabs>
          <w:tab w:leader="none" w:pos="17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procure that the directors and offices of the Borrowers or any Security Party are available to participate in any meeting with any Transferee Lender or any rating agency at such times and places as the Creditor Parties may reasonably request on notice (to be served on the Borrowers reasonably in advance) to the Borrowers or that Security Party; and</w:t>
      </w:r>
    </w:p>
    <w:p>
      <w:pPr>
        <w:spacing w:after="0" w:line="86" w:lineRule="exact"/>
        <w:rPr>
          <w:rFonts w:ascii="Arial" w:cs="Arial" w:eastAsia="Arial" w:hAnsi="Arial"/>
          <w:sz w:val="18"/>
          <w:szCs w:val="18"/>
          <w:color w:val="auto"/>
        </w:rPr>
      </w:pPr>
    </w:p>
    <w:p>
      <w:pPr>
        <w:ind w:left="1700" w:hanging="787"/>
        <w:spacing w:after="0" w:line="277" w:lineRule="auto"/>
        <w:tabs>
          <w:tab w:leader="none" w:pos="17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permit any Transferee Lender to board any Ship at all reasonable times to inspect its condition with reasonable notice to the Borrowers (after taking into consideration the relevant Ship’s schedule).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26.14</w:t>
      </w:r>
      <w:r>
        <w:rPr>
          <w:sz w:val="20"/>
          <w:szCs w:val="20"/>
          <w:color w:val="auto"/>
        </w:rPr>
        <w:tab/>
      </w:r>
      <w:r>
        <w:rPr>
          <w:rFonts w:ascii="Arial" w:cs="Arial" w:eastAsia="Arial" w:hAnsi="Arial"/>
          <w:sz w:val="15"/>
          <w:szCs w:val="15"/>
          <w:b w:val="1"/>
          <w:bCs w:val="1"/>
          <w:color w:val="auto"/>
        </w:rPr>
        <w:t>Change of lending office</w:t>
      </w:r>
    </w:p>
    <w:p>
      <w:pPr>
        <w:spacing w:after="0" w:line="121"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A Lender may change its lending office by giving prior notice to the Facility Agent and the Borrowers and the change shall become effective on the later of:</w:t>
      </w:r>
    </w:p>
    <w:p>
      <w:pPr>
        <w:spacing w:after="0" w:line="76" w:lineRule="exact"/>
        <w:rPr>
          <w:sz w:val="20"/>
          <w:szCs w:val="20"/>
          <w:color w:val="auto"/>
        </w:rPr>
      </w:pPr>
    </w:p>
    <w:p>
      <w:pPr>
        <w:ind w:left="920" w:hanging="912"/>
        <w:spacing w:after="0"/>
        <w:tabs>
          <w:tab w:leader="none" w:pos="9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date on which the Facility Agent receives the notice; and</w:t>
      </w:r>
    </w:p>
    <w:p>
      <w:pPr>
        <w:spacing w:after="0" w:line="130" w:lineRule="exact"/>
        <w:rPr>
          <w:rFonts w:ascii="Arial" w:cs="Arial" w:eastAsia="Arial" w:hAnsi="Arial"/>
          <w:sz w:val="18"/>
          <w:szCs w:val="18"/>
          <w:color w:val="auto"/>
        </w:rPr>
      </w:pPr>
    </w:p>
    <w:p>
      <w:pPr>
        <w:ind w:left="5620" w:right="3860" w:hanging="5612"/>
        <w:spacing w:after="0" w:line="449" w:lineRule="auto"/>
        <w:tabs>
          <w:tab w:leader="none" w:pos="909"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date, if any, specified in the notice as the date on which the change will come into effect. 88</w:t>
      </w:r>
    </w:p>
    <w:p>
      <w:pPr>
        <w:sectPr>
          <w:pgSz w:w="11900" w:h="16838" w:orient="portrait"/>
          <w:cols w:equalWidth="0" w:num="1">
            <w:col w:w="11420"/>
          </w:cols>
          <w:pgMar w:left="240" w:top="274" w:right="239" w:bottom="1440" w:gutter="0" w:footer="0" w:header="0"/>
        </w:sectPr>
      </w:pPr>
    </w:p>
    <w:bookmarkStart w:id="278" w:name="page279"/>
    <w:bookmarkEnd w:id="27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26.15</w:t>
      </w:r>
      <w:r>
        <w:rPr>
          <w:sz w:val="20"/>
          <w:szCs w:val="20"/>
          <w:color w:val="auto"/>
        </w:rPr>
        <w:tab/>
      </w:r>
      <w:r>
        <w:rPr>
          <w:rFonts w:ascii="Arial" w:cs="Arial" w:eastAsia="Arial" w:hAnsi="Arial"/>
          <w:sz w:val="16"/>
          <w:szCs w:val="16"/>
          <w:b w:val="1"/>
          <w:bCs w:val="1"/>
          <w:color w:val="auto"/>
        </w:rPr>
        <w:t>Notification</w:t>
      </w:r>
    </w:p>
    <w:p>
      <w:pPr>
        <w:spacing w:after="0" w:line="121" w:lineRule="exact"/>
        <w:rPr>
          <w:sz w:val="20"/>
          <w:szCs w:val="20"/>
          <w:color w:val="auto"/>
        </w:rPr>
      </w:pPr>
    </w:p>
    <w:p>
      <w:pPr>
        <w:ind w:left="920" w:right="160"/>
        <w:spacing w:after="0" w:line="308" w:lineRule="auto"/>
        <w:rPr>
          <w:sz w:val="20"/>
          <w:szCs w:val="20"/>
          <w:color w:val="auto"/>
        </w:rPr>
      </w:pPr>
      <w:r>
        <w:rPr>
          <w:rFonts w:ascii="Arial" w:cs="Arial" w:eastAsia="Arial" w:hAnsi="Arial"/>
          <w:sz w:val="17"/>
          <w:szCs w:val="17"/>
          <w:color w:val="auto"/>
        </w:rPr>
        <w:t>On receiving such a notice, the Facility Agent shall notify the Borrowers and the Security Trustee; and, until the Facility Agent receives such a notice, it shall be entitled to assume that a Lender is acting through the lending office of which the Facility Agent last had notice.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26.16</w:t>
      </w:r>
      <w:r>
        <w:rPr>
          <w:sz w:val="20"/>
          <w:szCs w:val="20"/>
          <w:color w:val="auto"/>
        </w:rPr>
        <w:tab/>
      </w:r>
      <w:r>
        <w:rPr>
          <w:rFonts w:ascii="Arial" w:cs="Arial" w:eastAsia="Arial" w:hAnsi="Arial"/>
          <w:sz w:val="16"/>
          <w:szCs w:val="16"/>
          <w:b w:val="1"/>
          <w:bCs w:val="1"/>
          <w:color w:val="auto"/>
        </w:rPr>
        <w:t>Security over Lenders’ rights</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In addition to the other rights provided to Lenders under this Clause 26, each Lender may without consulting with or obtaining consent from the Borrowers or any Security Party at any time charge, assign or otherwise create a Security Interest in or over (whether by way of collateral or otherwise) all or any of its rights under any Finance Document (other than a Master Agreement) to secure obligations of that Lender including, without limitation:</w:t>
      </w:r>
    </w:p>
    <w:p>
      <w:pPr>
        <w:spacing w:after="0" w:line="92" w:lineRule="exact"/>
        <w:rPr>
          <w:sz w:val="20"/>
          <w:szCs w:val="20"/>
          <w:color w:val="auto"/>
        </w:rPr>
      </w:pPr>
    </w:p>
    <w:p>
      <w:pPr>
        <w:ind w:left="920" w:hanging="912"/>
        <w:spacing w:after="0"/>
        <w:tabs>
          <w:tab w:leader="none" w:pos="9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130" w:lineRule="exact"/>
        <w:rPr>
          <w:rFonts w:ascii="Arial" w:cs="Arial" w:eastAsia="Arial" w:hAnsi="Arial"/>
          <w:sz w:val="18"/>
          <w:szCs w:val="18"/>
          <w:color w:val="auto"/>
        </w:rPr>
      </w:pPr>
    </w:p>
    <w:p>
      <w:pPr>
        <w:ind w:left="920" w:right="120" w:hanging="912"/>
        <w:spacing w:after="0" w:line="277" w:lineRule="auto"/>
        <w:tabs>
          <w:tab w:leader="none" w:pos="9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except that no such charge, assignment or Security Interest shall:</w:t>
      </w:r>
    </w:p>
    <w:p>
      <w:pPr>
        <w:spacing w:after="0" w:line="130" w:lineRule="exact"/>
        <w:rPr>
          <w:rFonts w:ascii="Arial" w:cs="Arial" w:eastAsia="Arial" w:hAnsi="Arial"/>
          <w:sz w:val="18"/>
          <w:szCs w:val="18"/>
          <w:color w:val="auto"/>
        </w:rPr>
      </w:pPr>
    </w:p>
    <w:p>
      <w:pPr>
        <w:ind w:left="1700" w:right="620" w:hanging="787"/>
        <w:spacing w:after="0" w:line="277" w:lineRule="auto"/>
        <w:tabs>
          <w:tab w:leader="none" w:pos="17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75" w:lineRule="exact"/>
        <w:rPr>
          <w:rFonts w:ascii="Arial" w:cs="Arial" w:eastAsia="Arial" w:hAnsi="Arial"/>
          <w:sz w:val="18"/>
          <w:szCs w:val="18"/>
          <w:color w:val="auto"/>
        </w:rPr>
      </w:pPr>
    </w:p>
    <w:p>
      <w:pPr>
        <w:ind w:left="1700" w:right="300" w:hanging="787"/>
        <w:spacing w:after="0" w:line="277" w:lineRule="auto"/>
        <w:tabs>
          <w:tab w:leader="none" w:pos="17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require any payments to be made by a Borrower or any Security Party or grant to any person any more extensive rights than those required to be made or granted to the relevant Lender under the Finance Documents.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26.17</w:t>
      </w:r>
      <w:r>
        <w:rPr>
          <w:sz w:val="20"/>
          <w:szCs w:val="20"/>
          <w:color w:val="auto"/>
        </w:rPr>
        <w:tab/>
      </w:r>
      <w:r>
        <w:rPr>
          <w:rFonts w:ascii="Arial" w:cs="Arial" w:eastAsia="Arial" w:hAnsi="Arial"/>
          <w:sz w:val="16"/>
          <w:szCs w:val="16"/>
          <w:b w:val="1"/>
          <w:bCs w:val="1"/>
          <w:color w:val="auto"/>
        </w:rPr>
        <w:t>Replacement of Reference Bank</w:t>
      </w:r>
    </w:p>
    <w:p>
      <w:pPr>
        <w:spacing w:after="0" w:line="121" w:lineRule="exact"/>
        <w:rPr>
          <w:sz w:val="20"/>
          <w:szCs w:val="20"/>
          <w:color w:val="auto"/>
        </w:rPr>
      </w:pPr>
    </w:p>
    <w:p>
      <w:pPr>
        <w:ind w:left="920" w:right="80"/>
        <w:spacing w:after="0" w:line="279" w:lineRule="auto"/>
        <w:rPr>
          <w:sz w:val="20"/>
          <w:szCs w:val="20"/>
          <w:color w:val="auto"/>
        </w:rPr>
      </w:pPr>
      <w:r>
        <w:rPr>
          <w:rFonts w:ascii="Arial" w:cs="Arial" w:eastAsia="Arial" w:hAnsi="Arial"/>
          <w:sz w:val="17"/>
          <w:szCs w:val="17"/>
          <w:color w:val="auto"/>
        </w:rPr>
        <w:t>If the Reference Bank ceases to be a Lender or is unable on a continuing basis to supply quotations for the purposes of Clause 5 then, unless the Borrowers, the Facility Agent and the Majority Lenders otherwise agree, the Facility Agent, acting on the instructions of the Majority Lenders, and after consulting the Borrower, shall appoint another bank (whether or not a Lender) to be a replacement Reference Bank; and, when that appointment comes into effect, the first-mentioned Reference Bank’s appointment shall cease to be effective.</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26.18</w:t>
      </w:r>
      <w:r>
        <w:rPr>
          <w:sz w:val="20"/>
          <w:szCs w:val="20"/>
          <w:color w:val="auto"/>
        </w:rPr>
        <w:tab/>
      </w:r>
      <w:r>
        <w:rPr>
          <w:rFonts w:ascii="Arial" w:cs="Arial" w:eastAsia="Arial" w:hAnsi="Arial"/>
          <w:sz w:val="16"/>
          <w:szCs w:val="16"/>
          <w:b w:val="1"/>
          <w:bCs w:val="1"/>
          <w:color w:val="auto"/>
        </w:rPr>
        <w:t>Replacement of a Defaulting Lender</w:t>
      </w:r>
    </w:p>
    <w:p>
      <w:pPr>
        <w:spacing w:after="0" w:line="135" w:lineRule="exact"/>
        <w:rPr>
          <w:sz w:val="20"/>
          <w:szCs w:val="20"/>
          <w:color w:val="auto"/>
        </w:rPr>
      </w:pPr>
    </w:p>
    <w:p>
      <w:pPr>
        <w:ind w:left="920" w:hanging="912"/>
        <w:spacing w:after="0"/>
        <w:tabs>
          <w:tab w:leader="none" w:pos="9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any Lender becomes a Defaulting Lender; or</w:t>
      </w:r>
    </w:p>
    <w:p>
      <w:pPr>
        <w:spacing w:after="0" w:line="130" w:lineRule="exact"/>
        <w:rPr>
          <w:rFonts w:ascii="Arial" w:cs="Arial" w:eastAsia="Arial" w:hAnsi="Arial"/>
          <w:sz w:val="18"/>
          <w:szCs w:val="18"/>
          <w:color w:val="auto"/>
        </w:rPr>
      </w:pPr>
    </w:p>
    <w:p>
      <w:pPr>
        <w:ind w:left="1700" w:hanging="787"/>
        <w:spacing w:after="0" w:line="264" w:lineRule="auto"/>
        <w:tabs>
          <w:tab w:leader="none" w:pos="17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 Borrower becomes obliged to repay any amount in accordance with Clause 23 (</w:t>
      </w:r>
      <w:r>
        <w:rPr>
          <w:rFonts w:ascii="Arial" w:cs="Arial" w:eastAsia="Arial" w:hAnsi="Arial"/>
          <w:sz w:val="18"/>
          <w:szCs w:val="18"/>
          <w:i w:val="1"/>
          <w:iCs w:val="1"/>
          <w:color w:val="auto"/>
        </w:rPr>
        <w:t>Illegality</w:t>
      </w:r>
      <w:r>
        <w:rPr>
          <w:rFonts w:ascii="Arial" w:cs="Arial" w:eastAsia="Arial" w:hAnsi="Arial"/>
          <w:sz w:val="18"/>
          <w:szCs w:val="18"/>
          <w:color w:val="auto"/>
        </w:rPr>
        <w:t>) or to pay any additional amounts pursuant to Clause 24 (</w:t>
      </w:r>
      <w:r>
        <w:rPr>
          <w:rFonts w:ascii="Arial" w:cs="Arial" w:eastAsia="Arial" w:hAnsi="Arial"/>
          <w:sz w:val="18"/>
          <w:szCs w:val="18"/>
          <w:i w:val="1"/>
          <w:iCs w:val="1"/>
          <w:color w:val="auto"/>
        </w:rPr>
        <w:t>Increased Costs</w:t>
      </w:r>
      <w:r>
        <w:rPr>
          <w:rFonts w:ascii="Arial" w:cs="Arial" w:eastAsia="Arial" w:hAnsi="Arial"/>
          <w:sz w:val="18"/>
          <w:szCs w:val="18"/>
          <w:color w:val="auto"/>
        </w:rPr>
        <w:t>), Clause 22.2 (</w:t>
      </w:r>
      <w:r>
        <w:rPr>
          <w:rFonts w:ascii="Arial" w:cs="Arial" w:eastAsia="Arial" w:hAnsi="Arial"/>
          <w:sz w:val="18"/>
          <w:szCs w:val="18"/>
          <w:i w:val="1"/>
          <w:iCs w:val="1"/>
          <w:color w:val="auto"/>
        </w:rPr>
        <w:t>Grossing-up for taxes</w:t>
      </w:r>
      <w:r>
        <w:rPr>
          <w:rFonts w:ascii="Arial" w:cs="Arial" w:eastAsia="Arial" w:hAnsi="Arial"/>
          <w:sz w:val="18"/>
          <w:szCs w:val="18"/>
          <w:color w:val="auto"/>
        </w:rPr>
        <w:t>) or Clause 22.3 (</w:t>
      </w:r>
      <w:r>
        <w:rPr>
          <w:rFonts w:ascii="Arial" w:cs="Arial" w:eastAsia="Arial" w:hAnsi="Arial"/>
          <w:sz w:val="18"/>
          <w:szCs w:val="18"/>
          <w:i w:val="1"/>
          <w:iCs w:val="1"/>
          <w:color w:val="auto"/>
        </w:rPr>
        <w:t>Indemnity and evidence of payment of taxes</w:t>
      </w:r>
      <w:r>
        <w:rPr>
          <w:rFonts w:ascii="Arial" w:cs="Arial" w:eastAsia="Arial" w:hAnsi="Arial"/>
          <w:sz w:val="18"/>
          <w:szCs w:val="18"/>
          <w:color w:val="auto"/>
        </w:rPr>
        <w:t>) to any Lender,</w:t>
      </w:r>
    </w:p>
    <w:p>
      <w:pPr>
        <w:spacing w:after="0" w:line="73" w:lineRule="exact"/>
        <w:rPr>
          <w:rFonts w:ascii="Arial" w:cs="Arial" w:eastAsia="Arial" w:hAnsi="Arial"/>
          <w:sz w:val="18"/>
          <w:szCs w:val="18"/>
          <w:color w:val="auto"/>
        </w:rPr>
      </w:pPr>
    </w:p>
    <w:p>
      <w:pPr>
        <w:ind w:left="1720" w:right="40"/>
        <w:spacing w:after="0" w:line="257" w:lineRule="auto"/>
        <w:rPr>
          <w:rFonts w:ascii="Arial" w:cs="Arial" w:eastAsia="Arial" w:hAnsi="Arial"/>
          <w:sz w:val="18"/>
          <w:szCs w:val="18"/>
          <w:color w:val="auto"/>
        </w:rPr>
      </w:pPr>
      <w:r>
        <w:rPr>
          <w:rFonts w:ascii="Arial" w:cs="Arial" w:eastAsia="Arial" w:hAnsi="Arial"/>
          <w:sz w:val="18"/>
          <w:szCs w:val="18"/>
          <w:color w:val="auto"/>
        </w:rPr>
        <w:t>the Borrowers may , at any time a Lender has become and continues to be a Defaulting Lender, by giving 5 Business Days’ prior written notice to the Facility Agent and such Lender replace such Lender by requiring such Lender to (and, to the extent permitted by law, such Lender shall) transfer pursuant to this Clause 26 all (and not part only) of its rights and obligations under this Agreement to a Lender or other bank, financial institution, trust, fund or other entity (a “</w:t>
      </w:r>
      <w:r>
        <w:rPr>
          <w:rFonts w:ascii="Arial" w:cs="Arial" w:eastAsia="Arial" w:hAnsi="Arial"/>
          <w:sz w:val="18"/>
          <w:szCs w:val="18"/>
          <w:b w:val="1"/>
          <w:bCs w:val="1"/>
          <w:color w:val="auto"/>
        </w:rPr>
        <w:t>Replacement Lender</w:t>
      </w:r>
      <w:r>
        <w:rPr>
          <w:rFonts w:ascii="Arial" w:cs="Arial" w:eastAsia="Arial" w:hAnsi="Arial"/>
          <w:sz w:val="18"/>
          <w:szCs w:val="18"/>
          <w:color w:val="auto"/>
        </w:rPr>
        <w:t>”) selected by the Borrowers, and which confirms its willingness to assume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270" w:right="299" w:bottom="1440" w:gutter="0" w:footer="0" w:header="0"/>
        </w:sectPr>
      </w:pPr>
    </w:p>
    <w:bookmarkStart w:id="279" w:name="page280"/>
    <w:bookmarkEnd w:id="279"/>
    <w:p>
      <w:pPr>
        <w:ind w:left="17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does assume all the obligations, or all the relevant obligations, of the transferring Lender in accordance with this Clause 26 for a purchase price in cash payable at the time of transfer which is in an amount equal to the outstanding principal amount of such Lender’s Contribution and all accrued interest, Break Costs and other amounts payable in relation thereto under the Finance Documents;</w:t>
      </w:r>
    </w:p>
    <w:p>
      <w:pPr>
        <w:spacing w:after="0" w:line="92" w:lineRule="exact"/>
        <w:rPr>
          <w:sz w:val="20"/>
          <w:szCs w:val="20"/>
          <w:color w:val="auto"/>
        </w:rPr>
      </w:pPr>
    </w:p>
    <w:p>
      <w:pPr>
        <w:ind w:left="920" w:hanging="912"/>
        <w:spacing w:after="0"/>
        <w:tabs>
          <w:tab w:leader="none" w:pos="9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of the replacement of a Defaulting Lender pursuant to this Clause 26.18 shall be subject to the following conditions: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Borrowers shall have no right to replace the Facility Agent or Security Trustee;</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neither the Facility Agent nor the Defaulting Lender shall have any obligation to the Borrowers to find a Replacement Lender;</w:t>
      </w:r>
    </w:p>
    <w:p>
      <w:pPr>
        <w:spacing w:after="0" w:line="142" w:lineRule="exact"/>
        <w:rPr>
          <w:rFonts w:ascii="Arial" w:cs="Arial" w:eastAsia="Arial" w:hAnsi="Arial"/>
          <w:sz w:val="17"/>
          <w:szCs w:val="17"/>
          <w:color w:val="auto"/>
        </w:rPr>
      </w:pPr>
    </w:p>
    <w:p>
      <w:pPr>
        <w:ind w:left="1700" w:hanging="787"/>
        <w:spacing w:after="0"/>
        <w:tabs>
          <w:tab w:leader="none" w:pos="17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transfer must take place no later than 7 Business Days after the notice referred to in paragraph (a) above;</w:t>
      </w:r>
    </w:p>
    <w:p>
      <w:pPr>
        <w:spacing w:after="0" w:line="130" w:lineRule="exact"/>
        <w:rPr>
          <w:rFonts w:ascii="Arial" w:cs="Arial" w:eastAsia="Arial" w:hAnsi="Arial"/>
          <w:sz w:val="18"/>
          <w:szCs w:val="18"/>
          <w:color w:val="auto"/>
        </w:rPr>
      </w:pPr>
    </w:p>
    <w:p>
      <w:pPr>
        <w:ind w:left="1700" w:right="240" w:hanging="787"/>
        <w:spacing w:after="0" w:line="277" w:lineRule="auto"/>
        <w:tabs>
          <w:tab w:leader="none" w:pos="17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such Replacement Lender any of the fees received by the Defaulting Lender pursuant to the Finance Documents; and</w:t>
      </w:r>
    </w:p>
    <w:p>
      <w:pPr>
        <w:spacing w:after="0" w:line="75" w:lineRule="exact"/>
        <w:rPr>
          <w:rFonts w:ascii="Arial" w:cs="Arial" w:eastAsia="Arial" w:hAnsi="Arial"/>
          <w:sz w:val="18"/>
          <w:szCs w:val="18"/>
          <w:color w:val="auto"/>
        </w:rPr>
      </w:pPr>
    </w:p>
    <w:p>
      <w:pPr>
        <w:ind w:left="1700" w:right="260" w:hanging="787"/>
        <w:spacing w:after="0" w:line="264" w:lineRule="auto"/>
        <w:tabs>
          <w:tab w:leader="none" w:pos="17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spacing w:after="0" w:line="86" w:lineRule="exact"/>
        <w:rPr>
          <w:rFonts w:ascii="Arial" w:cs="Arial" w:eastAsia="Arial" w:hAnsi="Arial"/>
          <w:sz w:val="18"/>
          <w:szCs w:val="18"/>
          <w:color w:val="auto"/>
        </w:rPr>
      </w:pPr>
    </w:p>
    <w:p>
      <w:pPr>
        <w:ind w:left="920" w:right="40" w:hanging="912"/>
        <w:spacing w:after="0" w:line="264" w:lineRule="auto"/>
        <w:tabs>
          <w:tab w:leader="none" w:pos="9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Defaulting Lender shall perform the checks described in paragraph (b)(v) above as soon as reasonably practicable following delivery of a notice referred to in paragraph (a) above and shall notify the Facility Agent and the Borrowers when it is satisfied that it has complied with those checks.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26.19</w:t>
      </w:r>
      <w:r>
        <w:rPr>
          <w:sz w:val="20"/>
          <w:szCs w:val="20"/>
          <w:color w:val="auto"/>
        </w:rPr>
        <w:tab/>
      </w:r>
      <w:r>
        <w:rPr>
          <w:rFonts w:ascii="Arial" w:cs="Arial" w:eastAsia="Arial" w:hAnsi="Arial"/>
          <w:sz w:val="16"/>
          <w:szCs w:val="16"/>
          <w:b w:val="1"/>
          <w:bCs w:val="1"/>
          <w:color w:val="auto"/>
        </w:rPr>
        <w:t>Excluded Commitments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20" w:right="200" w:hanging="912"/>
        <w:spacing w:after="0" w:line="277" w:lineRule="auto"/>
        <w:tabs>
          <w:tab w:leader="none" w:pos="9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Defaulting Lender fails to respond to a request for a consent, waiver, amendment of or in relation to any term of any Finance Document or any other vote of Lenders under the terms of this Agreement within 10 Business Days of that request being made;</w:t>
      </w:r>
    </w:p>
    <w:p>
      <w:pPr>
        <w:spacing w:after="0" w:line="75" w:lineRule="exact"/>
        <w:rPr>
          <w:rFonts w:ascii="Arial" w:cs="Arial" w:eastAsia="Arial" w:hAnsi="Arial"/>
          <w:sz w:val="18"/>
          <w:szCs w:val="18"/>
          <w:color w:val="auto"/>
        </w:rPr>
      </w:pPr>
    </w:p>
    <w:p>
      <w:pPr>
        <w:ind w:left="920" w:right="360" w:hanging="912"/>
        <w:spacing w:after="0" w:line="342" w:lineRule="auto"/>
        <w:tabs>
          <w:tab w:leader="none" w:pos="92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or any Lender which is not a Defaulting Lender fails to respond to such a request (other than an amendment, waiver or consent referred to in paragraphs (i), (ii) and (iii) of Clause 27.2 (Exceptions) or such a vote within 10 Business Days of that request being made</w:t>
      </w:r>
    </w:p>
    <w:p>
      <w:pPr>
        <w:spacing w:after="0" w:line="1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(unless in either case the Borrowers and the Facility Agent agree to a longer time period in relation to any request):</w:t>
      </w:r>
    </w:p>
    <w:p>
      <w:pPr>
        <w:spacing w:after="0" w:line="130" w:lineRule="exact"/>
        <w:rPr>
          <w:rFonts w:ascii="Arial" w:cs="Arial" w:eastAsia="Arial" w:hAnsi="Arial"/>
          <w:sz w:val="16"/>
          <w:szCs w:val="16"/>
          <w:color w:val="auto"/>
        </w:rPr>
      </w:pPr>
    </w:p>
    <w:p>
      <w:pPr>
        <w:ind w:left="1700" w:right="500" w:hanging="787"/>
        <w:spacing w:after="0" w:line="264" w:lineRule="auto"/>
        <w:tabs>
          <w:tab w:leader="none" w:pos="17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its Commitment shall not be included for the purpose of calculating the Total Commitments under the Loan when ascertaining whether any relevant percentage (including, for the avoidance of doubt, unanimity) of Total Commitments has been obtained to approve that request; and</w:t>
      </w:r>
    </w:p>
    <w:p>
      <w:pPr>
        <w:spacing w:after="0" w:line="86" w:lineRule="exact"/>
        <w:rPr>
          <w:rFonts w:ascii="Arial" w:cs="Arial" w:eastAsia="Arial" w:hAnsi="Arial"/>
          <w:sz w:val="18"/>
          <w:szCs w:val="18"/>
          <w:color w:val="auto"/>
        </w:rPr>
      </w:pPr>
    </w:p>
    <w:p>
      <w:pPr>
        <w:ind w:left="1700" w:hanging="787"/>
        <w:spacing w:after="0" w:line="277" w:lineRule="auto"/>
        <w:tabs>
          <w:tab w:leader="none" w:pos="17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26.20</w:t>
      </w:r>
      <w:r>
        <w:rPr>
          <w:sz w:val="20"/>
          <w:szCs w:val="20"/>
          <w:color w:val="auto"/>
        </w:rPr>
        <w:tab/>
      </w:r>
      <w:r>
        <w:rPr>
          <w:rFonts w:ascii="Arial" w:cs="Arial" w:eastAsia="Arial" w:hAnsi="Arial"/>
          <w:sz w:val="16"/>
          <w:szCs w:val="16"/>
          <w:b w:val="1"/>
          <w:bCs w:val="1"/>
          <w:color w:val="auto"/>
        </w:rPr>
        <w:t>Disenfranchisement of Defaulting Lenders</w:t>
      </w:r>
    </w:p>
    <w:p>
      <w:pPr>
        <w:spacing w:after="0" w:line="135" w:lineRule="exact"/>
        <w:rPr>
          <w:sz w:val="20"/>
          <w:szCs w:val="20"/>
          <w:color w:val="auto"/>
        </w:rPr>
      </w:pPr>
    </w:p>
    <w:p>
      <w:pPr>
        <w:ind w:left="5620" w:right="4500" w:hanging="5612"/>
        <w:spacing w:after="0" w:line="490" w:lineRule="auto"/>
        <w:tabs>
          <w:tab w:leader="none" w:pos="909" w:val="left"/>
        </w:tabs>
        <w:numPr>
          <w:ilvl w:val="0"/>
          <w:numId w:val="411"/>
        </w:numPr>
        <w:rPr>
          <w:rFonts w:ascii="Arial" w:cs="Arial" w:eastAsia="Arial" w:hAnsi="Arial"/>
          <w:sz w:val="17"/>
          <w:szCs w:val="17"/>
          <w:color w:val="auto"/>
        </w:rPr>
      </w:pPr>
      <w:r>
        <w:rPr>
          <w:rFonts w:ascii="Arial" w:cs="Arial" w:eastAsia="Arial" w:hAnsi="Arial"/>
          <w:sz w:val="17"/>
          <w:szCs w:val="17"/>
          <w:color w:val="auto"/>
        </w:rPr>
        <w:t>For so long as a Defaulting Lender has any undrawn Commitment, in ascertaining: 90</w:t>
      </w:r>
    </w:p>
    <w:p>
      <w:pPr>
        <w:sectPr>
          <w:pgSz w:w="11900" w:h="16838" w:orient="portrait"/>
          <w:cols w:equalWidth="0" w:num="1">
            <w:col w:w="11380"/>
          </w:cols>
          <w:pgMar w:left="240" w:top="274" w:right="279" w:bottom="1440" w:gutter="0" w:footer="0" w:header="0"/>
        </w:sectPr>
      </w:pPr>
    </w:p>
    <w:bookmarkStart w:id="280" w:name="page281"/>
    <w:bookmarkEnd w:id="280"/>
    <w:p>
      <w:pPr>
        <w:ind w:left="1700" w:hanging="787"/>
        <w:spacing w:after="0"/>
        <w:tabs>
          <w:tab w:leader="none" w:pos="17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Majority Lenders; 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whether:</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1"/>
          <w:numId w:val="412"/>
        </w:numPr>
        <w:rPr>
          <w:rFonts w:ascii="Arial" w:cs="Arial" w:eastAsia="Arial" w:hAnsi="Arial"/>
          <w:sz w:val="17"/>
          <w:szCs w:val="17"/>
          <w:color w:val="auto"/>
        </w:rPr>
      </w:pPr>
      <w:r>
        <w:rPr>
          <w:rFonts w:ascii="Arial" w:cs="Arial" w:eastAsia="Arial" w:hAnsi="Arial"/>
          <w:sz w:val="17"/>
          <w:szCs w:val="17"/>
          <w:color w:val="auto"/>
        </w:rPr>
        <w:t>any given percentage (including, for the avoidance of doubt, unanimity) of the Total Commitments under the Loan; or</w:t>
      </w:r>
    </w:p>
    <w:p>
      <w:pPr>
        <w:spacing w:after="0" w:line="142" w:lineRule="exact"/>
        <w:rPr>
          <w:rFonts w:ascii="Arial" w:cs="Arial" w:eastAsia="Arial" w:hAnsi="Arial"/>
          <w:sz w:val="17"/>
          <w:szCs w:val="17"/>
          <w:color w:val="auto"/>
        </w:rPr>
      </w:pPr>
    </w:p>
    <w:p>
      <w:pPr>
        <w:ind w:left="2380" w:hanging="670"/>
        <w:spacing w:after="0"/>
        <w:tabs>
          <w:tab w:leader="none" w:pos="238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agreement of any specified group of Lenders,</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has been obtained to approve any request for a consent, waiver, amendment or other vote of Lenders under the Finance Documents,</w:t>
      </w:r>
    </w:p>
    <w:p>
      <w:pPr>
        <w:spacing w:after="0" w:line="140"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that Defaulting Lender’s Commitment under the Loan will be reduced by the amount of its undrawn Commitment under the Loan and, to the extent that that reduction results in that Defaulting Lender’s Commitment being zero, that Defaulting Lender shall be deemed not to be a Lender for the purposes of paragraphs (i) and (ii) above.</w:t>
      </w:r>
    </w:p>
    <w:p>
      <w:pPr>
        <w:spacing w:after="0" w:line="87" w:lineRule="exact"/>
        <w:rPr>
          <w:sz w:val="20"/>
          <w:szCs w:val="20"/>
          <w:color w:val="auto"/>
        </w:rPr>
      </w:pPr>
    </w:p>
    <w:p>
      <w:pPr>
        <w:ind w:left="920" w:hanging="912"/>
        <w:spacing w:after="0"/>
        <w:tabs>
          <w:tab w:leader="none" w:pos="9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For the purposes of this Clause 26.20 the Facility Agent may assume that the following Lenders are Defaulting Lenders: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any Lender which has notified the Facility Agent that it has become a Defaulting Lender;</w:t>
      </w:r>
    </w:p>
    <w:p>
      <w:pPr>
        <w:spacing w:after="0" w:line="130" w:lineRule="exact"/>
        <w:rPr>
          <w:rFonts w:ascii="Arial" w:cs="Arial" w:eastAsia="Arial" w:hAnsi="Arial"/>
          <w:sz w:val="18"/>
          <w:szCs w:val="18"/>
          <w:color w:val="auto"/>
        </w:rPr>
      </w:pPr>
    </w:p>
    <w:p>
      <w:pPr>
        <w:ind w:left="1700" w:right="520" w:hanging="787"/>
        <w:spacing w:after="0" w:line="277" w:lineRule="auto"/>
        <w:tabs>
          <w:tab w:leader="none" w:pos="17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 (c)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has occurred,</w:t>
      </w:r>
    </w:p>
    <w:p>
      <w:pPr>
        <w:spacing w:after="0" w:line="62" w:lineRule="exact"/>
        <w:rPr>
          <w:sz w:val="20"/>
          <w:szCs w:val="20"/>
          <w:color w:val="auto"/>
        </w:rPr>
      </w:pPr>
    </w:p>
    <w:p>
      <w:pPr>
        <w:ind w:left="920" w:right="440"/>
        <w:spacing w:after="0" w:line="308" w:lineRule="auto"/>
        <w:rPr>
          <w:sz w:val="20"/>
          <w:szCs w:val="20"/>
          <w:color w:val="auto"/>
        </w:rPr>
      </w:pPr>
      <w:r>
        <w:rPr>
          <w:rFonts w:ascii="Arial" w:cs="Arial" w:eastAsia="Arial" w:hAnsi="Arial"/>
          <w:sz w:val="17"/>
          <w:szCs w:val="17"/>
          <w:color w:val="auto"/>
        </w:rPr>
        <w:t>unless it has received notice to the contrary from the Lender concerned (together with any supporting evidence reasonably requested by the Facility Agent) or the Facility Agent is otherwise aware that the Lender has ceased to be a Defaulting Lender.</w:t>
      </w:r>
    </w:p>
    <w:p>
      <w:pPr>
        <w:spacing w:after="0" w:line="291" w:lineRule="exact"/>
        <w:rPr>
          <w:sz w:val="20"/>
          <w:szCs w:val="20"/>
          <w:color w:val="auto"/>
        </w:rPr>
      </w:pPr>
    </w:p>
    <w:p>
      <w:pPr>
        <w:ind w:left="920" w:hanging="912"/>
        <w:spacing w:after="0"/>
        <w:tabs>
          <w:tab w:leader="none" w:pos="92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VARIATIONS AND WAIVERS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27.1</w:t>
      </w:r>
      <w:r>
        <w:rPr>
          <w:rFonts w:ascii="Arial" w:cs="Arial" w:eastAsia="Arial" w:hAnsi="Arial"/>
          <w:sz w:val="15"/>
          <w:szCs w:val="15"/>
          <w:b w:val="1"/>
          <w:bCs w:val="1"/>
          <w:color w:val="auto"/>
        </w:rPr>
        <w:t>Required consents</w:t>
      </w:r>
    </w:p>
    <w:p>
      <w:pPr>
        <w:spacing w:after="0" w:line="135" w:lineRule="exact"/>
        <w:rPr>
          <w:sz w:val="20"/>
          <w:szCs w:val="20"/>
          <w:color w:val="auto"/>
        </w:rPr>
      </w:pPr>
    </w:p>
    <w:p>
      <w:pPr>
        <w:ind w:left="920" w:right="520" w:hanging="912"/>
        <w:spacing w:after="0" w:line="308" w:lineRule="auto"/>
        <w:tabs>
          <w:tab w:leader="none" w:pos="92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Subject to Clause 27.2 (Exceptions) any term of the Finance Documents may be amended or waived only with the consent of the Majority Lenders and the Borrowers and any such amendment or waiver will be binding on all Creditor Parties and the Borrowers.</w:t>
      </w:r>
    </w:p>
    <w:p>
      <w:pPr>
        <w:spacing w:after="0" w:line="51" w:lineRule="exact"/>
        <w:rPr>
          <w:rFonts w:ascii="Arial" w:cs="Arial" w:eastAsia="Arial" w:hAnsi="Arial"/>
          <w:sz w:val="17"/>
          <w:szCs w:val="17"/>
          <w:color w:val="auto"/>
        </w:rPr>
      </w:pPr>
    </w:p>
    <w:p>
      <w:pPr>
        <w:ind w:left="920" w:hanging="912"/>
        <w:spacing w:after="0"/>
        <w:tabs>
          <w:tab w:leader="none" w:pos="9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instructions given by the Majority Lenders will be binding on all the Creditor Parties.</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Facility Agent may effect, on behalf of any Creditor Party, any amendment or waiver permitted by this Clause.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920" w:right="40" w:hanging="912"/>
        <w:spacing w:after="0" w:line="277" w:lineRule="auto"/>
        <w:tabs>
          <w:tab w:leader="none" w:pos="9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However, Clause 27.1 applies as if the words “the Majority Lenders” were replaced therein by the words “all Lenders” as regards an amendment or waiver that has the effect of changing or which relates to:</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definition of “Majority Lenders” or “Finance Documents” in Clause 1.1 (Definitions);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30" w:lineRule="exact"/>
        <w:rPr>
          <w:rFonts w:ascii="Arial" w:cs="Arial" w:eastAsia="Arial" w:hAnsi="Arial"/>
          <w:sz w:val="18"/>
          <w:szCs w:val="18"/>
          <w:color w:val="auto"/>
        </w:rPr>
      </w:pPr>
    </w:p>
    <w:p>
      <w:pPr>
        <w:ind w:left="1700" w:hanging="787"/>
        <w:spacing w:after="0" w:line="277" w:lineRule="auto"/>
        <w:tabs>
          <w:tab w:leader="none" w:pos="17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commission or other amount payable or the rate at which they are calculated under any of the Finance Documents;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74" w:right="279" w:bottom="1440" w:gutter="0" w:footer="0" w:header="0"/>
        </w:sectPr>
      </w:pPr>
    </w:p>
    <w:bookmarkStart w:id="281" w:name="page282"/>
    <w:bookmarkEnd w:id="281"/>
    <w:p>
      <w:pPr>
        <w:ind w:left="1700" w:hanging="787"/>
        <w:spacing w:after="0"/>
        <w:tabs>
          <w:tab w:leader="none" w:pos="17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increase in or an extension of any Lender’s Commitment;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 or</w:t>
      </w:r>
    </w:p>
    <w:p>
      <w:pPr>
        <w:spacing w:after="0" w:line="130" w:lineRule="exact"/>
        <w:rPr>
          <w:rFonts w:ascii="Arial" w:cs="Arial" w:eastAsia="Arial" w:hAnsi="Arial"/>
          <w:sz w:val="18"/>
          <w:szCs w:val="18"/>
          <w:color w:val="auto"/>
        </w:rPr>
      </w:pPr>
    </w:p>
    <w:p>
      <w:pPr>
        <w:ind w:left="1700" w:right="400" w:hanging="787"/>
        <w:spacing w:after="0" w:line="277" w:lineRule="auto"/>
        <w:tabs>
          <w:tab w:leader="none" w:pos="17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Clause 3, Clause 8, Clause 11.5, 11.6, 11.7 and 11.21, Clause 15, Clause 16.4, Clause 17, Clause 22, Clause 23, Clause 26 or this Clause 27.2;</w:t>
      </w:r>
    </w:p>
    <w:p>
      <w:pPr>
        <w:spacing w:after="0" w:line="75" w:lineRule="exact"/>
        <w:rPr>
          <w:rFonts w:ascii="Arial" w:cs="Arial" w:eastAsia="Arial" w:hAnsi="Arial"/>
          <w:sz w:val="18"/>
          <w:szCs w:val="18"/>
          <w:color w:val="auto"/>
        </w:rPr>
      </w:pPr>
    </w:p>
    <w:p>
      <w:pPr>
        <w:ind w:left="1700" w:right="400" w:hanging="787"/>
        <w:spacing w:after="0" w:line="308" w:lineRule="auto"/>
        <w:tabs>
          <w:tab w:leader="none" w:pos="1700" w:val="left"/>
        </w:tabs>
        <w:numPr>
          <w:ilvl w:val="1"/>
          <w:numId w:val="417"/>
        </w:numPr>
        <w:rPr>
          <w:rFonts w:ascii="Arial" w:cs="Arial" w:eastAsia="Arial" w:hAnsi="Arial"/>
          <w:sz w:val="17"/>
          <w:szCs w:val="17"/>
          <w:color w:val="auto"/>
        </w:rPr>
      </w:pPr>
      <w:r>
        <w:rPr>
          <w:rFonts w:ascii="Arial" w:cs="Arial" w:eastAsia="Arial" w:hAnsi="Arial"/>
          <w:sz w:val="17"/>
          <w:szCs w:val="17"/>
          <w:color w:val="auto"/>
        </w:rPr>
        <w:t>the nature, scope or release of any Security Interest, guarantee, indemnities or subordination arrangement created by any Finance Document or the manner in which the proceeds of enforcement of any Security Interest are distributed;</w:t>
      </w:r>
    </w:p>
    <w:p>
      <w:pPr>
        <w:spacing w:after="0" w:line="51" w:lineRule="exact"/>
        <w:rPr>
          <w:rFonts w:ascii="Arial" w:cs="Arial" w:eastAsia="Arial" w:hAnsi="Arial"/>
          <w:sz w:val="17"/>
          <w:szCs w:val="17"/>
          <w:color w:val="auto"/>
        </w:rPr>
      </w:pPr>
    </w:p>
    <w:p>
      <w:pPr>
        <w:ind w:left="1700" w:hanging="787"/>
        <w:spacing w:after="0"/>
        <w:tabs>
          <w:tab w:leader="none" w:pos="17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a change to any Borrower or any Security Party;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17"/>
        </w:numPr>
        <w:rPr>
          <w:rFonts w:ascii="Arial" w:cs="Arial" w:eastAsia="Arial" w:hAnsi="Arial"/>
          <w:sz w:val="17"/>
          <w:szCs w:val="17"/>
          <w:color w:val="auto"/>
        </w:rPr>
      </w:pPr>
      <w:r>
        <w:rPr>
          <w:rFonts w:ascii="Arial" w:cs="Arial" w:eastAsia="Arial" w:hAnsi="Arial"/>
          <w:sz w:val="17"/>
          <w:szCs w:val="17"/>
          <w:color w:val="auto"/>
        </w:rPr>
        <w:t>any change of the currency in which the Loan is provided or any amount is payable under any of the Finance Documents; and</w:t>
      </w:r>
    </w:p>
    <w:p>
      <w:pPr>
        <w:spacing w:after="0" w:line="142" w:lineRule="exact"/>
        <w:rPr>
          <w:rFonts w:ascii="Arial" w:cs="Arial" w:eastAsia="Arial" w:hAnsi="Arial"/>
          <w:sz w:val="17"/>
          <w:szCs w:val="17"/>
          <w:color w:val="auto"/>
        </w:rPr>
      </w:pPr>
    </w:p>
    <w:p>
      <w:pPr>
        <w:ind w:left="1700" w:hanging="787"/>
        <w:spacing w:after="0"/>
        <w:tabs>
          <w:tab w:leader="none" w:pos="17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extend the Availability Period.</w:t>
      </w:r>
    </w:p>
    <w:p>
      <w:pPr>
        <w:spacing w:after="0" w:line="130" w:lineRule="exact"/>
        <w:rPr>
          <w:rFonts w:ascii="Arial" w:cs="Arial" w:eastAsia="Arial" w:hAnsi="Arial"/>
          <w:sz w:val="18"/>
          <w:szCs w:val="18"/>
          <w:color w:val="auto"/>
        </w:rPr>
      </w:pPr>
    </w:p>
    <w:p>
      <w:pPr>
        <w:ind w:left="920" w:right="60" w:hanging="912"/>
        <w:spacing w:after="0" w:line="277" w:lineRule="auto"/>
        <w:tabs>
          <w:tab w:leader="none" w:pos="9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Facility Agent, the Arranger or the Security Trustee may not be effected without the consent of the Facility Agent, the Arranger or the Security Trustee, as the case may be.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b w:val="1"/>
          <w:bCs w:val="1"/>
          <w:color w:val="auto"/>
        </w:rPr>
        <w:t>Exclusion of other or implied variations</w:t>
      </w:r>
    </w:p>
    <w:p>
      <w:pPr>
        <w:spacing w:after="0" w:line="121"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Except for a document which satisfies the requirements of Clauses 27.1 and 27.2, no document, and no act, course of conduct, failure or neglect to act, delay or acquiescence on the part of the Creditor Parties or any of them (or any person acting on behalf of any of them) shall result in the Creditor Parties or any of them (or any person acting on behalf of any of them) being taken to have varied, waived, suspended or limited, or being precluded (permanently or temporarily) from enforcing, relying on or exercising:</w:t>
      </w:r>
    </w:p>
    <w:p>
      <w:pPr>
        <w:spacing w:after="0" w:line="92" w:lineRule="exact"/>
        <w:rPr>
          <w:sz w:val="20"/>
          <w:szCs w:val="20"/>
          <w:color w:val="auto"/>
        </w:rPr>
      </w:pPr>
    </w:p>
    <w:p>
      <w:pPr>
        <w:ind w:left="920" w:hanging="912"/>
        <w:spacing w:after="0"/>
        <w:tabs>
          <w:tab w:leader="none" w:pos="9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 provision of this Agreement or another Finance Document;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 breach by a Borrower or a Security Party of an obligation under a Finance Document or the general law;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right or remedy conferred by any Finance Document or by the general law,</w:t>
      </w:r>
    </w:p>
    <w:p>
      <w:pPr>
        <w:spacing w:after="0" w:line="117" w:lineRule="exact"/>
        <w:rPr>
          <w:rFonts w:ascii="Arial" w:cs="Arial" w:eastAsia="Arial" w:hAnsi="Arial"/>
          <w:sz w:val="18"/>
          <w:szCs w:val="18"/>
          <w:color w:val="auto"/>
        </w:rPr>
      </w:pPr>
    </w:p>
    <w:p>
      <w:pPr>
        <w:ind w:left="920" w:right="320"/>
        <w:spacing w:after="0" w:line="277" w:lineRule="auto"/>
        <w:rPr>
          <w:rFonts w:ascii="Arial" w:cs="Arial" w:eastAsia="Arial" w:hAnsi="Arial"/>
          <w:sz w:val="18"/>
          <w:szCs w:val="18"/>
          <w:color w:val="auto"/>
        </w:rPr>
      </w:pPr>
      <w:r>
        <w:rPr>
          <w:rFonts w:ascii="Arial" w:cs="Arial" w:eastAsia="Arial" w:hAnsi="Arial"/>
          <w:sz w:val="18"/>
          <w:szCs w:val="18"/>
          <w:color w:val="auto"/>
        </w:rPr>
        <w:t>and there shall not be implied into any Finance Document any term or condition requiring any such provision to be enforced, or such right or remedy to be exercised, within a certain or reasonable time.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5"/>
          <w:szCs w:val="15"/>
          <w:b w:val="1"/>
          <w:bCs w:val="1"/>
          <w:color w:val="auto"/>
        </w:rPr>
        <w:t>Replacement of Screen Rate</w:t>
      </w:r>
    </w:p>
    <w:p>
      <w:pPr>
        <w:spacing w:after="0" w:line="135" w:lineRule="exact"/>
        <w:rPr>
          <w:sz w:val="20"/>
          <w:szCs w:val="20"/>
          <w:color w:val="auto"/>
        </w:rPr>
      </w:pPr>
    </w:p>
    <w:p>
      <w:pPr>
        <w:ind w:left="920" w:hanging="912"/>
        <w:spacing w:after="0" w:line="286" w:lineRule="auto"/>
        <w:tabs>
          <w:tab w:leader="none" w:pos="9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Subject to Clause 27.3, if the Screen Rate is not available for dollars, any amendment or waiver which relates to providing for another benchmark rate to apply in relation to dollars</w:t>
      </w:r>
      <w:r>
        <w:rPr>
          <w:rFonts w:ascii="Arial" w:cs="Arial" w:eastAsia="Arial" w:hAnsi="Arial"/>
          <w:sz w:val="14"/>
          <w:szCs w:val="14"/>
          <w:color w:val="auto"/>
        </w:rPr>
        <w:t>,</w:t>
      </w:r>
      <w:r>
        <w:rPr>
          <w:rFonts w:ascii="Arial" w:cs="Arial" w:eastAsia="Arial" w:hAnsi="Arial"/>
          <w:sz w:val="17"/>
          <w:szCs w:val="17"/>
          <w:color w:val="auto"/>
        </w:rPr>
        <w:t xml:space="preserve"> in place of that Screen Rate (or which relates to aligning any provision of a Finance Document to the use of that benchmark rate) may be made with the consent of the Majority Lenders and the Security Parties.</w:t>
      </w:r>
    </w:p>
    <w:p>
      <w:pPr>
        <w:spacing w:after="0" w:line="70" w:lineRule="exact"/>
        <w:rPr>
          <w:rFonts w:ascii="Arial" w:cs="Arial" w:eastAsia="Arial" w:hAnsi="Arial"/>
          <w:sz w:val="17"/>
          <w:szCs w:val="17"/>
          <w:color w:val="auto"/>
        </w:rPr>
      </w:pPr>
    </w:p>
    <w:p>
      <w:pPr>
        <w:ind w:left="920" w:right="440" w:hanging="912"/>
        <w:spacing w:after="0" w:line="308" w:lineRule="auto"/>
        <w:tabs>
          <w:tab w:leader="none" w:pos="9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If any Lender fails to respond to a request for an amendment or waiver described in paragraph (a) above within 5 Business Days (unless the Borrowers and the Facility Agent agree to a longer time period in relation to any request) of that request being made: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282" w:name="page283"/>
    <w:bookmarkEnd w:id="282"/>
    <w:p>
      <w:pPr>
        <w:ind w:left="1700" w:right="160" w:hanging="787"/>
        <w:spacing w:after="0" w:line="277" w:lineRule="auto"/>
        <w:tabs>
          <w:tab w:leader="none" w:pos="17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Commitment shall not be included for the purpose of calculating the Total Commitments when ascertaining whether any relevant percentage of Total Commitments has been obtained to approve that request; and</w:t>
      </w:r>
    </w:p>
    <w:p>
      <w:pPr>
        <w:spacing w:after="0" w:line="75" w:lineRule="exact"/>
        <w:rPr>
          <w:rFonts w:ascii="Arial" w:cs="Arial" w:eastAsia="Arial" w:hAnsi="Arial"/>
          <w:sz w:val="18"/>
          <w:szCs w:val="18"/>
          <w:color w:val="auto"/>
        </w:rPr>
      </w:pPr>
    </w:p>
    <w:p>
      <w:pPr>
        <w:ind w:left="1700" w:hanging="787"/>
        <w:spacing w:after="0" w:line="277" w:lineRule="auto"/>
        <w:tabs>
          <w:tab w:leader="none" w:pos="17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315" w:lineRule="exact"/>
        <w:rPr>
          <w:sz w:val="20"/>
          <w:szCs w:val="20"/>
          <w:color w:val="auto"/>
        </w:rPr>
      </w:pPr>
    </w:p>
    <w:p>
      <w:pPr>
        <w:ind w:left="920" w:hanging="912"/>
        <w:spacing w:after="0"/>
        <w:tabs>
          <w:tab w:leader="none" w:pos="92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580"/>
        <w:spacing w:after="0" w:line="264" w:lineRule="auto"/>
        <w:rPr>
          <w:sz w:val="20"/>
          <w:szCs w:val="20"/>
          <w:color w:val="auto"/>
        </w:rPr>
      </w:pPr>
      <w:r>
        <w:rPr>
          <w:rFonts w:ascii="Arial" w:cs="Arial" w:eastAsia="Arial" w:hAnsi="Arial"/>
          <w:sz w:val="18"/>
          <w:szCs w:val="18"/>
          <w:color w:val="auto"/>
        </w:rPr>
        <w:t>Unless otherwise specifically provided, any notice under or in connection with any Finance Document shall be given by letter or fax; and references in the Finance Documents to written notices, notices in writing and notices signed by particular persons shall be construed accordingly.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28.2</w:t>
            </w:r>
          </w:p>
        </w:tc>
        <w:tc>
          <w:tcPr>
            <w:tcW w:w="2840" w:type="dxa"/>
            <w:vAlign w:val="bottom"/>
          </w:tcPr>
          <w:p>
            <w:pPr>
              <w:ind w:left="300"/>
              <w:spacing w:after="0"/>
              <w:rPr>
                <w:sz w:val="20"/>
                <w:szCs w:val="20"/>
                <w:color w:val="auto"/>
              </w:rPr>
            </w:pPr>
            <w:r>
              <w:rPr>
                <w:rFonts w:ascii="Arial" w:cs="Arial" w:eastAsia="Arial" w:hAnsi="Arial"/>
                <w:sz w:val="18"/>
                <w:szCs w:val="18"/>
                <w:b w:val="1"/>
                <w:bCs w:val="1"/>
                <w:color w:val="auto"/>
                <w:w w:val="93"/>
              </w:rPr>
              <w:t>Addresses for communications</w:t>
            </w:r>
          </w:p>
        </w:tc>
        <w:tc>
          <w:tcPr>
            <w:tcW w:w="744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18"/>
                <w:szCs w:val="18"/>
                <w:color w:val="auto"/>
              </w:rPr>
              <w:t>A notice shall be sent:</w:t>
            </w:r>
          </w:p>
        </w:tc>
        <w:tc>
          <w:tcPr>
            <w:tcW w:w="7440" w:type="dxa"/>
            <w:vAlign w:val="bottom"/>
          </w:tcPr>
          <w:p>
            <w:pPr>
              <w:spacing w:after="0"/>
              <w:rPr>
                <w:sz w:val="24"/>
                <w:szCs w:val="24"/>
                <w:color w:val="auto"/>
              </w:rPr>
            </w:pPr>
          </w:p>
        </w:tc>
      </w:tr>
      <w:tr>
        <w:trPr>
          <w:trHeight w:val="445"/>
        </w:trPr>
        <w:tc>
          <w:tcPr>
            <w:tcW w:w="620" w:type="dxa"/>
            <w:vAlign w:val="bottom"/>
          </w:tcPr>
          <w:p>
            <w:pPr>
              <w:spacing w:after="0"/>
              <w:rPr>
                <w:sz w:val="20"/>
                <w:szCs w:val="20"/>
                <w:color w:val="auto"/>
              </w:rPr>
            </w:pPr>
            <w:r>
              <w:rPr>
                <w:rFonts w:ascii="Arial" w:cs="Arial" w:eastAsia="Arial" w:hAnsi="Arial"/>
                <w:sz w:val="18"/>
                <w:szCs w:val="18"/>
                <w:color w:val="auto"/>
              </w:rPr>
              <w:t>(a)</w:t>
            </w:r>
          </w:p>
        </w:tc>
        <w:tc>
          <w:tcPr>
            <w:tcW w:w="2840" w:type="dxa"/>
            <w:vAlign w:val="bottom"/>
          </w:tcPr>
          <w:p>
            <w:pPr>
              <w:ind w:left="320"/>
              <w:spacing w:after="0"/>
              <w:rPr>
                <w:sz w:val="20"/>
                <w:szCs w:val="20"/>
                <w:color w:val="auto"/>
              </w:rPr>
            </w:pPr>
            <w:r>
              <w:rPr>
                <w:rFonts w:ascii="Arial" w:cs="Arial" w:eastAsia="Arial" w:hAnsi="Arial"/>
                <w:sz w:val="18"/>
                <w:szCs w:val="18"/>
                <w:color w:val="auto"/>
              </w:rPr>
              <w:t>to the Borrower:</w:t>
            </w:r>
          </w:p>
        </w:tc>
        <w:tc>
          <w:tcPr>
            <w:tcW w:w="7440" w:type="dxa"/>
            <w:vAlign w:val="bottom"/>
          </w:tcPr>
          <w:p>
            <w:pPr>
              <w:ind w:left="200"/>
              <w:spacing w:after="0"/>
              <w:rPr>
                <w:sz w:val="20"/>
                <w:szCs w:val="20"/>
                <w:color w:val="auto"/>
              </w:rPr>
            </w:pPr>
            <w:r>
              <w:rPr>
                <w:rFonts w:ascii="Arial" w:cs="Arial" w:eastAsia="Arial" w:hAnsi="Arial"/>
                <w:sz w:val="18"/>
                <w:szCs w:val="18"/>
                <w:color w:val="auto"/>
              </w:rPr>
              <w:t>c/o Capital Ship Management Corp.</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3 Iassonos Street</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185 37 - Piraeus</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Greece</w:t>
            </w:r>
          </w:p>
        </w:tc>
      </w:tr>
      <w:tr>
        <w:trPr>
          <w:trHeight w:val="418"/>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Fax No: +30 210 4285 679</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for the attention of the Chief Financial Officer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w:t>
            </w:r>
          </w:p>
        </w:tc>
        <w:tc>
          <w:tcPr>
            <w:tcW w:w="2840" w:type="dxa"/>
            <w:vAlign w:val="bottom"/>
          </w:tcPr>
          <w:p>
            <w:pPr>
              <w:ind w:left="320"/>
              <w:spacing w:after="0"/>
              <w:rPr>
                <w:sz w:val="20"/>
                <w:szCs w:val="20"/>
                <w:color w:val="auto"/>
              </w:rPr>
            </w:pPr>
            <w:r>
              <w:rPr>
                <w:rFonts w:ascii="Arial" w:cs="Arial" w:eastAsia="Arial" w:hAnsi="Arial"/>
                <w:sz w:val="18"/>
                <w:szCs w:val="18"/>
                <w:color w:val="auto"/>
              </w:rPr>
              <w:t>to a Lender:</w:t>
            </w:r>
          </w:p>
        </w:tc>
        <w:tc>
          <w:tcPr>
            <w:tcW w:w="7440" w:type="dxa"/>
            <w:vAlign w:val="bottom"/>
          </w:tcPr>
          <w:p>
            <w:pPr>
              <w:ind w:left="200"/>
              <w:spacing w:after="0"/>
              <w:rPr>
                <w:sz w:val="20"/>
                <w:szCs w:val="20"/>
                <w:color w:val="auto"/>
              </w:rPr>
            </w:pPr>
            <w:r>
              <w:rPr>
                <w:rFonts w:ascii="Arial" w:cs="Arial" w:eastAsia="Arial" w:hAnsi="Arial"/>
                <w:sz w:val="18"/>
                <w:szCs w:val="18"/>
                <w:color w:val="auto"/>
              </w:rPr>
              <w:t>at the address below its name in Schedule 1 or (as the case</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may require) in the relevant Transfer Certificate.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(c)</w:t>
            </w:r>
          </w:p>
        </w:tc>
        <w:tc>
          <w:tcPr>
            <w:tcW w:w="2840" w:type="dxa"/>
            <w:vAlign w:val="bottom"/>
          </w:tcPr>
          <w:p>
            <w:pPr>
              <w:ind w:left="320"/>
              <w:spacing w:after="0"/>
              <w:rPr>
                <w:sz w:val="20"/>
                <w:szCs w:val="20"/>
                <w:color w:val="auto"/>
              </w:rPr>
            </w:pPr>
            <w:r>
              <w:rPr>
                <w:rFonts w:ascii="Arial" w:cs="Arial" w:eastAsia="Arial" w:hAnsi="Arial"/>
                <w:sz w:val="18"/>
                <w:szCs w:val="18"/>
                <w:color w:val="auto"/>
              </w:rPr>
              <w:t>to the Swap Bank:</w:t>
            </w:r>
          </w:p>
        </w:tc>
        <w:tc>
          <w:tcPr>
            <w:tcW w:w="7440" w:type="dxa"/>
            <w:vAlign w:val="bottom"/>
          </w:tcPr>
          <w:p>
            <w:pPr>
              <w:ind w:left="200"/>
              <w:spacing w:after="0"/>
              <w:rPr>
                <w:sz w:val="20"/>
                <w:szCs w:val="20"/>
                <w:color w:val="auto"/>
              </w:rPr>
            </w:pPr>
            <w:r>
              <w:rPr>
                <w:rFonts w:ascii="Arial" w:cs="Arial" w:eastAsia="Arial" w:hAnsi="Arial"/>
                <w:sz w:val="18"/>
                <w:szCs w:val="18"/>
                <w:color w:val="auto"/>
              </w:rPr>
              <w:t>ING Bank N.V.</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Foppingadreef 7</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PO Box 1800, NL-1000 BV</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Amsterdam</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The Netherlands</w:t>
            </w:r>
          </w:p>
        </w:tc>
      </w:tr>
      <w:tr>
        <w:trPr>
          <w:trHeight w:val="432"/>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Fax No: +31 20 501 3381 and (additionally) +31 20 501 3161</w:t>
            </w:r>
          </w:p>
        </w:tc>
      </w:tr>
      <w:tr>
        <w:trPr>
          <w:trHeight w:val="418"/>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w w:val="92"/>
              </w:rPr>
              <w:t>Attn: Operations/Derivatives/TRC 00.13, Financial Markets/Operations/Forex/Money Markets TRC</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01.003 and Head of Legal Financial Markets</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(d)</w:t>
            </w:r>
          </w:p>
        </w:tc>
        <w:tc>
          <w:tcPr>
            <w:tcW w:w="2840" w:type="dxa"/>
            <w:vAlign w:val="bottom"/>
          </w:tcPr>
          <w:p>
            <w:pPr>
              <w:ind w:left="320"/>
              <w:spacing w:after="0"/>
              <w:rPr>
                <w:sz w:val="20"/>
                <w:szCs w:val="20"/>
                <w:color w:val="auto"/>
              </w:rPr>
            </w:pPr>
            <w:r>
              <w:rPr>
                <w:rFonts w:ascii="Arial" w:cs="Arial" w:eastAsia="Arial" w:hAnsi="Arial"/>
                <w:sz w:val="18"/>
                <w:szCs w:val="18"/>
                <w:color w:val="auto"/>
              </w:rPr>
              <w:t>to the Facility Agent</w:t>
            </w:r>
          </w:p>
        </w:tc>
        <w:tc>
          <w:tcPr>
            <w:tcW w:w="7440" w:type="dxa"/>
            <w:vAlign w:val="bottom"/>
          </w:tcPr>
          <w:p>
            <w:pPr>
              <w:ind w:left="200"/>
              <w:spacing w:after="0"/>
              <w:rPr>
                <w:sz w:val="20"/>
                <w:szCs w:val="20"/>
                <w:color w:val="auto"/>
              </w:rPr>
            </w:pPr>
            <w:r>
              <w:rPr>
                <w:rFonts w:ascii="Arial" w:cs="Arial" w:eastAsia="Arial" w:hAnsi="Arial"/>
                <w:sz w:val="18"/>
                <w:szCs w:val="18"/>
                <w:color w:val="auto"/>
              </w:rPr>
              <w:t>Crédit Agricole Corporate and Investment Bank</w:t>
            </w:r>
          </w:p>
        </w:tc>
      </w:tr>
      <w:tr>
        <w:trPr>
          <w:trHeight w:val="216"/>
        </w:trPr>
        <w:tc>
          <w:tcPr>
            <w:tcW w:w="620" w:type="dxa"/>
            <w:vAlign w:val="bottom"/>
          </w:tcPr>
          <w:p>
            <w:pPr>
              <w:spacing w:after="0"/>
              <w:rPr>
                <w:sz w:val="18"/>
                <w:szCs w:val="18"/>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and Security Trustee:</w:t>
            </w:r>
          </w:p>
        </w:tc>
        <w:tc>
          <w:tcPr>
            <w:tcW w:w="7440" w:type="dxa"/>
            <w:vAlign w:val="bottom"/>
          </w:tcPr>
          <w:p>
            <w:pPr>
              <w:ind w:left="200"/>
              <w:spacing w:after="0"/>
              <w:rPr>
                <w:sz w:val="20"/>
                <w:szCs w:val="20"/>
                <w:color w:val="auto"/>
              </w:rPr>
            </w:pPr>
            <w:r>
              <w:rPr>
                <w:rFonts w:ascii="Arial" w:cs="Arial" w:eastAsia="Arial" w:hAnsi="Arial"/>
                <w:sz w:val="18"/>
                <w:szCs w:val="18"/>
                <w:color w:val="auto"/>
              </w:rPr>
              <w:t>12, place des Etats-Unis</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CS 70052</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92547 Montrouge Cedex</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France</w:t>
            </w:r>
          </w:p>
        </w:tc>
      </w:tr>
    </w:tbl>
    <w:p>
      <w:pPr>
        <w:spacing w:after="0" w:line="202"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Fax No: +331 41892987</w:t>
      </w:r>
    </w:p>
    <w:p>
      <w:pPr>
        <w:spacing w:after="0" w:line="117"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or to such other address as the relevant party may notify the Facility Agent or, if the relevant party is the Facility Agent or the Security Trustee, the Borrowers, the Lenders and the Security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74" w:right="279" w:bottom="1440" w:gutter="0" w:footer="0" w:header="0"/>
        </w:sectPr>
      </w:pPr>
    </w:p>
    <w:bookmarkStart w:id="283" w:name="page284"/>
    <w:bookmarkEnd w:id="28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28.3</w:t>
      </w:r>
      <w:r>
        <w:rPr>
          <w:sz w:val="20"/>
          <w:szCs w:val="20"/>
          <w:color w:val="auto"/>
        </w:rPr>
        <w:tab/>
      </w:r>
      <w:r>
        <w:rPr>
          <w:rFonts w:ascii="Arial" w:cs="Arial" w:eastAsia="Arial" w:hAnsi="Arial"/>
          <w:sz w:val="15"/>
          <w:szCs w:val="15"/>
          <w:b w:val="1"/>
          <w:bCs w:val="1"/>
          <w:color w:val="auto"/>
        </w:rPr>
        <w:t>Effective date of notices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Clauses 28.4 and 28.5:</w:t>
      </w:r>
    </w:p>
    <w:p>
      <w:pPr>
        <w:spacing w:after="0" w:line="131" w:lineRule="exact"/>
        <w:rPr>
          <w:sz w:val="20"/>
          <w:szCs w:val="20"/>
          <w:color w:val="auto"/>
        </w:rPr>
      </w:pPr>
    </w:p>
    <w:p>
      <w:pPr>
        <w:ind w:left="920" w:hanging="912"/>
        <w:spacing w:after="0"/>
        <w:tabs>
          <w:tab w:leader="none" w:pos="92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 notice which is delivered personally or posted shall be deemed to be served, and shall take effect, at the time when it is delivered; and</w:t>
      </w:r>
    </w:p>
    <w:p>
      <w:pPr>
        <w:spacing w:after="0" w:line="142" w:lineRule="exact"/>
        <w:rPr>
          <w:rFonts w:ascii="Arial" w:cs="Arial" w:eastAsia="Arial" w:hAnsi="Arial"/>
          <w:sz w:val="17"/>
          <w:szCs w:val="17"/>
          <w:color w:val="auto"/>
        </w:rPr>
      </w:pPr>
    </w:p>
    <w:p>
      <w:pPr>
        <w:ind w:left="920" w:hanging="912"/>
        <w:spacing w:after="0"/>
        <w:tabs>
          <w:tab w:leader="none" w:pos="9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 notice which is sent by fax shall be deemed to be served, and shall take effect, 2 hours after its transmission is completed.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5"/>
          <w:szCs w:val="15"/>
          <w:b w:val="1"/>
          <w:bCs w:val="1"/>
          <w:color w:val="auto"/>
        </w:rPr>
        <w:t>Service outside business hours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However, if under Clause 28.3 a notice would be deemed to be served:</w:t>
      </w:r>
    </w:p>
    <w:p>
      <w:pPr>
        <w:spacing w:after="0" w:line="131" w:lineRule="exact"/>
        <w:rPr>
          <w:sz w:val="20"/>
          <w:szCs w:val="20"/>
          <w:color w:val="auto"/>
        </w:rPr>
      </w:pPr>
    </w:p>
    <w:p>
      <w:pPr>
        <w:ind w:left="920" w:hanging="912"/>
        <w:spacing w:after="0"/>
        <w:tabs>
          <w:tab w:leader="none" w:pos="9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on a day which is not a business day in the place of receipt;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on such a business day, but after 5 p.m. local time,</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the notice shall (subject to Clause 28.5) be deemed to be served, and shall take effect, at 9 a.m. on the next day which is such a business day.</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5"/>
          <w:szCs w:val="15"/>
          <w:b w:val="1"/>
          <w:bCs w:val="1"/>
          <w:color w:val="auto"/>
        </w:rPr>
        <w:t>Illegible notices</w:t>
      </w:r>
    </w:p>
    <w:p>
      <w:pPr>
        <w:spacing w:after="0" w:line="121" w:lineRule="exact"/>
        <w:rPr>
          <w:sz w:val="20"/>
          <w:szCs w:val="20"/>
          <w:color w:val="auto"/>
        </w:rPr>
      </w:pPr>
    </w:p>
    <w:p>
      <w:pPr>
        <w:ind w:left="920" w:right="620"/>
        <w:spacing w:after="0" w:line="308" w:lineRule="auto"/>
        <w:rPr>
          <w:sz w:val="20"/>
          <w:szCs w:val="20"/>
          <w:color w:val="auto"/>
        </w:rPr>
      </w:pPr>
      <w:r>
        <w:rPr>
          <w:rFonts w:ascii="Arial" w:cs="Arial" w:eastAsia="Arial" w:hAnsi="Arial"/>
          <w:sz w:val="17"/>
          <w:szCs w:val="17"/>
          <w:color w:val="auto"/>
        </w:rPr>
        <w:t>Clauses 28.3 and 28.4 do not apply if the recipient of a notice notifies the sender within one hour after the time at which the notice would otherwise be deemed to be served that the notice has been received in a form which is illegible in a material respect.</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5"/>
          <w:szCs w:val="15"/>
          <w:b w:val="1"/>
          <w:bCs w:val="1"/>
          <w:color w:val="auto"/>
        </w:rPr>
        <w:t>Valid notices</w:t>
      </w:r>
    </w:p>
    <w:p>
      <w:pPr>
        <w:spacing w:after="0" w:line="121" w:lineRule="exact"/>
        <w:rPr>
          <w:sz w:val="20"/>
          <w:szCs w:val="20"/>
          <w:color w:val="auto"/>
        </w:rPr>
      </w:pPr>
    </w:p>
    <w:p>
      <w:pPr>
        <w:ind w:left="920" w:right="520"/>
        <w:spacing w:after="0" w:line="342" w:lineRule="auto"/>
        <w:rPr>
          <w:sz w:val="20"/>
          <w:szCs w:val="20"/>
          <w:color w:val="auto"/>
        </w:rPr>
      </w:pPr>
      <w:r>
        <w:rPr>
          <w:rFonts w:ascii="Arial" w:cs="Arial" w:eastAsia="Arial" w:hAnsi="Arial"/>
          <w:sz w:val="16"/>
          <w:szCs w:val="16"/>
          <w:color w:val="auto"/>
        </w:rPr>
        <w:t>A notice under or in connection with a Finance Document shall not be invalid by reason that its contents or the manner of serving it do not comply with the requirements of this Agreement or, where appropriate, any other Finance Document under which it is served if:</w:t>
      </w:r>
    </w:p>
    <w:p>
      <w:pPr>
        <w:spacing w:after="0" w:line="29" w:lineRule="exact"/>
        <w:rPr>
          <w:sz w:val="20"/>
          <w:szCs w:val="20"/>
          <w:color w:val="auto"/>
        </w:rPr>
      </w:pPr>
    </w:p>
    <w:p>
      <w:pPr>
        <w:ind w:left="920" w:right="120" w:hanging="912"/>
        <w:spacing w:after="0" w:line="277" w:lineRule="auto"/>
        <w:tabs>
          <w:tab w:leader="none" w:pos="9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failure to serve it in accordance with the requirements of this Agreement or other Finance Document, as the case may be, has not caused any party to suffer any significant loss or prejudice; or</w:t>
      </w:r>
    </w:p>
    <w:p>
      <w:pPr>
        <w:spacing w:after="0" w:line="75" w:lineRule="exact"/>
        <w:rPr>
          <w:rFonts w:ascii="Arial" w:cs="Arial" w:eastAsia="Arial" w:hAnsi="Arial"/>
          <w:sz w:val="18"/>
          <w:szCs w:val="18"/>
          <w:color w:val="auto"/>
        </w:rPr>
      </w:pPr>
    </w:p>
    <w:p>
      <w:pPr>
        <w:ind w:left="920" w:right="340" w:hanging="912"/>
        <w:spacing w:after="0" w:line="277" w:lineRule="auto"/>
        <w:tabs>
          <w:tab w:leader="none" w:pos="9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 the case of incorrect and/or incomplete contents, it should have been reasonably clear to the party on which the notice was served what the correct or missing particulars should have been.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Electronic communication</w:t>
      </w:r>
    </w:p>
    <w:p>
      <w:pPr>
        <w:spacing w:after="0" w:line="121" w:lineRule="exact"/>
        <w:rPr>
          <w:sz w:val="20"/>
          <w:szCs w:val="20"/>
          <w:color w:val="auto"/>
        </w:rPr>
      </w:pPr>
    </w:p>
    <w:p>
      <w:pPr>
        <w:ind w:left="920" w:right="100"/>
        <w:spacing w:after="0" w:line="308" w:lineRule="auto"/>
        <w:rPr>
          <w:sz w:val="20"/>
          <w:szCs w:val="20"/>
          <w:color w:val="auto"/>
        </w:rPr>
      </w:pPr>
      <w:r>
        <w:rPr>
          <w:rFonts w:ascii="Arial" w:cs="Arial" w:eastAsia="Arial" w:hAnsi="Arial"/>
          <w:sz w:val="17"/>
          <w:szCs w:val="17"/>
          <w:color w:val="auto"/>
        </w:rPr>
        <w:t>Any communication to be made between the Facility Agent and a Lender or the Swap Bank under or in connection with the Finance Documents may be made by electronic mail or other electronic means, if the Facility Agent and the relevant Creditor Party:</w:t>
      </w:r>
    </w:p>
    <w:p>
      <w:pPr>
        <w:spacing w:after="0" w:line="52" w:lineRule="exact"/>
        <w:rPr>
          <w:sz w:val="20"/>
          <w:szCs w:val="20"/>
          <w:color w:val="auto"/>
        </w:rPr>
      </w:pPr>
    </w:p>
    <w:p>
      <w:pPr>
        <w:ind w:left="920" w:hanging="912"/>
        <w:spacing w:after="0"/>
        <w:tabs>
          <w:tab w:leader="none" w:pos="9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13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notify each other of any change to their respective addresses or any other such information supplied to them.</w:t>
      </w:r>
    </w:p>
    <w:p>
      <w:pPr>
        <w:spacing w:after="0" w:line="117" w:lineRule="exact"/>
        <w:rPr>
          <w:rFonts w:ascii="Arial" w:cs="Arial" w:eastAsia="Arial" w:hAnsi="Arial"/>
          <w:sz w:val="18"/>
          <w:szCs w:val="18"/>
          <w:color w:val="auto"/>
        </w:rPr>
      </w:pPr>
    </w:p>
    <w:p>
      <w:pPr>
        <w:ind w:left="920" w:right="60"/>
        <w:spacing w:after="0" w:line="264" w:lineRule="auto"/>
        <w:rPr>
          <w:rFonts w:ascii="Arial" w:cs="Arial" w:eastAsia="Arial" w:hAnsi="Arial"/>
          <w:sz w:val="18"/>
          <w:szCs w:val="18"/>
          <w:color w:val="auto"/>
        </w:rPr>
      </w:pPr>
      <w:r>
        <w:rPr>
          <w:rFonts w:ascii="Arial" w:cs="Arial" w:eastAsia="Arial" w:hAnsi="Arial"/>
          <w:sz w:val="18"/>
          <w:szCs w:val="18"/>
          <w:color w:val="auto"/>
        </w:rPr>
        <w:t>Any electronic communication made between the Facility Agent and a Lender or the Swap Bank will be effective only when actually received in readable form and, in the case of any electronic communication made by a Creditor Party to the Facility Agent, only if it is addressed in such a manner as the Facility Agent shall specify for this purpose.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0" w:right="239" w:bottom="1440" w:gutter="0" w:footer="0" w:header="0"/>
        </w:sectPr>
      </w:pPr>
    </w:p>
    <w:bookmarkStart w:id="284" w:name="page285"/>
    <w:bookmarkEnd w:id="28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28.8</w:t>
      </w:r>
      <w:r>
        <w:rPr>
          <w:sz w:val="20"/>
          <w:szCs w:val="20"/>
          <w:color w:val="auto"/>
        </w:rPr>
        <w:tab/>
      </w:r>
      <w:r>
        <w:rPr>
          <w:rFonts w:ascii="Arial" w:cs="Arial" w:eastAsia="Arial" w:hAnsi="Arial"/>
          <w:sz w:val="15"/>
          <w:szCs w:val="15"/>
          <w:b w:val="1"/>
          <w:bCs w:val="1"/>
          <w:color w:val="auto"/>
        </w:rPr>
        <w:t>English language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notice under or in connection with a Finance Document shall be in English.</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6"/>
          <w:szCs w:val="16"/>
          <w:b w:val="1"/>
          <w:bCs w:val="1"/>
          <w:color w:val="auto"/>
        </w:rPr>
        <w:t>Meaning of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Clause 28, “</w:t>
      </w:r>
      <w:r>
        <w:rPr>
          <w:rFonts w:ascii="Arial" w:cs="Arial" w:eastAsia="Arial" w:hAnsi="Arial"/>
          <w:sz w:val="18"/>
          <w:szCs w:val="18"/>
          <w:b w:val="1"/>
          <w:bCs w:val="1"/>
          <w:color w:val="auto"/>
        </w:rPr>
        <w:t>notice</w:t>
      </w:r>
      <w:r>
        <w:rPr>
          <w:rFonts w:ascii="Arial" w:cs="Arial" w:eastAsia="Arial" w:hAnsi="Arial"/>
          <w:sz w:val="18"/>
          <w:szCs w:val="18"/>
          <w:color w:val="auto"/>
        </w:rPr>
        <w:t>” includes any demand, consent, authorisation, approval, instruction, waiver or other communication.</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b w:val="1"/>
          <w:bCs w:val="1"/>
          <w:color w:val="auto"/>
        </w:rPr>
        <w:t>Communication when Agent is Impaired Agent</w:t>
      </w:r>
    </w:p>
    <w:p>
      <w:pPr>
        <w:spacing w:after="0" w:line="121"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If the Facility Agent is an Impaired Agent, the parties to this Agreement may, instead of communicating with each other through the Facility Agent, communicate with each other directly and (while the Facility Agent is an Impaired Agent) all the provisions of the Finance Documents which require communications to be made or notices to be given to or by the Facility Agent shall be varied so that communications may be made and notices given to or by the relevant parties directly. This provision shall not operate after a replacement Facility Agent has been appointed.</w:t>
      </w:r>
    </w:p>
    <w:p>
      <w:pPr>
        <w:spacing w:after="0" w:line="299" w:lineRule="exact"/>
        <w:rPr>
          <w:sz w:val="20"/>
          <w:szCs w:val="20"/>
          <w:color w:val="auto"/>
        </w:rPr>
      </w:pPr>
    </w:p>
    <w:p>
      <w:pPr>
        <w:ind w:left="920" w:hanging="912"/>
        <w:spacing w:after="0"/>
        <w:tabs>
          <w:tab w:leader="none" w:pos="92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JOINT AND SEVERAL LIABILITY</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29.1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Subject to Clause 29.2, all liabilities and obligations of the Borrowers under this Agreement shall, whether expressed to be so or not, be several and, if and to the extent consistent with Clauses 29.2 and 29.3, joint.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Dropdown</w:t>
      </w:r>
    </w:p>
    <w:p>
      <w:pPr>
        <w:spacing w:after="0" w:line="135" w:lineRule="exact"/>
        <w:rPr>
          <w:sz w:val="20"/>
          <w:szCs w:val="20"/>
          <w:color w:val="auto"/>
        </w:rPr>
      </w:pPr>
    </w:p>
    <w:p>
      <w:pPr>
        <w:ind w:left="920" w:hanging="912"/>
        <w:spacing w:after="0"/>
        <w:tabs>
          <w:tab w:leader="none" w:pos="9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Notwithstanding the provisions of Clause 29.1, upon the occurrence of a Dropdown:</w:t>
      </w:r>
    </w:p>
    <w:p>
      <w:pPr>
        <w:spacing w:after="0" w:line="130" w:lineRule="exact"/>
        <w:rPr>
          <w:rFonts w:ascii="Arial" w:cs="Arial" w:eastAsia="Arial" w:hAnsi="Arial"/>
          <w:sz w:val="18"/>
          <w:szCs w:val="18"/>
          <w:color w:val="auto"/>
        </w:rPr>
      </w:pPr>
    </w:p>
    <w:p>
      <w:pPr>
        <w:ind w:left="1700" w:hanging="787"/>
        <w:spacing w:after="0" w:line="257" w:lineRule="auto"/>
        <w:tabs>
          <w:tab w:leader="none" w:pos="17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Affected Borrower to which such Dropdown relates shall automatically cease to be joint and severally liable for the obligations of any Borrower which is not an Affected Borrower, and shall become joint and severally liable for the obligations under Clause 6 (</w:t>
      </w:r>
      <w:r>
        <w:rPr>
          <w:rFonts w:ascii="Arial" w:cs="Arial" w:eastAsia="Arial" w:hAnsi="Arial"/>
          <w:sz w:val="18"/>
          <w:szCs w:val="18"/>
          <w:i w:val="1"/>
          <w:iCs w:val="1"/>
          <w:color w:val="auto"/>
        </w:rPr>
        <w:t>Repayment and Prepayment</w:t>
      </w:r>
      <w:r>
        <w:rPr>
          <w:rFonts w:ascii="Arial" w:cs="Arial" w:eastAsia="Arial" w:hAnsi="Arial"/>
          <w:sz w:val="18"/>
          <w:szCs w:val="18"/>
          <w:color w:val="auto"/>
        </w:rPr>
        <w:t>), Clause 7 (</w:t>
      </w:r>
      <w:r>
        <w:rPr>
          <w:rFonts w:ascii="Arial" w:cs="Arial" w:eastAsia="Arial" w:hAnsi="Arial"/>
          <w:sz w:val="18"/>
          <w:szCs w:val="18"/>
          <w:i w:val="1"/>
          <w:iCs w:val="1"/>
          <w:color w:val="auto"/>
        </w:rPr>
        <w:t>Default Interest</w:t>
      </w:r>
      <w:r>
        <w:rPr>
          <w:rFonts w:ascii="Arial" w:cs="Arial" w:eastAsia="Arial" w:hAnsi="Arial"/>
          <w:sz w:val="18"/>
          <w:szCs w:val="18"/>
          <w:color w:val="auto"/>
        </w:rPr>
        <w:t>), Clause 8.9 (</w:t>
      </w:r>
      <w:r>
        <w:rPr>
          <w:rFonts w:ascii="Arial" w:cs="Arial" w:eastAsia="Arial" w:hAnsi="Arial"/>
          <w:sz w:val="18"/>
          <w:szCs w:val="18"/>
          <w:i w:val="1"/>
          <w:iCs w:val="1"/>
          <w:color w:val="auto"/>
        </w:rPr>
        <w:t>Mandatory Prepayment</w:t>
      </w:r>
      <w:r>
        <w:rPr>
          <w:rFonts w:ascii="Arial" w:cs="Arial" w:eastAsia="Arial" w:hAnsi="Arial"/>
          <w:sz w:val="18"/>
          <w:szCs w:val="18"/>
          <w:color w:val="auto"/>
        </w:rPr>
        <w:t>), Clause 5 (</w:t>
      </w:r>
      <w:r>
        <w:rPr>
          <w:rFonts w:ascii="Arial" w:cs="Arial" w:eastAsia="Arial" w:hAnsi="Arial"/>
          <w:sz w:val="18"/>
          <w:szCs w:val="18"/>
          <w:i w:val="1"/>
          <w:iCs w:val="1"/>
          <w:color w:val="auto"/>
        </w:rPr>
        <w:t>Interest</w:t>
      </w:r>
      <w:r>
        <w:rPr>
          <w:rFonts w:ascii="Arial" w:cs="Arial" w:eastAsia="Arial" w:hAnsi="Arial"/>
          <w:sz w:val="18"/>
          <w:szCs w:val="18"/>
          <w:color w:val="auto"/>
        </w:rPr>
        <w:t>), Clause 21.2 (</w:t>
      </w:r>
      <w:r>
        <w:rPr>
          <w:rFonts w:ascii="Arial" w:cs="Arial" w:eastAsia="Arial" w:hAnsi="Arial"/>
          <w:sz w:val="18"/>
          <w:szCs w:val="18"/>
          <w:i w:val="1"/>
          <w:iCs w:val="1"/>
          <w:color w:val="auto"/>
        </w:rPr>
        <w:t>Break Costs</w:t>
      </w:r>
      <w:r>
        <w:rPr>
          <w:rFonts w:ascii="Arial" w:cs="Arial" w:eastAsia="Arial" w:hAnsi="Arial"/>
          <w:sz w:val="18"/>
          <w:szCs w:val="18"/>
          <w:color w:val="auto"/>
        </w:rPr>
        <w:t>) and Clause 24.1 (</w:t>
      </w:r>
      <w:r>
        <w:rPr>
          <w:rFonts w:ascii="Arial" w:cs="Arial" w:eastAsia="Arial" w:hAnsi="Arial"/>
          <w:sz w:val="18"/>
          <w:szCs w:val="18"/>
          <w:i w:val="1"/>
          <w:iCs w:val="1"/>
          <w:color w:val="auto"/>
        </w:rPr>
        <w:t>Increased costs</w:t>
      </w:r>
      <w:r>
        <w:rPr>
          <w:rFonts w:ascii="Arial" w:cs="Arial" w:eastAsia="Arial" w:hAnsi="Arial"/>
          <w:sz w:val="18"/>
          <w:szCs w:val="18"/>
          <w:color w:val="auto"/>
        </w:rPr>
        <w:t>) (together, the “</w:t>
      </w:r>
      <w:r>
        <w:rPr>
          <w:rFonts w:ascii="Arial" w:cs="Arial" w:eastAsia="Arial" w:hAnsi="Arial"/>
          <w:sz w:val="18"/>
          <w:szCs w:val="18"/>
          <w:b w:val="1"/>
          <w:bCs w:val="1"/>
          <w:color w:val="auto"/>
        </w:rPr>
        <w:t>Affected Clauses</w:t>
      </w:r>
      <w:r>
        <w:rPr>
          <w:rFonts w:ascii="Arial" w:cs="Arial" w:eastAsia="Arial" w:hAnsi="Arial"/>
          <w:sz w:val="18"/>
          <w:szCs w:val="18"/>
          <w:color w:val="auto"/>
        </w:rPr>
        <w:t>”) in relation to the Advance(s) financing the Ship(s) of the other Affected Borrower(s);</w:t>
      </w:r>
    </w:p>
    <w:p>
      <w:pPr>
        <w:spacing w:after="0" w:line="93" w:lineRule="exact"/>
        <w:rPr>
          <w:rFonts w:ascii="Arial" w:cs="Arial" w:eastAsia="Arial" w:hAnsi="Arial"/>
          <w:sz w:val="18"/>
          <w:szCs w:val="18"/>
          <w:color w:val="auto"/>
        </w:rPr>
      </w:pPr>
    </w:p>
    <w:p>
      <w:pPr>
        <w:ind w:left="1700" w:right="340" w:hanging="787"/>
        <w:spacing w:after="0" w:line="277" w:lineRule="auto"/>
        <w:tabs>
          <w:tab w:leader="none" w:pos="17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each of the Borrowers other than any Affected Borrower shall be automatically released from their obligations under the Affected Clauses in relation to the Advance(s) financing the Ship(s) of the Affected Borrower(s); and</w:t>
      </w:r>
    </w:p>
    <w:p>
      <w:pPr>
        <w:spacing w:after="0" w:line="75" w:lineRule="exact"/>
        <w:rPr>
          <w:rFonts w:ascii="Arial" w:cs="Arial" w:eastAsia="Arial" w:hAnsi="Arial"/>
          <w:sz w:val="18"/>
          <w:szCs w:val="18"/>
          <w:color w:val="auto"/>
        </w:rPr>
      </w:pPr>
    </w:p>
    <w:p>
      <w:pPr>
        <w:ind w:left="1700" w:right="420" w:hanging="787"/>
        <w:spacing w:after="0" w:line="277" w:lineRule="auto"/>
        <w:tabs>
          <w:tab w:leader="none" w:pos="17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such Affected Borrower shall be automatically released from its obligations under the Affected Clauses in relation to each of the Advance(s) which are not financing the Ship(s) of the Affected Borrower(s).</w:t>
      </w:r>
    </w:p>
    <w:p>
      <w:pPr>
        <w:spacing w:after="0" w:line="71" w:lineRule="exact"/>
        <w:rPr>
          <w:rFonts w:ascii="Arial" w:cs="Arial" w:eastAsia="Arial" w:hAnsi="Arial"/>
          <w:sz w:val="18"/>
          <w:szCs w:val="18"/>
          <w:color w:val="auto"/>
        </w:rPr>
      </w:pPr>
    </w:p>
    <w:p>
      <w:pPr>
        <w:ind w:left="920" w:right="20" w:hanging="912"/>
        <w:spacing w:after="0" w:line="274" w:lineRule="auto"/>
        <w:tabs>
          <w:tab w:leader="none" w:pos="9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Where this Agreement provides for any payment other than under the Affected Clauses (any such payment being an “</w:t>
      </w:r>
      <w:r>
        <w:rPr>
          <w:rFonts w:ascii="Arial" w:cs="Arial" w:eastAsia="Arial" w:hAnsi="Arial"/>
          <w:sz w:val="17"/>
          <w:szCs w:val="17"/>
          <w:b w:val="1"/>
          <w:bCs w:val="1"/>
          <w:color w:val="auto"/>
        </w:rPr>
        <w:t>Unscheduled Amount</w:t>
      </w:r>
      <w:r>
        <w:rPr>
          <w:rFonts w:ascii="Arial" w:cs="Arial" w:eastAsia="Arial" w:hAnsi="Arial"/>
          <w:sz w:val="17"/>
          <w:szCs w:val="17"/>
          <w:color w:val="auto"/>
        </w:rPr>
        <w:t>”) and save as contemplated in Clause 21.1 (</w:t>
      </w:r>
      <w:r>
        <w:rPr>
          <w:rFonts w:ascii="Arial" w:cs="Arial" w:eastAsia="Arial" w:hAnsi="Arial"/>
          <w:sz w:val="17"/>
          <w:szCs w:val="17"/>
          <w:i w:val="1"/>
          <w:iCs w:val="1"/>
          <w:color w:val="auto"/>
        </w:rPr>
        <w:t>Indemnities regarding borrowing and repayment of Loan</w:t>
      </w:r>
      <w:r>
        <w:rPr>
          <w:rFonts w:ascii="Arial" w:cs="Arial" w:eastAsia="Arial" w:hAnsi="Arial"/>
          <w:sz w:val="17"/>
          <w:szCs w:val="17"/>
          <w:color w:val="auto"/>
        </w:rPr>
        <w:t>) and Clause 22.2 (</w:t>
      </w:r>
      <w:r>
        <w:rPr>
          <w:rFonts w:ascii="Arial" w:cs="Arial" w:eastAsia="Arial" w:hAnsi="Arial"/>
          <w:sz w:val="17"/>
          <w:szCs w:val="17"/>
          <w:i w:val="1"/>
          <w:iCs w:val="1"/>
          <w:color w:val="auto"/>
        </w:rPr>
        <w:t>Grossing-up for taxes</w:t>
      </w:r>
      <w:r>
        <w:rPr>
          <w:rFonts w:ascii="Arial" w:cs="Arial" w:eastAsia="Arial" w:hAnsi="Arial"/>
          <w:sz w:val="17"/>
          <w:szCs w:val="17"/>
          <w:color w:val="auto"/>
        </w:rPr>
        <w:t xml:space="preserve">), the Affected Borrower(s) shall be joint and severally liable for a </w:t>
      </w:r>
      <w:r>
        <w:rPr>
          <w:rFonts w:ascii="Arial" w:cs="Arial" w:eastAsia="Arial" w:hAnsi="Arial"/>
          <w:sz w:val="17"/>
          <w:szCs w:val="17"/>
          <w:i w:val="1"/>
          <w:iCs w:val="1"/>
          <w:color w:val="auto"/>
        </w:rPr>
        <w:t>pro-rata</w:t>
      </w:r>
      <w:r>
        <w:rPr>
          <w:rFonts w:ascii="Arial" w:cs="Arial" w:eastAsia="Arial" w:hAnsi="Arial"/>
          <w:sz w:val="17"/>
          <w:szCs w:val="17"/>
          <w:color w:val="auto"/>
        </w:rPr>
        <w:t xml:space="preserve"> share of such Unscheduled Amount corresponding to the Relevant Proportion. For the purposes of claiming any such Unscheduled Amount, a demand made upon the Borrowers for the full amount of the Unscheduled Amount shall be deemed to be a demand served on each Borrower (including on any Affected Borrower in the Relevant Proportion of such Unscheduled Amount) for the amount of such Unscheduled Amount for which each such Borrower is liable.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270" w:right="279" w:bottom="1440" w:gutter="0" w:footer="0" w:header="0"/>
        </w:sectPr>
      </w:pPr>
    </w:p>
    <w:bookmarkStart w:id="285" w:name="page286"/>
    <w:bookmarkEnd w:id="285"/>
    <w:p>
      <w:pPr>
        <w:ind w:left="920" w:hanging="912"/>
        <w:spacing w:after="0"/>
        <w:tabs>
          <w:tab w:leader="none" w:pos="9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Clause shall not relieve the Borrowers or any other Security Parties from:</w:t>
      </w:r>
    </w:p>
    <w:p>
      <w:pPr>
        <w:spacing w:after="0" w:line="130" w:lineRule="exact"/>
        <w:rPr>
          <w:rFonts w:ascii="Arial" w:cs="Arial" w:eastAsia="Arial" w:hAnsi="Arial"/>
          <w:sz w:val="18"/>
          <w:szCs w:val="18"/>
          <w:color w:val="auto"/>
        </w:rPr>
      </w:pPr>
    </w:p>
    <w:p>
      <w:pPr>
        <w:ind w:left="1700" w:right="360" w:hanging="787"/>
        <w:spacing w:after="0" w:line="277" w:lineRule="auto"/>
        <w:tabs>
          <w:tab w:leader="none" w:pos="170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the consequences of the Borrowers (or any of them) failing to meet their respective obligations under the Affected Clauses at any time; or</w:t>
      </w:r>
    </w:p>
    <w:p>
      <w:pPr>
        <w:spacing w:after="0" w:line="75" w:lineRule="exact"/>
        <w:rPr>
          <w:rFonts w:ascii="Arial" w:cs="Arial" w:eastAsia="Arial" w:hAnsi="Arial"/>
          <w:sz w:val="18"/>
          <w:szCs w:val="18"/>
          <w:color w:val="auto"/>
        </w:rPr>
      </w:pPr>
    </w:p>
    <w:p>
      <w:pPr>
        <w:ind w:left="1700" w:right="260" w:hanging="787"/>
        <w:spacing w:after="0" w:line="277" w:lineRule="auto"/>
        <w:tabs>
          <w:tab w:leader="none" w:pos="170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any claim or demand made by any Creditor Party on an Affected Borrower (or any other Security Party in relation to such claim or demand) prior to the Dropdown relating to such Affected Borrower.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No impairment of Borrower’s obligations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liabilities and obligations of a Borrower shall not be impaired by:</w:t>
      </w:r>
    </w:p>
    <w:p>
      <w:pPr>
        <w:spacing w:after="0" w:line="131" w:lineRule="exact"/>
        <w:rPr>
          <w:sz w:val="20"/>
          <w:szCs w:val="20"/>
          <w:color w:val="auto"/>
        </w:rPr>
      </w:pPr>
    </w:p>
    <w:p>
      <w:pPr>
        <w:ind w:left="920" w:hanging="912"/>
        <w:spacing w:after="0"/>
        <w:tabs>
          <w:tab w:leader="none" w:pos="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this Agreement being or later becoming void, unenforceable or illegal as regards any other Borrower;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Lender entering into any rescheduling, refinancing or other arrangement of any kind with any other Borrower;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Lender releasing any other Borrower or any Security Interest created by a Finance Document;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Principal debtors</w:t>
      </w:r>
    </w:p>
    <w:p>
      <w:pPr>
        <w:spacing w:after="0" w:line="121" w:lineRule="exact"/>
        <w:rPr>
          <w:sz w:val="20"/>
          <w:szCs w:val="20"/>
          <w:color w:val="auto"/>
        </w:rPr>
      </w:pPr>
    </w:p>
    <w:p>
      <w:pPr>
        <w:ind w:left="920" w:right="460"/>
        <w:spacing w:after="0" w:line="264" w:lineRule="auto"/>
        <w:rPr>
          <w:sz w:val="20"/>
          <w:szCs w:val="20"/>
          <w:color w:val="auto"/>
        </w:rPr>
      </w:pPr>
      <w:r>
        <w:rPr>
          <w:rFonts w:ascii="Arial" w:cs="Arial" w:eastAsia="Arial" w:hAnsi="Arial"/>
          <w:sz w:val="18"/>
          <w:szCs w:val="18"/>
          <w:color w:val="auto"/>
        </w:rPr>
        <w:t>Subject to Clause 29.2, each Borrower declares that it is and will, throughout the Security Period, remain a principal debtor for all amounts owing under this Agreement and the Finance Documents and no Borrower shall in any circumstances be construed to be a surety for the obligations of any other Borrower under this Agreement.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Subordination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 29.6, during the Security Period, no Borrower shall:</w:t>
      </w:r>
    </w:p>
    <w:p>
      <w:pPr>
        <w:spacing w:after="0" w:line="131" w:lineRule="exact"/>
        <w:rPr>
          <w:sz w:val="20"/>
          <w:szCs w:val="20"/>
          <w:color w:val="auto"/>
        </w:rPr>
      </w:pPr>
    </w:p>
    <w:p>
      <w:pPr>
        <w:ind w:left="920" w:right="760" w:hanging="912"/>
        <w:spacing w:after="0" w:line="308" w:lineRule="auto"/>
        <w:tabs>
          <w:tab w:leader="none" w:pos="9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claim any amount which may be due to it from any other Borrower whether in respect of a payment made, or matter arising out of, this Agreement or any Finance Document, or any matter unconnected with this Agreement or any Finance Document; or</w:t>
      </w:r>
    </w:p>
    <w:p>
      <w:pPr>
        <w:spacing w:after="0" w:line="51" w:lineRule="exact"/>
        <w:rPr>
          <w:rFonts w:ascii="Arial" w:cs="Arial" w:eastAsia="Arial" w:hAnsi="Arial"/>
          <w:sz w:val="17"/>
          <w:szCs w:val="17"/>
          <w:color w:val="auto"/>
        </w:rPr>
      </w:pPr>
    </w:p>
    <w:p>
      <w:pPr>
        <w:ind w:left="920" w:hanging="912"/>
        <w:spacing w:after="0" w:line="277" w:lineRule="auto"/>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take or enforce any form of security from any other Borrower for such an amount, or in any other way seek to have recourse in respect of such an amount against any asset of any other Borrower;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set off such an amount against any sum due from it to any other Borrower; or</w:t>
      </w:r>
    </w:p>
    <w:p>
      <w:pPr>
        <w:spacing w:after="0" w:line="130" w:lineRule="exact"/>
        <w:rPr>
          <w:rFonts w:ascii="Arial" w:cs="Arial" w:eastAsia="Arial" w:hAnsi="Arial"/>
          <w:sz w:val="18"/>
          <w:szCs w:val="18"/>
          <w:color w:val="auto"/>
        </w:rPr>
      </w:pPr>
    </w:p>
    <w:p>
      <w:pPr>
        <w:ind w:left="920" w:right="240" w:hanging="912"/>
        <w:spacing w:after="0" w:line="277" w:lineRule="auto"/>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prove or claim for such an amount in any liquidation, administration, arrangement or similar procedure involving any other Borrower or other Security Party;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exercise or assert any combination of the foregoing.</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6"/>
          <w:szCs w:val="16"/>
          <w:b w:val="1"/>
          <w:bCs w:val="1"/>
          <w:color w:val="auto"/>
        </w:rPr>
        <w:t>Borrower’s required action</w:t>
      </w:r>
    </w:p>
    <w:p>
      <w:pPr>
        <w:spacing w:after="0" w:line="121" w:lineRule="exact"/>
        <w:rPr>
          <w:sz w:val="20"/>
          <w:szCs w:val="20"/>
          <w:color w:val="auto"/>
        </w:rPr>
      </w:pPr>
    </w:p>
    <w:p>
      <w:pPr>
        <w:jc w:val="both"/>
        <w:ind w:left="920" w:right="380"/>
        <w:spacing w:after="0" w:line="264" w:lineRule="auto"/>
        <w:rPr>
          <w:sz w:val="20"/>
          <w:szCs w:val="20"/>
          <w:color w:val="auto"/>
        </w:rPr>
      </w:pPr>
      <w:r>
        <w:rPr>
          <w:rFonts w:ascii="Arial" w:cs="Arial" w:eastAsia="Arial" w:hAnsi="Arial"/>
          <w:sz w:val="18"/>
          <w:szCs w:val="18"/>
          <w:color w:val="auto"/>
        </w:rPr>
        <w:t>If during the Security Period, the Facility Agent, by notice to a Borrower, requires it to take any action referred to in paragraphs (a) to (d) of Clause 29.5, in relation to the other Borrower, that Borrower shall take that action as soon as practicable after receiving the Facility Agent’s notice.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74" w:right="279" w:bottom="1440" w:gutter="0" w:footer="0" w:header="0"/>
        </w:sectPr>
      </w:pPr>
    </w:p>
    <w:bookmarkStart w:id="286" w:name="page287"/>
    <w:bookmarkEnd w:id="286"/>
    <w:p>
      <w:pPr>
        <w:ind w:left="920" w:hanging="912"/>
        <w:spacing w:after="0"/>
        <w:tabs>
          <w:tab w:leader="none" w:pos="92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30.1</w:t>
      </w:r>
      <w:r>
        <w:rPr>
          <w:rFonts w:ascii="Arial" w:cs="Arial" w:eastAsia="Arial" w:hAnsi="Arial"/>
          <w:sz w:val="16"/>
          <w:szCs w:val="16"/>
          <w:b w:val="1"/>
          <w:bCs w:val="1"/>
          <w:color w:val="auto"/>
        </w:rPr>
        <w:t>Confidential Information</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Each Creditor Party agrees to keep all Confidential Information confidential and not to disclose it to anyone, save to the extent permitted by Clauses 31.2 and 31.3 and to ensure that all Confidential Information is protected with security measures and a degree of care that would apply to its own confidential information.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Disclosure of Confidential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Creditor Party may disclose:</w:t>
      </w:r>
    </w:p>
    <w:p>
      <w:pPr>
        <w:spacing w:after="0" w:line="131" w:lineRule="exact"/>
        <w:rPr>
          <w:sz w:val="20"/>
          <w:szCs w:val="20"/>
          <w:color w:val="auto"/>
        </w:rPr>
      </w:pPr>
    </w:p>
    <w:p>
      <w:pPr>
        <w:ind w:left="920" w:right="60" w:hanging="912"/>
        <w:spacing w:after="0" w:line="255" w:lineRule="auto"/>
        <w:tabs>
          <w:tab w:leader="none" w:pos="9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partners and Representatives such Confidential Information as that Creditor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98" w:lineRule="exact"/>
        <w:rPr>
          <w:rFonts w:ascii="Arial" w:cs="Arial" w:eastAsia="Arial" w:hAnsi="Arial"/>
          <w:sz w:val="18"/>
          <w:szCs w:val="18"/>
          <w:color w:val="auto"/>
        </w:rPr>
      </w:pPr>
    </w:p>
    <w:p>
      <w:pPr>
        <w:ind w:left="920" w:hanging="912"/>
        <w:spacing w:after="0"/>
        <w:tabs>
          <w:tab w:leader="none" w:pos="9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130" w:lineRule="exact"/>
        <w:rPr>
          <w:rFonts w:ascii="Arial" w:cs="Arial" w:eastAsia="Arial" w:hAnsi="Arial"/>
          <w:sz w:val="18"/>
          <w:szCs w:val="18"/>
          <w:color w:val="auto"/>
        </w:rPr>
      </w:pPr>
    </w:p>
    <w:p>
      <w:pPr>
        <w:ind w:left="1700" w:right="120" w:hanging="787"/>
        <w:spacing w:after="0" w:line="264" w:lineRule="auto"/>
        <w:tabs>
          <w:tab w:leader="none" w:pos="17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Facility Agent and, in each case, to any of that person’s affiliates, Related Funds, Representatives and professional advisers;</w:t>
      </w:r>
    </w:p>
    <w:p>
      <w:pPr>
        <w:spacing w:after="0" w:line="86" w:lineRule="exact"/>
        <w:rPr>
          <w:rFonts w:ascii="Arial" w:cs="Arial" w:eastAsia="Arial" w:hAnsi="Arial"/>
          <w:sz w:val="18"/>
          <w:szCs w:val="18"/>
          <w:color w:val="auto"/>
        </w:rPr>
      </w:pPr>
    </w:p>
    <w:p>
      <w:pPr>
        <w:ind w:left="1700" w:hanging="787"/>
        <w:spacing w:after="0" w:line="259" w:lineRule="auto"/>
        <w:tabs>
          <w:tab w:leader="none" w:pos="17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Borrowers and/or any Security Party and to any of that person’s affiliates, Related Funds, Representatives and professional advisers;</w:t>
      </w:r>
    </w:p>
    <w:p>
      <w:pPr>
        <w:spacing w:after="0" w:line="92" w:lineRule="exact"/>
        <w:rPr>
          <w:rFonts w:ascii="Arial" w:cs="Arial" w:eastAsia="Arial" w:hAnsi="Arial"/>
          <w:sz w:val="18"/>
          <w:szCs w:val="18"/>
          <w:color w:val="auto"/>
        </w:rPr>
      </w:pPr>
    </w:p>
    <w:p>
      <w:pPr>
        <w:ind w:left="1700" w:right="340" w:hanging="787"/>
        <w:spacing w:after="0" w:line="277" w:lineRule="auto"/>
        <w:tabs>
          <w:tab w:leader="none" w:pos="17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appointed by any Creditor Party or by a person to whom paragraph (b)(i) or (ii) above applies to receive communications, notices, information or documents delivered pursuant to the Finance Documents on its behalf;</w:t>
      </w:r>
    </w:p>
    <w:p>
      <w:pPr>
        <w:spacing w:after="0" w:line="75" w:lineRule="exact"/>
        <w:rPr>
          <w:rFonts w:ascii="Arial" w:cs="Arial" w:eastAsia="Arial" w:hAnsi="Arial"/>
          <w:sz w:val="18"/>
          <w:szCs w:val="18"/>
          <w:color w:val="auto"/>
        </w:rPr>
      </w:pPr>
    </w:p>
    <w:p>
      <w:pPr>
        <w:ind w:left="1700" w:right="80" w:hanging="787"/>
        <w:spacing w:after="0" w:line="277" w:lineRule="auto"/>
        <w:tabs>
          <w:tab w:leader="none" w:pos="17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75" w:lineRule="exact"/>
        <w:rPr>
          <w:rFonts w:ascii="Arial" w:cs="Arial" w:eastAsia="Arial" w:hAnsi="Arial"/>
          <w:sz w:val="18"/>
          <w:szCs w:val="18"/>
          <w:color w:val="auto"/>
        </w:rPr>
      </w:pPr>
    </w:p>
    <w:p>
      <w:pPr>
        <w:jc w:val="both"/>
        <w:ind w:left="1700" w:right="280" w:hanging="787"/>
        <w:spacing w:after="0" w:line="264" w:lineRule="auto"/>
        <w:tabs>
          <w:tab w:leader="none" w:pos="17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6" w:lineRule="exact"/>
        <w:rPr>
          <w:rFonts w:ascii="Arial" w:cs="Arial" w:eastAsia="Arial" w:hAnsi="Arial"/>
          <w:sz w:val="18"/>
          <w:szCs w:val="18"/>
          <w:color w:val="auto"/>
        </w:rPr>
      </w:pPr>
    </w:p>
    <w:p>
      <w:pPr>
        <w:ind w:left="1700" w:right="120" w:hanging="787"/>
        <w:spacing w:after="0" w:line="277" w:lineRule="auto"/>
        <w:tabs>
          <w:tab w:leader="none" w:pos="17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0" w:right="239" w:bottom="1440" w:gutter="0" w:footer="0" w:header="0"/>
        </w:sectPr>
      </w:pPr>
    </w:p>
    <w:bookmarkStart w:id="287" w:name="page288"/>
    <w:bookmarkEnd w:id="287"/>
    <w:p>
      <w:pPr>
        <w:ind w:left="1700" w:right="180" w:hanging="787"/>
        <w:spacing w:after="0" w:line="277" w:lineRule="auto"/>
        <w:tabs>
          <w:tab w:leader="none" w:pos="17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whom or for whose benefit that Creditor Party charges, assigns or otherwise creates a Security Interest (or may do so) pursuant to Clause 26.17;</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who is a party to a Finance Document, a member of a Group, or any related entity of the Borrowers or any Security Party; or</w:t>
      </w:r>
    </w:p>
    <w:p>
      <w:pPr>
        <w:spacing w:after="0" w:line="142" w:lineRule="exact"/>
        <w:rPr>
          <w:rFonts w:ascii="Arial" w:cs="Arial" w:eastAsia="Arial" w:hAnsi="Arial"/>
          <w:sz w:val="17"/>
          <w:szCs w:val="17"/>
          <w:color w:val="auto"/>
        </w:rPr>
      </w:pPr>
    </w:p>
    <w:p>
      <w:pPr>
        <w:ind w:left="1700" w:hanging="787"/>
        <w:spacing w:after="0"/>
        <w:tabs>
          <w:tab w:leader="none" w:pos="17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with the consent of the Borrowers;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each case, such Confidential Information as that Creditor Party shall consider appropriate if:</w:t>
      </w:r>
    </w:p>
    <w:p>
      <w:pPr>
        <w:spacing w:after="0" w:line="131" w:lineRule="exact"/>
        <w:rPr>
          <w:sz w:val="20"/>
          <w:szCs w:val="20"/>
          <w:color w:val="auto"/>
        </w:rPr>
      </w:pPr>
    </w:p>
    <w:p>
      <w:pPr>
        <w:ind w:left="2380" w:hanging="670"/>
        <w:spacing w:after="0" w:line="259" w:lineRule="auto"/>
        <w:tabs>
          <w:tab w:leader="none" w:pos="23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92" w:lineRule="exact"/>
        <w:rPr>
          <w:rFonts w:ascii="Arial" w:cs="Arial" w:eastAsia="Arial" w:hAnsi="Arial"/>
          <w:sz w:val="18"/>
          <w:szCs w:val="18"/>
          <w:color w:val="auto"/>
        </w:rPr>
      </w:pPr>
    </w:p>
    <w:p>
      <w:pPr>
        <w:ind w:left="2380" w:right="400" w:hanging="670"/>
        <w:spacing w:after="0" w:line="259" w:lineRule="auto"/>
        <w:tabs>
          <w:tab w:leader="none" w:pos="23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or</w:t>
      </w:r>
    </w:p>
    <w:p>
      <w:pPr>
        <w:spacing w:after="0" w:line="92" w:lineRule="exact"/>
        <w:rPr>
          <w:rFonts w:ascii="Arial" w:cs="Arial" w:eastAsia="Arial" w:hAnsi="Arial"/>
          <w:sz w:val="18"/>
          <w:szCs w:val="18"/>
          <w:color w:val="auto"/>
        </w:rPr>
      </w:pPr>
    </w:p>
    <w:p>
      <w:pPr>
        <w:jc w:val="both"/>
        <w:ind w:left="2380" w:right="80" w:hanging="670"/>
        <w:spacing w:after="0" w:line="259" w:lineRule="auto"/>
        <w:tabs>
          <w:tab w:leader="none" w:pos="23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Creditor Party, it is not practicable so to do in the circumstances;</w:t>
      </w:r>
    </w:p>
    <w:p>
      <w:pPr>
        <w:spacing w:after="0" w:line="92" w:lineRule="exact"/>
        <w:rPr>
          <w:rFonts w:ascii="Arial" w:cs="Arial" w:eastAsia="Arial" w:hAnsi="Arial"/>
          <w:sz w:val="18"/>
          <w:szCs w:val="18"/>
          <w:color w:val="auto"/>
        </w:rPr>
      </w:pPr>
    </w:p>
    <w:p>
      <w:pPr>
        <w:ind w:left="920" w:right="40" w:hanging="912"/>
        <w:spacing w:after="0" w:line="293" w:lineRule="auto"/>
        <w:tabs>
          <w:tab w:leader="none" w:pos="92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to any person appointed by that Creditor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Borrowers and the relevant Creditor Party; and</w:t>
      </w:r>
    </w:p>
    <w:p>
      <w:pPr>
        <w:spacing w:after="0" w:line="70" w:lineRule="exact"/>
        <w:rPr>
          <w:rFonts w:ascii="Arial" w:cs="Arial" w:eastAsia="Arial" w:hAnsi="Arial"/>
          <w:sz w:val="16"/>
          <w:szCs w:val="16"/>
          <w:color w:val="auto"/>
        </w:rPr>
      </w:pPr>
    </w:p>
    <w:p>
      <w:pPr>
        <w:ind w:left="920" w:right="120" w:hanging="912"/>
        <w:spacing w:after="0" w:line="342" w:lineRule="auto"/>
        <w:tabs>
          <w:tab w:leader="none" w:pos="92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to any rating agency (including its professional advisers) such Confidential Information as may be required to be disclosed to enable such rating agency to carry out its normal rating activities in relation to the Finance Documents and/or the Borrowers and/or the Security Parties.</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color w:val="auto"/>
        </w:rPr>
        <w:t>Disclosure to numbering service providers</w:t>
      </w:r>
    </w:p>
    <w:p>
      <w:pPr>
        <w:spacing w:after="0" w:line="135" w:lineRule="exact"/>
        <w:rPr>
          <w:sz w:val="20"/>
          <w:szCs w:val="20"/>
          <w:color w:val="auto"/>
        </w:rPr>
      </w:pPr>
    </w:p>
    <w:p>
      <w:pPr>
        <w:jc w:val="both"/>
        <w:ind w:left="920" w:right="680" w:hanging="912"/>
        <w:spacing w:after="0" w:line="264" w:lineRule="auto"/>
        <w:tabs>
          <w:tab w:leader="none" w:pos="9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Creditor Party may disclose to any national or international numbering service provider appointed by that Creditor Party to provide identification numbering services in respect of this Agreement, the Loan and/or the Borrowers and/or the Security Parties the following information:</w:t>
      </w:r>
    </w:p>
    <w:p>
      <w:pPr>
        <w:spacing w:after="0" w:line="86" w:lineRule="exact"/>
        <w:rPr>
          <w:rFonts w:ascii="Arial" w:cs="Arial" w:eastAsia="Arial" w:hAnsi="Arial"/>
          <w:sz w:val="18"/>
          <w:szCs w:val="18"/>
          <w:color w:val="auto"/>
        </w:rPr>
      </w:pPr>
    </w:p>
    <w:p>
      <w:pPr>
        <w:ind w:left="1700" w:hanging="787"/>
        <w:spacing w:after="0"/>
        <w:tabs>
          <w:tab w:leader="none" w:pos="17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names of the Borrowers and the Security Parties;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country of domicile of the Borrowers and the Security Parties;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288" w:name="page289"/>
    <w:bookmarkEnd w:id="288"/>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place of incorporation of the Borrowers and the Security Parties;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name of the Facility Agent;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amount of the Loan;</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currency of the Loan;</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final Repayment Date;</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such other information agreed between such Creditor Party and the Borrowers,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31" w:lineRule="exact"/>
        <w:rPr>
          <w:sz w:val="20"/>
          <w:szCs w:val="20"/>
          <w:color w:val="auto"/>
        </w:rPr>
      </w:pPr>
    </w:p>
    <w:p>
      <w:pPr>
        <w:ind w:left="920" w:hanging="912"/>
        <w:spacing w:after="0" w:line="264" w:lineRule="auto"/>
        <w:tabs>
          <w:tab w:leader="none" w:pos="9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parties to this Agreement acknowledge and agree that each identification number assigned to this Agreement, the Loan and/or the Borrowers and/or any Security Party by a numbering service provider and the information associated with each such number may be disclosed to users of its services in accordance with the standard terms and conditions of that numbering service provider;</w:t>
      </w:r>
    </w:p>
    <w:p>
      <w:pPr>
        <w:spacing w:after="0" w:line="86" w:lineRule="exact"/>
        <w:rPr>
          <w:rFonts w:ascii="Arial" w:cs="Arial" w:eastAsia="Arial" w:hAnsi="Arial"/>
          <w:sz w:val="18"/>
          <w:szCs w:val="18"/>
          <w:color w:val="auto"/>
        </w:rPr>
      </w:pPr>
    </w:p>
    <w:p>
      <w:pPr>
        <w:ind w:left="920" w:right="200" w:hanging="912"/>
        <w:spacing w:after="0" w:line="277" w:lineRule="auto"/>
        <w:tabs>
          <w:tab w:leader="none" w:pos="9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Borrowers represent that none of the information set out in paragraphs (a)(i) to (a)(xv) above is, nor will at any time be, unpublished price-sensitive information;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Facility Agent shall notify the Borrowers and the other Creditor Parties of:</w:t>
      </w:r>
    </w:p>
    <w:p>
      <w:pPr>
        <w:spacing w:after="0" w:line="130" w:lineRule="exact"/>
        <w:rPr>
          <w:rFonts w:ascii="Arial" w:cs="Arial" w:eastAsia="Arial" w:hAnsi="Arial"/>
          <w:sz w:val="18"/>
          <w:szCs w:val="18"/>
          <w:color w:val="auto"/>
        </w:rPr>
      </w:pPr>
    </w:p>
    <w:p>
      <w:pPr>
        <w:ind w:left="1700" w:right="360" w:hanging="787"/>
        <w:spacing w:after="0" w:line="277" w:lineRule="auto"/>
        <w:tabs>
          <w:tab w:leader="none" w:pos="170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Loan and/or the Borrowers and/or the Security Parties; and</w:t>
      </w:r>
    </w:p>
    <w:p>
      <w:pPr>
        <w:spacing w:after="0" w:line="75" w:lineRule="exact"/>
        <w:rPr>
          <w:rFonts w:ascii="Arial" w:cs="Arial" w:eastAsia="Arial" w:hAnsi="Arial"/>
          <w:sz w:val="18"/>
          <w:szCs w:val="18"/>
          <w:color w:val="auto"/>
        </w:rPr>
      </w:pPr>
    </w:p>
    <w:p>
      <w:pPr>
        <w:ind w:left="1700" w:right="60" w:hanging="787"/>
        <w:spacing w:after="0" w:line="277" w:lineRule="auto"/>
        <w:tabs>
          <w:tab w:leader="none" w:pos="170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Loan and/or the Borrowers and/or the Security Parties by such numbering service provider.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This Clause 30 constitutes the entire agreement between the parties to this Agreement in relation to the obligations of the Creditor Parties under the Finance Documents regarding Confidential Information and supersedes any previous agreement, whether express or implied, regarding Confidential Information.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74" w:right="279" w:bottom="1440" w:gutter="0" w:footer="0" w:header="0"/>
        </w:sectPr>
      </w:pPr>
    </w:p>
    <w:bookmarkStart w:id="289" w:name="page290"/>
    <w:bookmarkEnd w:id="28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30.5</w:t>
      </w:r>
      <w:r>
        <w:rPr>
          <w:sz w:val="20"/>
          <w:szCs w:val="20"/>
          <w:color w:val="auto"/>
        </w:rPr>
        <w:tab/>
      </w:r>
      <w:r>
        <w:rPr>
          <w:rFonts w:ascii="Arial" w:cs="Arial" w:eastAsia="Arial" w:hAnsi="Arial"/>
          <w:sz w:val="16"/>
          <w:szCs w:val="16"/>
          <w:b w:val="1"/>
          <w:bCs w:val="1"/>
          <w:color w:val="auto"/>
        </w:rPr>
        <w:t>Inside information</w:t>
      </w:r>
    </w:p>
    <w:p>
      <w:pPr>
        <w:spacing w:after="0" w:line="121" w:lineRule="exact"/>
        <w:rPr>
          <w:sz w:val="20"/>
          <w:szCs w:val="20"/>
          <w:color w:val="auto"/>
        </w:rPr>
      </w:pPr>
    </w:p>
    <w:p>
      <w:pPr>
        <w:jc w:val="both"/>
        <w:ind w:left="920" w:right="40"/>
        <w:spacing w:after="0" w:line="286" w:lineRule="auto"/>
        <w:rPr>
          <w:sz w:val="20"/>
          <w:szCs w:val="20"/>
          <w:color w:val="auto"/>
        </w:rPr>
      </w:pPr>
      <w:r>
        <w:rPr>
          <w:rFonts w:ascii="Arial" w:cs="Arial" w:eastAsia="Arial" w:hAnsi="Arial"/>
          <w:sz w:val="17"/>
          <w:szCs w:val="17"/>
          <w:color w:val="auto"/>
        </w:rPr>
        <w:t>Each of the Creditor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Creditor Parties undertakes not to use any Confidential Information for any unlawful purpose.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5"/>
          <w:szCs w:val="15"/>
          <w:b w:val="1"/>
          <w:bCs w:val="1"/>
          <w:color w:val="auto"/>
        </w:rPr>
        <w:t>Notification of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the Creditor Parties agrees (to the extent permitted by law and regulation) to inform the Borrowers:</w:t>
      </w:r>
    </w:p>
    <w:p>
      <w:pPr>
        <w:spacing w:after="0" w:line="131" w:lineRule="exact"/>
        <w:rPr>
          <w:sz w:val="20"/>
          <w:szCs w:val="20"/>
          <w:color w:val="auto"/>
        </w:rPr>
      </w:pPr>
    </w:p>
    <w:p>
      <w:pPr>
        <w:ind w:left="920" w:right="220" w:hanging="912"/>
        <w:spacing w:after="0" w:line="342" w:lineRule="auto"/>
        <w:tabs>
          <w:tab w:leader="none" w:pos="92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of the circumstances of any disclosure of Confidential Information made pursuant to paragraph (b)(v) of Clause 30.2 except where such disclosure is made to any of the persons referred to in that paragraph during the ordinary course of its supervisory or regulatory function; and</w:t>
      </w:r>
    </w:p>
    <w:p>
      <w:pPr>
        <w:spacing w:after="0" w:line="29" w:lineRule="exact"/>
        <w:rPr>
          <w:rFonts w:ascii="Arial" w:cs="Arial" w:eastAsia="Arial" w:hAnsi="Arial"/>
          <w:sz w:val="16"/>
          <w:szCs w:val="16"/>
          <w:color w:val="auto"/>
        </w:rPr>
      </w:pPr>
    </w:p>
    <w:p>
      <w:pPr>
        <w:ind w:left="920" w:hanging="912"/>
        <w:spacing w:after="0"/>
        <w:tabs>
          <w:tab w:leader="none" w:pos="9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30.</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5"/>
          <w:szCs w:val="15"/>
          <w:b w:val="1"/>
          <w:bCs w:val="1"/>
          <w:color w:val="auto"/>
        </w:rPr>
        <w:t>Continuing obligations</w:t>
      </w:r>
    </w:p>
    <w:p>
      <w:pPr>
        <w:spacing w:after="0" w:line="121"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The obligations in this Clause 30 are continuing and, in particular, shall survive and remain binding on each Creditor Party for a period of 12 months from the earlier of:</w:t>
      </w:r>
    </w:p>
    <w:p>
      <w:pPr>
        <w:spacing w:after="0" w:line="76" w:lineRule="exact"/>
        <w:rPr>
          <w:sz w:val="20"/>
          <w:szCs w:val="20"/>
          <w:color w:val="auto"/>
        </w:rPr>
      </w:pPr>
    </w:p>
    <w:p>
      <w:pPr>
        <w:ind w:left="920" w:right="80" w:hanging="912"/>
        <w:spacing w:after="0" w:line="277" w:lineRule="auto"/>
        <w:tabs>
          <w:tab w:leader="none" w:pos="9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date on which all amounts payable by the Borrowers and the Security Parties under or in connection with this Agreement have been paid in full and all Commitments have been cancelled or otherwise cease to be available;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date on which such Creditor Party otherwise ceases to be a Creditor Party.</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6"/>
          <w:szCs w:val="16"/>
          <w:b w:val="1"/>
          <w:bCs w:val="1"/>
          <w:color w:val="auto"/>
        </w:rPr>
        <w:t>Defaulting Lender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Agent:</w:t>
      </w:r>
    </w:p>
    <w:p>
      <w:pPr>
        <w:spacing w:after="0" w:line="131" w:lineRule="exact"/>
        <w:rPr>
          <w:sz w:val="20"/>
          <w:szCs w:val="20"/>
          <w:color w:val="auto"/>
        </w:rPr>
      </w:pPr>
    </w:p>
    <w:p>
      <w:pPr>
        <w:ind w:left="920" w:hanging="912"/>
        <w:spacing w:after="0"/>
        <w:tabs>
          <w:tab w:leader="none" w:pos="9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130" w:lineRule="exact"/>
        <w:rPr>
          <w:rFonts w:ascii="Arial" w:cs="Arial" w:eastAsia="Arial" w:hAnsi="Arial"/>
          <w:sz w:val="18"/>
          <w:szCs w:val="18"/>
          <w:color w:val="auto"/>
        </w:rPr>
      </w:pPr>
    </w:p>
    <w:p>
      <w:pPr>
        <w:ind w:left="920" w:right="520" w:hanging="912"/>
        <w:spacing w:after="0" w:line="440" w:lineRule="auto"/>
        <w:tabs>
          <w:tab w:leader="none" w:pos="912" w:val="left"/>
        </w:tabs>
        <w:numPr>
          <w:ilvl w:val="0"/>
          <w:numId w:val="442"/>
        </w:numPr>
        <w:rPr>
          <w:rFonts w:ascii="Arial" w:cs="Arial" w:eastAsia="Arial" w:hAnsi="Arial"/>
          <w:sz w:val="17"/>
          <w:szCs w:val="17"/>
          <w:color w:val="auto"/>
        </w:rPr>
      </w:pPr>
      <w:r>
        <w:rPr>
          <w:rFonts w:ascii="Arial" w:cs="Arial" w:eastAsia="Arial" w:hAnsi="Arial"/>
          <w:sz w:val="17"/>
          <w:szCs w:val="17"/>
          <w:color w:val="auto"/>
        </w:rPr>
        <w:t>on the written request of the Guarantor or Substitute Guarantor or the Majority Lenders shall, as soon as reasonably practicable, disclose, the identity of a Defaulting Lender to the Guarantor or Substitute Guarantor and to the other Creditor Parties.</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SUPPLEMENTAL</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Rights cumulative, non-exclusive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rights and remedies which the Finance Documents give to each Creditor Party are:</w:t>
      </w:r>
    </w:p>
    <w:p>
      <w:pPr>
        <w:spacing w:after="0" w:line="131" w:lineRule="exact"/>
        <w:rPr>
          <w:sz w:val="20"/>
          <w:szCs w:val="20"/>
          <w:color w:val="auto"/>
        </w:rPr>
      </w:pPr>
    </w:p>
    <w:p>
      <w:pPr>
        <w:ind w:left="920" w:hanging="912"/>
        <w:spacing w:after="0"/>
        <w:tabs>
          <w:tab w:leader="none" w:pos="9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cumulative;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may be exercised as often as appears expedient; and</w:t>
      </w:r>
    </w:p>
    <w:p>
      <w:pPr>
        <w:spacing w:after="0" w:line="130" w:lineRule="exact"/>
        <w:rPr>
          <w:rFonts w:ascii="Arial" w:cs="Arial" w:eastAsia="Arial" w:hAnsi="Arial"/>
          <w:sz w:val="18"/>
          <w:szCs w:val="18"/>
          <w:color w:val="auto"/>
        </w:rPr>
      </w:pPr>
    </w:p>
    <w:p>
      <w:pPr>
        <w:ind w:left="5580" w:hanging="5572"/>
        <w:spacing w:after="0" w:line="449" w:lineRule="auto"/>
        <w:tabs>
          <w:tab w:leader="none" w:pos="91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shall not, unless a Finance Document explicitly and specifically states so, be taken to exclude or limit any right or remedy conferred by any law. 100</w:t>
      </w:r>
    </w:p>
    <w:p>
      <w:pPr>
        <w:sectPr>
          <w:pgSz w:w="11900" w:h="16838" w:orient="portrait"/>
          <w:cols w:equalWidth="0" w:num="1">
            <w:col w:w="11300"/>
          </w:cols>
          <w:pgMar w:left="240" w:top="270" w:right="35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Severability of provisions</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If any provision of a Finance Document is or subsequently becomes void, unenforceable or illegal, that shall not affect the validity, enforceability</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or legality of the other provisions of that Finance Document or of the provisions of any other Finance Document.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31.3</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Third party rights</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A person who is not a party to this Agreement has no right under the Contracts (Rights of Third Parties) Act 1999 to enforce or to enjoy the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benefit of any term of this Agreement.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31.4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Benefit and binding effect</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8"/>
              </w:rPr>
              <w:t>The terms of this Agreement shall be binding upon, and shall enure to the benefit of, the parties hereto and their respective (including</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subsequent) successors and permitted assigns and transferees.</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LAW AND JURISDICTION</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English law</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This Agreement and any non-contractual obligation arising out of or in connection with it shall be governed by, and construed in accordance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with, English law.</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32.2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Exclusive English jurisdiction</w:t>
            </w:r>
          </w:p>
        </w:tc>
      </w:tr>
      <w:tr>
        <w:trPr>
          <w:trHeight w:val="324"/>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Subject to Clause 32.3, the courts of England shall have exclusive jurisdiction to settle any Dispute.</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32.3</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Choice of forum for the exclusive benefit of the Creditor Parties</w:t>
            </w:r>
          </w:p>
        </w:tc>
      </w:tr>
      <w:tr>
        <w:trPr>
          <w:trHeight w:val="324"/>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Clause 32.2 is for the exclusive benefit of the Creditor Parties, each of which reserves the right:</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right="100" w:hanging="912"/>
        <w:spacing w:after="0" w:line="277" w:lineRule="auto"/>
        <w:tabs>
          <w:tab w:leader="none" w:pos="9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to commence proceedings in relation to any Dispute in the courts of any country other than England and which have or claim jurisdiction to that Dispute; and</w:t>
      </w:r>
    </w:p>
    <w:p>
      <w:pPr>
        <w:spacing w:after="0" w:line="75" w:lineRule="exact"/>
        <w:rPr>
          <w:rFonts w:ascii="Arial" w:cs="Arial" w:eastAsia="Arial" w:hAnsi="Arial"/>
          <w:sz w:val="18"/>
          <w:szCs w:val="18"/>
          <w:color w:val="auto"/>
        </w:rPr>
      </w:pPr>
    </w:p>
    <w:p>
      <w:pPr>
        <w:ind w:left="920" w:right="460" w:hanging="912"/>
        <w:spacing w:after="0" w:line="277" w:lineRule="auto"/>
        <w:tabs>
          <w:tab w:leader="none" w:pos="9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No Borrower shall commence any proceedings in any country other than England in relation to a Dispute.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5"/>
          <w:szCs w:val="15"/>
          <w:b w:val="1"/>
          <w:bCs w:val="1"/>
          <w:color w:val="auto"/>
        </w:rPr>
        <w:t>Process agent</w:t>
      </w:r>
    </w:p>
    <w:p>
      <w:pPr>
        <w:spacing w:after="0" w:line="121"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Each Borrower irrevocably appoints Curzon Maritime Ltd. at its office for the time being, presently at 30/33 Minories Street, St. Clare House, London EC3N 1DJ, England, to act as its agent to receive and accept on its behalf any process or other document relating to any proceedings in the English courts which are connected with a Dispute.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Creditor Party rights unaffected</w:t>
      </w:r>
    </w:p>
    <w:p>
      <w:pPr>
        <w:spacing w:after="0" w:line="121" w:lineRule="exact"/>
        <w:rPr>
          <w:sz w:val="20"/>
          <w:szCs w:val="20"/>
          <w:color w:val="auto"/>
        </w:rPr>
      </w:pPr>
    </w:p>
    <w:p>
      <w:pPr>
        <w:ind w:left="920" w:right="360"/>
        <w:spacing w:after="0" w:line="264" w:lineRule="auto"/>
        <w:rPr>
          <w:sz w:val="20"/>
          <w:szCs w:val="20"/>
          <w:color w:val="auto"/>
        </w:rPr>
      </w:pPr>
      <w:r>
        <w:rPr>
          <w:rFonts w:ascii="Arial" w:cs="Arial" w:eastAsia="Arial" w:hAnsi="Arial"/>
          <w:sz w:val="18"/>
          <w:szCs w:val="18"/>
          <w:color w:val="auto"/>
        </w:rPr>
        <w:t>Nothing in this Clause 32 shall exclude or limit any right which any Creditor Party may have (whether under the law of any country, an international convention or otherwise) with regard to the bringing of proceedings, the service of process, the recognition or enforcement of a judgment or any similar or related matter in any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70" w:right="259" w:bottom="1440" w:gutter="0" w:footer="0" w:header="0"/>
        </w:sectPr>
      </w:pPr>
    </w:p>
    <w:bookmarkStart w:id="291" w:name="page292"/>
    <w:bookmarkEnd w:id="29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32.6</w:t>
      </w:r>
      <w:r>
        <w:rPr>
          <w:sz w:val="20"/>
          <w:szCs w:val="20"/>
          <w:color w:val="auto"/>
        </w:rPr>
        <w:tab/>
      </w:r>
      <w:r>
        <w:rPr>
          <w:rFonts w:ascii="Arial" w:cs="Arial" w:eastAsia="Arial" w:hAnsi="Arial"/>
          <w:sz w:val="15"/>
          <w:szCs w:val="15"/>
          <w:b w:val="1"/>
          <w:bCs w:val="1"/>
          <w:color w:val="auto"/>
        </w:rPr>
        <w:t>Meaning of “proceedings”</w:t>
      </w:r>
    </w:p>
    <w:p>
      <w:pPr>
        <w:spacing w:after="0" w:line="117" w:lineRule="exact"/>
        <w:rPr>
          <w:sz w:val="20"/>
          <w:szCs w:val="20"/>
          <w:color w:val="auto"/>
        </w:rPr>
      </w:pPr>
    </w:p>
    <w:p>
      <w:pPr>
        <w:ind w:left="920" w:right="560"/>
        <w:spacing w:after="0" w:line="289" w:lineRule="auto"/>
        <w:rPr>
          <w:sz w:val="20"/>
          <w:szCs w:val="20"/>
          <w:color w:val="auto"/>
        </w:rPr>
      </w:pPr>
      <w:r>
        <w:rPr>
          <w:rFonts w:ascii="Arial" w:cs="Arial" w:eastAsia="Arial" w:hAnsi="Arial"/>
          <w:sz w:val="17"/>
          <w:szCs w:val="17"/>
          <w:color w:val="auto"/>
        </w:rPr>
        <w:t>In this Clause 32, “</w:t>
      </w:r>
      <w:r>
        <w:rPr>
          <w:rFonts w:ascii="Arial" w:cs="Arial" w:eastAsia="Arial" w:hAnsi="Arial"/>
          <w:sz w:val="17"/>
          <w:szCs w:val="17"/>
          <w:b w:val="1"/>
          <w:bCs w:val="1"/>
          <w:color w:val="auto"/>
        </w:rPr>
        <w:t>proceedings</w:t>
      </w:r>
      <w:r>
        <w:rPr>
          <w:rFonts w:ascii="Arial" w:cs="Arial" w:eastAsia="Arial" w:hAnsi="Arial"/>
          <w:sz w:val="17"/>
          <w:szCs w:val="17"/>
          <w:color w:val="auto"/>
        </w:rPr>
        <w:t>” means proceedings of any kind, including an application for a provisional or protective measure and a “</w:t>
      </w:r>
      <w:r>
        <w:rPr>
          <w:rFonts w:ascii="Arial" w:cs="Arial" w:eastAsia="Arial" w:hAnsi="Arial"/>
          <w:sz w:val="17"/>
          <w:szCs w:val="17"/>
          <w:b w:val="1"/>
          <w:bCs w:val="1"/>
          <w:color w:val="auto"/>
        </w:rPr>
        <w:t>Dispute</w:t>
      </w:r>
      <w:r>
        <w:rPr>
          <w:rFonts w:ascii="Arial" w:cs="Arial" w:eastAsia="Arial" w:hAnsi="Arial"/>
          <w:sz w:val="17"/>
          <w:szCs w:val="17"/>
          <w:color w:val="auto"/>
        </w:rPr>
        <w:t>” means any dispute arising out of or in connection with this Agreement (including a dispute relating to the existence, validity or termination of this Agreement) or any non-contractual obligation arising out of or in connection with this Agreement.</w:t>
      </w:r>
    </w:p>
    <w:p>
      <w:pPr>
        <w:spacing w:after="0" w:line="3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BAIL-IN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Contractual recognition of bail-in</w:t>
      </w:r>
    </w:p>
    <w:p>
      <w:pPr>
        <w:spacing w:after="0" w:line="121"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Notwithstanding any other term of any Finance Document or any other agreement, arrangement or understanding between the parties to a Finance Document, each Party acknowledges and accepts that any liability of any party to a Finance Document under or in connection with the Finance Documents may be subject to Bail-In Action by the relevant Resolution Authority and acknowledges and accepts to be bound by the effect of:</w:t>
      </w:r>
    </w:p>
    <w:p>
      <w:pPr>
        <w:spacing w:after="0" w:line="92" w:lineRule="exact"/>
        <w:rPr>
          <w:sz w:val="20"/>
          <w:szCs w:val="20"/>
          <w:color w:val="auto"/>
        </w:rPr>
      </w:pPr>
    </w:p>
    <w:p>
      <w:pPr>
        <w:ind w:left="920" w:hanging="912"/>
        <w:spacing w:after="0"/>
        <w:tabs>
          <w:tab w:leader="none" w:pos="9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30" w:lineRule="exact"/>
        <w:rPr>
          <w:rFonts w:ascii="Arial" w:cs="Arial" w:eastAsia="Arial" w:hAnsi="Arial"/>
          <w:sz w:val="18"/>
          <w:szCs w:val="18"/>
          <w:color w:val="auto"/>
        </w:rPr>
      </w:pPr>
    </w:p>
    <w:p>
      <w:pPr>
        <w:ind w:left="1700" w:hanging="787"/>
        <w:spacing w:after="0" w:line="277" w:lineRule="auto"/>
        <w:tabs>
          <w:tab w:leader="none" w:pos="1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75" w:lineRule="exact"/>
        <w:rPr>
          <w:rFonts w:ascii="Arial" w:cs="Arial" w:eastAsia="Arial" w:hAnsi="Arial"/>
          <w:sz w:val="18"/>
          <w:szCs w:val="18"/>
          <w:color w:val="auto"/>
        </w:rPr>
      </w:pPr>
    </w:p>
    <w:p>
      <w:pPr>
        <w:ind w:left="1700" w:right="160" w:hanging="787"/>
        <w:spacing w:after="0" w:line="277" w:lineRule="auto"/>
        <w:tabs>
          <w:tab w:leader="none" w:pos="1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variation of any term of any Finance Document to the extent necessary to give effect to any Bail-In Action in relation to any such liability.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0" w:right="25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LENDERS AND COMMITMENTS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tcPr>
          <w:p>
            <w:pPr>
              <w:jc w:val="center"/>
              <w:ind w:left="122"/>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Commitment</w:t>
            </w:r>
          </w:p>
        </w:tc>
        <w:tc>
          <w:tcPr>
            <w:tcW w:w="118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18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185"/>
        </w:trPr>
        <w:tc>
          <w:tcPr>
            <w:tcW w:w="252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4040" w:type="dxa"/>
            <w:vAlign w:val="bottom"/>
          </w:tcPr>
          <w:p>
            <w:pPr>
              <w:ind w:left="2360"/>
              <w:spacing w:after="0"/>
              <w:rPr>
                <w:sz w:val="20"/>
                <w:szCs w:val="20"/>
                <w:color w:val="auto"/>
              </w:rPr>
            </w:pPr>
            <w:r>
              <w:rPr>
                <w:rFonts w:ascii="Arial" w:cs="Arial" w:eastAsia="Arial" w:hAnsi="Arial"/>
                <w:sz w:val="14"/>
                <w:szCs w:val="14"/>
                <w:b w:val="1"/>
                <w:bCs w:val="1"/>
                <w:color w:val="auto"/>
              </w:rPr>
              <w:t>Lending Office</w:t>
            </w:r>
          </w:p>
        </w:tc>
        <w:tc>
          <w:tcPr>
            <w:tcW w:w="184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left="1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ING Bank N.V.,</w:t>
            </w:r>
          </w:p>
        </w:tc>
        <w:tc>
          <w:tcPr>
            <w:tcW w:w="4040" w:type="dxa"/>
            <w:vAlign w:val="bottom"/>
            <w:shd w:val="clear" w:color="auto" w:fill="CCEEFF"/>
          </w:tcPr>
          <w:p>
            <w:pPr>
              <w:ind w:left="1300"/>
              <w:spacing w:after="0" w:line="201" w:lineRule="exact"/>
              <w:rPr>
                <w:sz w:val="20"/>
                <w:szCs w:val="20"/>
                <w:color w:val="auto"/>
              </w:rPr>
            </w:pPr>
            <w:r>
              <w:rPr>
                <w:rFonts w:ascii="Arial" w:cs="Arial" w:eastAsia="Arial" w:hAnsi="Arial"/>
                <w:sz w:val="18"/>
                <w:szCs w:val="18"/>
                <w:color w:val="auto"/>
              </w:rPr>
              <w:t>8-10 Moorgate</w:t>
            </w:r>
          </w:p>
        </w:tc>
        <w:tc>
          <w:tcPr>
            <w:tcW w:w="1840" w:type="dxa"/>
            <w:vAlign w:val="bottom"/>
            <w:shd w:val="clear" w:color="auto" w:fill="CCEEFF"/>
          </w:tcPr>
          <w:p>
            <w:pPr>
              <w:jc w:val="right"/>
              <w:ind w:right="159"/>
              <w:spacing w:after="0" w:line="201" w:lineRule="exact"/>
              <w:rPr>
                <w:sz w:val="20"/>
                <w:szCs w:val="20"/>
                <w:color w:val="auto"/>
              </w:rPr>
            </w:pPr>
            <w:r>
              <w:rPr>
                <w:rFonts w:ascii="Arial" w:cs="Arial" w:eastAsia="Arial" w:hAnsi="Arial"/>
                <w:sz w:val="18"/>
                <w:szCs w:val="18"/>
                <w:color w:val="auto"/>
              </w:rPr>
              <w:t>35,100,000</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London Branch</w:t>
            </w:r>
          </w:p>
        </w:tc>
        <w:tc>
          <w:tcPr>
            <w:tcW w:w="4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London EC2R</w:t>
            </w: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520" w:type="dxa"/>
            <w:vAlign w:val="bottom"/>
            <w:shd w:val="clear" w:color="auto" w:fill="CCEEFF"/>
          </w:tcPr>
          <w:p>
            <w:pPr>
              <w:spacing w:after="0"/>
              <w:rPr>
                <w:sz w:val="21"/>
                <w:szCs w:val="21"/>
                <w:color w:val="auto"/>
              </w:rPr>
            </w:pPr>
          </w:p>
        </w:tc>
        <w:tc>
          <w:tcPr>
            <w:tcW w:w="4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England</w:t>
            </w:r>
          </w:p>
        </w:tc>
        <w:tc>
          <w:tcPr>
            <w:tcW w:w="18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Crédit Agricole</w:t>
            </w:r>
          </w:p>
        </w:tc>
        <w:tc>
          <w:tcPr>
            <w:tcW w:w="4040" w:type="dxa"/>
            <w:vAlign w:val="bottom"/>
          </w:tcPr>
          <w:p>
            <w:pPr>
              <w:ind w:left="1300"/>
              <w:spacing w:after="0"/>
              <w:rPr>
                <w:sz w:val="20"/>
                <w:szCs w:val="20"/>
                <w:color w:val="auto"/>
              </w:rPr>
            </w:pPr>
            <w:r>
              <w:rPr>
                <w:rFonts w:ascii="Arial" w:cs="Arial" w:eastAsia="Arial" w:hAnsi="Arial"/>
                <w:sz w:val="18"/>
                <w:szCs w:val="18"/>
                <w:color w:val="auto"/>
              </w:rPr>
              <w:t>12, place des Etats-Unis</w:t>
            </w:r>
          </w:p>
        </w:tc>
        <w:tc>
          <w:tcPr>
            <w:tcW w:w="1840" w:type="dxa"/>
            <w:vAlign w:val="bottom"/>
          </w:tcPr>
          <w:p>
            <w:pPr>
              <w:jc w:val="right"/>
              <w:ind w:right="159"/>
              <w:spacing w:after="0"/>
              <w:rPr>
                <w:sz w:val="20"/>
                <w:szCs w:val="20"/>
                <w:color w:val="auto"/>
              </w:rPr>
            </w:pPr>
            <w:r>
              <w:rPr>
                <w:rFonts w:ascii="Arial" w:cs="Arial" w:eastAsia="Arial" w:hAnsi="Arial"/>
                <w:sz w:val="18"/>
                <w:szCs w:val="18"/>
                <w:color w:val="auto"/>
              </w:rPr>
              <w:t>35,100,000</w:t>
            </w: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Corporate and</w:t>
            </w:r>
          </w:p>
        </w:tc>
        <w:tc>
          <w:tcPr>
            <w:tcW w:w="4040" w:type="dxa"/>
            <w:vAlign w:val="bottom"/>
          </w:tcPr>
          <w:p>
            <w:pPr>
              <w:ind w:left="1300"/>
              <w:spacing w:after="0"/>
              <w:rPr>
                <w:sz w:val="20"/>
                <w:szCs w:val="20"/>
                <w:color w:val="auto"/>
              </w:rPr>
            </w:pPr>
            <w:r>
              <w:rPr>
                <w:rFonts w:ascii="Arial" w:cs="Arial" w:eastAsia="Arial" w:hAnsi="Arial"/>
                <w:sz w:val="18"/>
                <w:szCs w:val="18"/>
                <w:color w:val="auto"/>
              </w:rPr>
              <w:t>CS 70052,</w:t>
            </w: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Investment Bank</w:t>
            </w:r>
          </w:p>
        </w:tc>
        <w:tc>
          <w:tcPr>
            <w:tcW w:w="4040" w:type="dxa"/>
            <w:vAlign w:val="bottom"/>
          </w:tcPr>
          <w:p>
            <w:pPr>
              <w:ind w:left="1300"/>
              <w:spacing w:after="0"/>
              <w:rPr>
                <w:sz w:val="20"/>
                <w:szCs w:val="20"/>
                <w:color w:val="auto"/>
              </w:rPr>
            </w:pPr>
            <w:r>
              <w:rPr>
                <w:rFonts w:ascii="Arial" w:cs="Arial" w:eastAsia="Arial" w:hAnsi="Arial"/>
                <w:sz w:val="18"/>
                <w:szCs w:val="18"/>
                <w:color w:val="auto"/>
              </w:rPr>
              <w:t>92547 Montrouge Cedex</w:t>
            </w: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4040" w:type="dxa"/>
            <w:vAlign w:val="bottom"/>
          </w:tcPr>
          <w:p>
            <w:pPr>
              <w:ind w:left="1300"/>
              <w:spacing w:after="0"/>
              <w:rPr>
                <w:sz w:val="20"/>
                <w:szCs w:val="20"/>
                <w:color w:val="auto"/>
              </w:rPr>
            </w:pPr>
            <w:r>
              <w:rPr>
                <w:rFonts w:ascii="Arial" w:cs="Arial" w:eastAsia="Arial" w:hAnsi="Arial"/>
                <w:sz w:val="18"/>
                <w:szCs w:val="18"/>
                <w:color w:val="auto"/>
              </w:rPr>
              <w:t>France</w:t>
            </w: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520" w:type="dxa"/>
            <w:vAlign w:val="bottom"/>
          </w:tcPr>
          <w:p>
            <w:pPr>
              <w:spacing w:after="0"/>
              <w:rPr>
                <w:sz w:val="24"/>
                <w:szCs w:val="24"/>
                <w:color w:val="auto"/>
              </w:rPr>
            </w:pPr>
          </w:p>
        </w:tc>
        <w:tc>
          <w:tcPr>
            <w:tcW w:w="4040" w:type="dxa"/>
            <w:vAlign w:val="bottom"/>
          </w:tcPr>
          <w:p>
            <w:pPr>
              <w:ind w:left="2140"/>
              <w:spacing w:after="0"/>
              <w:rPr>
                <w:sz w:val="20"/>
                <w:szCs w:val="20"/>
                <w:color w:val="auto"/>
              </w:rPr>
            </w:pPr>
            <w:r>
              <w:rPr>
                <w:rFonts w:ascii="Arial" w:cs="Arial" w:eastAsia="Arial" w:hAnsi="Arial"/>
                <w:sz w:val="18"/>
                <w:szCs w:val="18"/>
                <w:color w:val="auto"/>
              </w:rPr>
              <w:t>103</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80"/>
          </w:cols>
          <w:pgMar w:left="1160" w:top="270" w:right="1159" w:bottom="1440" w:gutter="0" w:footer="0" w:header="0"/>
        </w:sectPr>
      </w:pPr>
    </w:p>
    <w:bookmarkStart w:id="293" w:name="page294"/>
    <w:bookmarkEnd w:id="29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DRAWDOWN NOTICE</w:t>
      </w:r>
    </w:p>
    <w:p>
      <w:pPr>
        <w:sectPr>
          <w:pgSz w:w="11900" w:h="16838" w:orient="portrait"/>
          <w:cols w:equalWidth="0" w:num="1">
            <w:col w:w="11340"/>
          </w:cols>
          <w:pgMar w:left="240" w:top="270" w:right="31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Crédit Agricole Corporate and Investment Bank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 place des Etats-Unis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 70052,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92547 Montrouge Cedex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03" w:lineRule="exact"/>
        <w:rPr>
          <w:sz w:val="20"/>
          <w:szCs w:val="20"/>
          <w:color w:val="auto"/>
        </w:rPr>
      </w:pPr>
    </w:p>
    <w:p>
      <w:pPr>
        <w:sectPr>
          <w:pgSz w:w="11900" w:h="16838" w:orient="portrait"/>
          <w:cols w:equalWidth="0" w:num="2">
            <w:col w:w="240" w:space="680"/>
            <w:col w:w="10420"/>
          </w:cols>
          <w:pgMar w:left="240" w:top="270" w:right="319" w:bottom="1440" w:gutter="0" w:footer="0" w:header="0"/>
          <w:type w:val="continuous"/>
        </w:sectPr>
      </w:pPr>
    </w:p>
    <w:p>
      <w:pPr>
        <w:spacing w:after="0"/>
        <w:rPr>
          <w:sz w:val="20"/>
          <w:szCs w:val="20"/>
          <w:color w:val="auto"/>
        </w:rPr>
      </w:pPr>
      <w:r>
        <w:rPr>
          <w:rFonts w:ascii="Arial" w:cs="Arial" w:eastAsia="Arial" w:hAnsi="Arial"/>
          <w:sz w:val="18"/>
          <w:szCs w:val="18"/>
          <w:color w:val="auto"/>
        </w:rPr>
        <w:t>Attention: [Loans Administration]</w:t>
      </w:r>
    </w:p>
    <w:p>
      <w:pPr>
        <w:spacing w:after="0" w:line="127" w:lineRule="exact"/>
        <w:rPr>
          <w:sz w:val="20"/>
          <w:szCs w:val="20"/>
          <w:color w:val="auto"/>
        </w:rPr>
      </w:pPr>
    </w:p>
    <w:p>
      <w:pPr>
        <w:ind w:left="920" w:hanging="912"/>
        <w:spacing w:after="0" w:line="261" w:lineRule="auto"/>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We refer to the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dated [●] 2017 and made between us, as Borrowers, the Lenders referred to therein and ING Bank N.V. as Swap Bank, Mandated Lead Arrangers and Bookrunners, and yourselves as Facility Agent and Security Trustee and in connection with a term loan facility of up to US$70,200,000 in aggregate. Terms defined in the Loan Agreement have their defined meanings when used in this Drawdown Notice.</w:t>
      </w:r>
    </w:p>
    <w:p>
      <w:pPr>
        <w:spacing w:after="0" w:line="90" w:lineRule="exact"/>
        <w:rPr>
          <w:sz w:val="20"/>
          <w:szCs w:val="20"/>
          <w:color w:val="auto"/>
        </w:rPr>
      </w:pPr>
    </w:p>
    <w:p>
      <w:pPr>
        <w:ind w:left="920" w:hanging="912"/>
        <w:spacing w:after="0"/>
        <w:tabs>
          <w:tab w:leader="none" w:pos="9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We request to borrow Advance [●] as follows:</w:t>
      </w:r>
    </w:p>
    <w:p>
      <w:pPr>
        <w:sectPr>
          <w:pgSz w:w="11900" w:h="16838" w:orient="portrait"/>
          <w:cols w:equalWidth="0" w:num="1">
            <w:col w:w="11340"/>
          </w:cols>
          <w:pgMar w:left="240" w:top="270" w:right="31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 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sectPr>
          <w:pgSz w:w="11900" w:h="16838" w:orient="portrait"/>
          <w:cols w:equalWidth="0" w:num="3">
            <w:col w:w="200" w:space="720"/>
            <w:col w:w="1060" w:space="720"/>
            <w:col w:w="8640"/>
          </w:cols>
          <w:pgMar w:left="240" w:top="270" w:right="31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Drawdown 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sectPr>
          <w:pgSz w:w="11900" w:h="16838" w:orient="portrait"/>
          <w:cols w:equalWidth="0" w:num="3">
            <w:col w:w="220" w:space="700"/>
            <w:col w:w="1340" w:space="720"/>
            <w:col w:w="8360"/>
          </w:cols>
          <w:pgMar w:left="240" w:top="270" w:right="31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Duration of the first Interest Period shall be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months;</w:t>
      </w:r>
    </w:p>
    <w:p>
      <w:pPr>
        <w:spacing w:after="0" w:line="153" w:lineRule="exact"/>
        <w:rPr>
          <w:sz w:val="20"/>
          <w:szCs w:val="20"/>
          <w:color w:val="auto"/>
        </w:rPr>
      </w:pPr>
    </w:p>
    <w:p>
      <w:pPr>
        <w:sectPr>
          <w:pgSz w:w="11900" w:h="16838" w:orient="portrait"/>
          <w:cols w:equalWidth="0" w:num="3">
            <w:col w:w="200" w:space="720"/>
            <w:col w:w="3240" w:space="180"/>
            <w:col w:w="7000"/>
          </w:cols>
          <w:pgMar w:left="240" w:top="270" w:right="31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Arial" w:cs="Arial" w:eastAsia="Arial" w:hAnsi="Arial"/>
          <w:sz w:val="16"/>
          <w:szCs w:val="16"/>
          <w:color w:val="auto"/>
        </w:rPr>
        <w:t>Payment instructions : account of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 and numbered [</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8"/>
          <w:szCs w:val="18"/>
          <w:color w:val="auto"/>
        </w:rPr>
        <w:t>] with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sectPr>
          <w:pgSz w:w="11900" w:h="16838" w:orient="portrait"/>
          <w:cols w:equalWidth="0" w:num="6">
            <w:col w:w="220" w:space="700"/>
            <w:col w:w="2560" w:space="720"/>
            <w:col w:w="1220" w:space="720"/>
            <w:col w:w="580" w:space="720"/>
            <w:col w:w="360" w:space="720"/>
            <w:col w:w="2820"/>
          </w:cols>
          <w:pgMar w:left="240" w:top="270" w:right="319" w:bottom="1440" w:gutter="0" w:footer="0" w:header="0"/>
          <w:type w:val="continuous"/>
        </w:sectPr>
      </w:pPr>
    </w:p>
    <w:p>
      <w:pPr>
        <w:ind w:left="920" w:hanging="912"/>
        <w:spacing w:after="0"/>
        <w:tabs>
          <w:tab w:leader="none" w:pos="9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We represent and warrant that:</w:t>
      </w:r>
    </w:p>
    <w:p>
      <w:pPr>
        <w:spacing w:after="0" w:line="131" w:lineRule="exact"/>
        <w:rPr>
          <w:sz w:val="20"/>
          <w:szCs w:val="20"/>
          <w:color w:val="auto"/>
        </w:rPr>
      </w:pPr>
    </w:p>
    <w:p>
      <w:pPr>
        <w:ind w:left="920" w:right="380" w:hanging="912"/>
        <w:spacing w:after="0" w:line="277" w:lineRule="auto"/>
        <w:tabs>
          <w:tab w:leader="none" w:pos="9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representations and warranties in Clause 10 of the Loan Agreement would remain true and not misleading if repeated on the date of this notice with reference to the circumstances now existing;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or will result from the borrowing of the Loan.</w:t>
      </w:r>
    </w:p>
    <w:p>
      <w:pPr>
        <w:spacing w:after="0" w:line="131" w:lineRule="exact"/>
        <w:rPr>
          <w:sz w:val="20"/>
          <w:szCs w:val="20"/>
          <w:color w:val="auto"/>
        </w:rPr>
      </w:pPr>
    </w:p>
    <w:p>
      <w:pPr>
        <w:ind w:left="920" w:hanging="912"/>
        <w:spacing w:after="0"/>
        <w:tabs>
          <w:tab w:leader="none" w:pos="9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This notice cannot be revoked without the prior consent of the Majority Lenders.</w:t>
      </w:r>
    </w:p>
    <w:p>
      <w:pPr>
        <w:spacing w:after="0" w:line="131" w:lineRule="exact"/>
        <w:rPr>
          <w:sz w:val="20"/>
          <w:szCs w:val="20"/>
          <w:color w:val="auto"/>
        </w:rPr>
      </w:pPr>
    </w:p>
    <w:p>
      <w:pPr>
        <w:ind w:left="920" w:hanging="912"/>
        <w:spacing w:after="0"/>
        <w:tabs>
          <w:tab w:leader="none" w:pos="9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[We authorise you to deduct any facility fees referred to in Clause 20.1 from the amount of the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Attorney-in-Fact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ASTERIAS CRUDE CARRIER S.A. 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SCORPIO CRUDE CARRIER S.A.</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240" w:top="270" w:right="319" w:bottom="1440" w:gutter="0" w:footer="0" w:header="0"/>
          <w:type w:val="continuous"/>
        </w:sectPr>
      </w:pPr>
    </w:p>
    <w:bookmarkStart w:id="294" w:name="page295"/>
    <w:bookmarkEnd w:id="29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CONDITIONS PRECEDENT DOCUMENTS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9.1(a).</w:t>
      </w:r>
    </w:p>
    <w:p>
      <w:pPr>
        <w:spacing w:after="0" w:line="131" w:lineRule="exact"/>
        <w:rPr>
          <w:sz w:val="20"/>
          <w:szCs w:val="20"/>
          <w:color w:val="auto"/>
        </w:rPr>
      </w:pPr>
    </w:p>
    <w:p>
      <w:pPr>
        <w:ind w:left="920" w:right="440" w:hanging="912"/>
        <w:spacing w:after="0" w:line="264" w:lineRule="auto"/>
        <w:tabs>
          <w:tab w:leader="none" w:pos="9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duly executed original of this Agreement, the Guarantee, the Substitute Guarantor Guarantee, the Shares Pledges and any other Finance Document if not otherwise referred to in this Schedule (and of each document required to be delivered by each Finance Document) and the Intermediate Shareholder’s Shares Pledge is in the Agreed Form.</w:t>
      </w:r>
    </w:p>
    <w:p>
      <w:pPr>
        <w:spacing w:after="0" w:line="87" w:lineRule="exact"/>
        <w:rPr>
          <w:sz w:val="20"/>
          <w:szCs w:val="20"/>
          <w:color w:val="auto"/>
        </w:rPr>
      </w:pPr>
    </w:p>
    <w:p>
      <w:pPr>
        <w:ind w:left="920" w:hanging="912"/>
        <w:spacing w:after="0"/>
        <w:tabs>
          <w:tab w:leader="none" w:pos="9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Certified copies of the certificate of incorporation and constitutional documents of each Security Party.</w:t>
      </w:r>
    </w:p>
    <w:p>
      <w:pPr>
        <w:spacing w:after="0" w:line="131" w:lineRule="exact"/>
        <w:rPr>
          <w:sz w:val="20"/>
          <w:szCs w:val="20"/>
          <w:color w:val="auto"/>
        </w:rPr>
      </w:pPr>
    </w:p>
    <w:p>
      <w:pPr>
        <w:ind w:left="920" w:right="320" w:hanging="912"/>
        <w:spacing w:after="0" w:line="264" w:lineRule="auto"/>
        <w:tabs>
          <w:tab w:leader="none" w:pos="9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Copies of resolutions of the shareholders and directors of each Security Party authorising the execution of each of the Finance Documents to which it is a party and, in the case of the Borrowers, authorising named officers to give the Drawdown Notices and other notices under this Agreement and ratifying the execution of the Shipbuilding Contract relative to its Ship.</w:t>
      </w:r>
    </w:p>
    <w:p>
      <w:pPr>
        <w:spacing w:after="0" w:line="87" w:lineRule="exact"/>
        <w:rPr>
          <w:sz w:val="20"/>
          <w:szCs w:val="20"/>
          <w:color w:val="auto"/>
        </w:rPr>
      </w:pPr>
    </w:p>
    <w:p>
      <w:pPr>
        <w:ind w:left="920" w:hanging="912"/>
        <w:spacing w:after="0"/>
        <w:tabs>
          <w:tab w:leader="none" w:pos="9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original of any power of attorney under which any Finance Document is executed on behalf of each Security Party.</w:t>
      </w:r>
    </w:p>
    <w:p>
      <w:pPr>
        <w:spacing w:after="0" w:line="131" w:lineRule="exact"/>
        <w:rPr>
          <w:sz w:val="20"/>
          <w:szCs w:val="20"/>
          <w:color w:val="auto"/>
        </w:rPr>
      </w:pPr>
    </w:p>
    <w:p>
      <w:pPr>
        <w:ind w:left="920" w:right="180" w:hanging="912"/>
        <w:spacing w:after="0" w:line="277" w:lineRule="auto"/>
        <w:tabs>
          <w:tab w:leader="none" w:pos="9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Copies of all consents which any Security Party requires to enter into, or make any payment under, any Finance Document or the Shipbuilding Contract relative to that Borrower.</w:t>
      </w:r>
    </w:p>
    <w:p>
      <w:pPr>
        <w:spacing w:after="0" w:line="76" w:lineRule="exact"/>
        <w:rPr>
          <w:sz w:val="20"/>
          <w:szCs w:val="20"/>
          <w:color w:val="auto"/>
        </w:rPr>
      </w:pPr>
    </w:p>
    <w:p>
      <w:pPr>
        <w:ind w:left="920" w:right="80" w:hanging="912"/>
        <w:spacing w:after="0" w:line="277" w:lineRule="auto"/>
        <w:tabs>
          <w:tab w:leader="none" w:pos="9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Copies of the Underlying Documents (other than the Tesoro Charters) and all amendments and supplements thereto and of all documents signed or issued by the parties thereto under or in connection with it.</w:t>
      </w:r>
    </w:p>
    <w:p>
      <w:pPr>
        <w:spacing w:after="0" w:line="76" w:lineRule="exact"/>
        <w:rPr>
          <w:sz w:val="20"/>
          <w:szCs w:val="20"/>
          <w:color w:val="auto"/>
        </w:rPr>
      </w:pPr>
    </w:p>
    <w:p>
      <w:pPr>
        <w:ind w:left="920" w:right="20" w:hanging="912"/>
        <w:spacing w:after="0" w:line="264" w:lineRule="auto"/>
        <w:tabs>
          <w:tab w:leader="none" w:pos="9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Such documentary evidence as the Facility Agent and its legal advisers may reasonably require in relation to the due authorisation and execution by the parties to each Underlying Document (other than the Tesoro Charters) and of all documents to be executed by those parties under that Underlying Document.</w:t>
      </w:r>
    </w:p>
    <w:p>
      <w:pPr>
        <w:spacing w:after="0" w:line="87" w:lineRule="exact"/>
        <w:rPr>
          <w:sz w:val="20"/>
          <w:szCs w:val="20"/>
          <w:color w:val="auto"/>
        </w:rPr>
      </w:pPr>
    </w:p>
    <w:p>
      <w:pPr>
        <w:ind w:left="920" w:right="540" w:hanging="912"/>
        <w:spacing w:after="0" w:line="277" w:lineRule="auto"/>
        <w:tabs>
          <w:tab w:leader="none" w:pos="9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All documentation required by the Facility Agent in relation to any Security Party pursuant to the Facility Agent’s “know your customer” requirements.</w:t>
      </w:r>
    </w:p>
    <w:p>
      <w:pPr>
        <w:spacing w:after="0" w:line="76" w:lineRule="exact"/>
        <w:rPr>
          <w:sz w:val="20"/>
          <w:szCs w:val="20"/>
          <w:color w:val="auto"/>
        </w:rPr>
      </w:pPr>
    </w:p>
    <w:p>
      <w:pPr>
        <w:ind w:left="920" w:hanging="912"/>
        <w:spacing w:after="0"/>
        <w:tabs>
          <w:tab w:leader="none" w:pos="9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Documentary evidence that the agent for service of process named in Clause 32.4 has accepted its appointment.</w:t>
      </w:r>
    </w:p>
    <w:p>
      <w:pPr>
        <w:spacing w:after="0" w:line="131" w:lineRule="exact"/>
        <w:rPr>
          <w:sz w:val="20"/>
          <w:szCs w:val="20"/>
          <w:color w:val="auto"/>
        </w:rPr>
      </w:pPr>
    </w:p>
    <w:p>
      <w:pPr>
        <w:ind w:left="920" w:hanging="912"/>
        <w:spacing w:after="0" w:line="277" w:lineRule="auto"/>
        <w:tabs>
          <w:tab w:leader="none" w:pos="9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Facility Agent on such matters concerning the laws of the Marshall Islands, France and South Korea and such other relevant jurisdictions as the Facility Agent may require.</w:t>
      </w:r>
    </w:p>
    <w:p>
      <w:pPr>
        <w:spacing w:after="0" w:line="75" w:lineRule="exact"/>
        <w:rPr>
          <w:rFonts w:ascii="Arial" w:cs="Arial" w:eastAsia="Arial" w:hAnsi="Arial"/>
          <w:sz w:val="18"/>
          <w:szCs w:val="18"/>
          <w:color w:val="auto"/>
        </w:rPr>
      </w:pPr>
    </w:p>
    <w:p>
      <w:pPr>
        <w:ind w:left="920" w:right="340" w:hanging="912"/>
        <w:spacing w:after="0" w:line="277" w:lineRule="auto"/>
        <w:tabs>
          <w:tab w:leader="none" w:pos="9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If the Facility Agent so requires, in respect of any of the documents referred to above, a certified English translation prepared by a translator approved by the Facility Agent.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270" w:right="299" w:bottom="1440" w:gutter="0" w:footer="0" w:header="0"/>
        </w:sectPr>
      </w:pPr>
    </w:p>
    <w:bookmarkStart w:id="295" w:name="page296"/>
    <w:bookmarkEnd w:id="2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9.1(b) in relation to a drawdown of a Advance.</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In Part B of this Schedule 2, “</w:t>
      </w:r>
      <w:r>
        <w:rPr>
          <w:rFonts w:ascii="Arial" w:cs="Arial" w:eastAsia="Arial" w:hAnsi="Arial"/>
          <w:sz w:val="18"/>
          <w:szCs w:val="18"/>
          <w:b w:val="1"/>
          <w:bCs w:val="1"/>
          <w:color w:val="auto"/>
        </w:rPr>
        <w:t>Relevant Ship</w:t>
      </w:r>
      <w:r>
        <w:rPr>
          <w:rFonts w:ascii="Arial" w:cs="Arial" w:eastAsia="Arial" w:hAnsi="Arial"/>
          <w:sz w:val="18"/>
          <w:szCs w:val="18"/>
          <w:color w:val="auto"/>
        </w:rPr>
        <w:t>” means the Ship, the construction of which is to be financed or, as the case may be, re financed by the relevant Advance and “</w:t>
      </w:r>
      <w:r>
        <w:rPr>
          <w:rFonts w:ascii="Arial" w:cs="Arial" w:eastAsia="Arial" w:hAnsi="Arial"/>
          <w:sz w:val="18"/>
          <w:szCs w:val="18"/>
          <w:b w:val="1"/>
          <w:bCs w:val="1"/>
          <w:color w:val="auto"/>
        </w:rPr>
        <w:t>Relevant Borrower</w:t>
      </w:r>
      <w:r>
        <w:rPr>
          <w:rFonts w:ascii="Arial" w:cs="Arial" w:eastAsia="Arial" w:hAnsi="Arial"/>
          <w:sz w:val="18"/>
          <w:szCs w:val="18"/>
          <w:color w:val="auto"/>
        </w:rPr>
        <w:t>” means the Borrower which is or is to become the owner of that Relevant Ship on delivery.</w:t>
      </w:r>
    </w:p>
    <w:p>
      <w:pPr>
        <w:spacing w:after="0" w:line="71" w:lineRule="exact"/>
        <w:rPr>
          <w:sz w:val="20"/>
          <w:szCs w:val="20"/>
          <w:color w:val="auto"/>
        </w:rPr>
      </w:pPr>
    </w:p>
    <w:p>
      <w:pPr>
        <w:ind w:left="920" w:right="580" w:hanging="912"/>
        <w:spacing w:after="0" w:line="277" w:lineRule="auto"/>
        <w:tabs>
          <w:tab w:leader="none" w:pos="9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 duly executed original of the Mortgage, any Deed of Covenant, the General Assignment and the Charterparty Assignment (and of each document to be delivered under each of them) in respect of the Relevant Ship.</w:t>
      </w:r>
    </w:p>
    <w:p>
      <w:pPr>
        <w:spacing w:after="0" w:line="76" w:lineRule="exact"/>
        <w:rPr>
          <w:sz w:val="20"/>
          <w:szCs w:val="20"/>
          <w:color w:val="auto"/>
        </w:rPr>
      </w:pPr>
    </w:p>
    <w:p>
      <w:pPr>
        <w:ind w:left="920" w:hanging="912"/>
        <w:spacing w:after="0"/>
        <w:tabs>
          <w:tab w:leader="none" w:pos="9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Documentary evidence that:</w:t>
      </w:r>
    </w:p>
    <w:p>
      <w:pPr>
        <w:spacing w:after="0" w:line="131" w:lineRule="exact"/>
        <w:rPr>
          <w:sz w:val="20"/>
          <w:szCs w:val="20"/>
          <w:color w:val="auto"/>
        </w:rPr>
      </w:pPr>
    </w:p>
    <w:p>
      <w:pPr>
        <w:jc w:val="both"/>
        <w:ind w:left="920" w:right="40" w:hanging="912"/>
        <w:spacing w:after="0" w:line="286" w:lineRule="auto"/>
        <w:tabs>
          <w:tab w:leader="none" w:pos="9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Relevant Ship has been unconditionally delivered by the Builder to, and accepted by, the Relevant Borrower under the Shipbuilding Contract relative thereto, and the contract price due under that Shipbuilding Contract (in addition to the part to be financed by the Advance) has been duly paid (together with, but not limited to, a copy of the bill of sale issued by the Builder and the builder’s certificate);</w:t>
      </w:r>
    </w:p>
    <w:p>
      <w:pPr>
        <w:spacing w:after="0" w:line="70" w:lineRule="exact"/>
        <w:rPr>
          <w:rFonts w:ascii="Arial" w:cs="Arial" w:eastAsia="Arial" w:hAnsi="Arial"/>
          <w:sz w:val="17"/>
          <w:szCs w:val="17"/>
          <w:color w:val="auto"/>
        </w:rPr>
      </w:pPr>
    </w:p>
    <w:p>
      <w:pPr>
        <w:ind w:left="920" w:right="160" w:hanging="912"/>
        <w:spacing w:after="0" w:line="277" w:lineRule="auto"/>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Relevant Ship has been unconditionally delivered by the Relevant Borrower to the Tesoro Charterer for operation under the relevant Tesoro Charter;</w:t>
      </w:r>
    </w:p>
    <w:p>
      <w:pPr>
        <w:spacing w:after="0" w:line="75" w:lineRule="exact"/>
        <w:rPr>
          <w:rFonts w:ascii="Arial" w:cs="Arial" w:eastAsia="Arial" w:hAnsi="Arial"/>
          <w:sz w:val="18"/>
          <w:szCs w:val="18"/>
          <w:color w:val="auto"/>
        </w:rPr>
      </w:pPr>
    </w:p>
    <w:p>
      <w:pPr>
        <w:ind w:left="920" w:right="280" w:hanging="912"/>
        <w:spacing w:after="0" w:line="277" w:lineRule="auto"/>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Relevant Ship is definitively and permanently (or, if permitted by the relevant Approved Flag, provisionally) registered in the name of the Relevant Borrower under an Approved Flag;</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the Relevant Ship is in the absolute and unencumbered ownership of the Relevant Borrower save as contemplated by the Finance Documents;</w:t>
      </w:r>
    </w:p>
    <w:p>
      <w:pPr>
        <w:spacing w:after="0" w:line="153" w:lineRule="exact"/>
        <w:rPr>
          <w:rFonts w:ascii="Arial" w:cs="Arial" w:eastAsia="Arial" w:hAnsi="Arial"/>
          <w:sz w:val="16"/>
          <w:szCs w:val="16"/>
          <w:color w:val="auto"/>
        </w:rPr>
      </w:pPr>
    </w:p>
    <w:p>
      <w:pPr>
        <w:ind w:left="920" w:right="60" w:hanging="912"/>
        <w:spacing w:after="0" w:line="342" w:lineRule="auto"/>
        <w:tabs>
          <w:tab w:leader="none" w:pos="92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the Relevant Ship maintains the highest available class with such first-class classification society which is a member of IACS as the Lender may approve free of all recommendations and conditions of such classification society (except any that customarily apply to newbuilding vessels);</w:t>
      </w:r>
    </w:p>
    <w:p>
      <w:pPr>
        <w:spacing w:after="0" w:line="29" w:lineRule="exact"/>
        <w:rPr>
          <w:rFonts w:ascii="Arial" w:cs="Arial" w:eastAsia="Arial" w:hAnsi="Arial"/>
          <w:sz w:val="16"/>
          <w:szCs w:val="16"/>
          <w:color w:val="auto"/>
        </w:rPr>
      </w:pPr>
    </w:p>
    <w:p>
      <w:pPr>
        <w:ind w:left="920" w:right="300" w:hanging="912"/>
        <w:spacing w:after="0" w:line="277" w:lineRule="auto"/>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relevant Mortgage has been duly registered or recorded (as the case may be) against the Relevant Ship as a valid first priority or preferred ship mortgage in accordance with the laws of an Approved Flag State; and</w:t>
      </w:r>
    </w:p>
    <w:p>
      <w:pPr>
        <w:spacing w:after="0" w:line="75" w:lineRule="exact"/>
        <w:rPr>
          <w:rFonts w:ascii="Arial" w:cs="Arial" w:eastAsia="Arial" w:hAnsi="Arial"/>
          <w:sz w:val="18"/>
          <w:szCs w:val="18"/>
          <w:color w:val="auto"/>
        </w:rPr>
      </w:pPr>
    </w:p>
    <w:p>
      <w:pPr>
        <w:ind w:left="920" w:right="80" w:hanging="912"/>
        <w:spacing w:after="0" w:line="277" w:lineRule="auto"/>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Relevant Ship is insured in accordance with the provisions of this Agreement and all requirements therein in respect of insurances have been complied with.</w:t>
      </w:r>
    </w:p>
    <w:p>
      <w:pPr>
        <w:spacing w:after="0" w:line="76" w:lineRule="exact"/>
        <w:rPr>
          <w:sz w:val="20"/>
          <w:szCs w:val="20"/>
          <w:color w:val="auto"/>
        </w:rPr>
      </w:pPr>
    </w:p>
    <w:p>
      <w:pPr>
        <w:ind w:left="920" w:right="220" w:hanging="912"/>
        <w:spacing w:after="0" w:line="277" w:lineRule="auto"/>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Documents establishing that the Relevant Ship will be or has been, as from its Delivery Date, be managed by the Approved Manager on terms acceptable to the Lender, together with:</w:t>
      </w:r>
    </w:p>
    <w:p>
      <w:pPr>
        <w:spacing w:after="0" w:line="76" w:lineRule="exact"/>
        <w:rPr>
          <w:sz w:val="20"/>
          <w:szCs w:val="20"/>
          <w:color w:val="auto"/>
        </w:rPr>
      </w:pPr>
    </w:p>
    <w:p>
      <w:pPr>
        <w:ind w:left="920" w:hanging="912"/>
        <w:spacing w:after="0"/>
        <w:tabs>
          <w:tab w:leader="none" w:pos="9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Approved Manager’s Undertaking in respect of the Relevant Ship; and</w:t>
      </w:r>
    </w:p>
    <w:p>
      <w:pPr>
        <w:spacing w:after="0" w:line="130" w:lineRule="exact"/>
        <w:rPr>
          <w:rFonts w:ascii="Arial" w:cs="Arial" w:eastAsia="Arial" w:hAnsi="Arial"/>
          <w:sz w:val="18"/>
          <w:szCs w:val="18"/>
          <w:color w:val="auto"/>
        </w:rPr>
      </w:pPr>
    </w:p>
    <w:p>
      <w:pPr>
        <w:ind w:left="920" w:right="320" w:hanging="912"/>
        <w:spacing w:after="0" w:line="264" w:lineRule="auto"/>
        <w:tabs>
          <w:tab w:leader="none" w:pos="9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copies of the document of compliance (DOC), the ISSC and any other ISPS document and, immediately after delivery of the Relevant Ship referred to in paragraph (a) of the definition of the ISM Code Documentation certified as true and in effect by the Relevant Borrower and the Approved Manager.</w:t>
      </w:r>
    </w:p>
    <w:p>
      <w:pPr>
        <w:spacing w:after="0" w:line="87" w:lineRule="exact"/>
        <w:rPr>
          <w:sz w:val="20"/>
          <w:szCs w:val="20"/>
          <w:color w:val="auto"/>
        </w:rPr>
      </w:pPr>
    </w:p>
    <w:p>
      <w:pPr>
        <w:ind w:left="920" w:hanging="912"/>
        <w:spacing w:after="0" w:line="264" w:lineRule="auto"/>
        <w:tabs>
          <w:tab w:leader="none" w:pos="9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Two valuations of the Relevant Ship addressed to the Facility Agent and dated not earlier than 30 days before the Drawdown Date in respect of the Relevant Ship, each prepared at the cost of the Borrowers by an Approved Broker selected and appointed by the Facility Agent and otherwise prepared in accordance with Clause 15.4.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270" w:right="279" w:bottom="1440" w:gutter="0" w:footer="0" w:header="0"/>
        </w:sectPr>
      </w:pPr>
    </w:p>
    <w:bookmarkStart w:id="296" w:name="page297"/>
    <w:bookmarkEnd w:id="296"/>
    <w:p>
      <w:pPr>
        <w:ind w:left="912" w:hanging="912"/>
        <w:spacing w:after="0" w:line="277" w:lineRule="auto"/>
        <w:tabs>
          <w:tab w:leader="none" w:pos="912" w:val="left"/>
        </w:tabs>
        <w:numPr>
          <w:ilvl w:val="0"/>
          <w:numId w:val="4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that the Accounts have been duly opened with the Facility Agent by the Relevant Borrower and, in the case of the Retention Accounts and the Minimum Working Capital Accounts, the Borrowers.</w:t>
      </w:r>
    </w:p>
    <w:p>
      <w:pPr>
        <w:spacing w:after="0" w:line="76" w:lineRule="exact"/>
        <w:rPr>
          <w:sz w:val="20"/>
          <w:szCs w:val="20"/>
          <w:color w:val="auto"/>
        </w:rPr>
      </w:pPr>
    </w:p>
    <w:p>
      <w:pPr>
        <w:ind w:left="912" w:right="220" w:hanging="912"/>
        <w:spacing w:after="0" w:line="277" w:lineRule="auto"/>
        <w:tabs>
          <w:tab w:leader="none" w:pos="91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Copies of the applicable Tesoro Charter and all the documents signed or issued by the Relevant Borrower or the Tesoro Charterer under or in connection with that Tesoro Charter.</w:t>
      </w:r>
    </w:p>
    <w:p>
      <w:pPr>
        <w:spacing w:after="0" w:line="76" w:lineRule="exact"/>
        <w:rPr>
          <w:sz w:val="20"/>
          <w:szCs w:val="20"/>
          <w:color w:val="auto"/>
        </w:rPr>
      </w:pPr>
    </w:p>
    <w:p>
      <w:pPr>
        <w:ind w:left="912" w:right="320" w:hanging="912"/>
        <w:spacing w:after="0" w:line="277" w:lineRule="auto"/>
        <w:tabs>
          <w:tab w:leader="none" w:pos="91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Such documentary evidence as the Facility Agent and its legal advisers may require in relation to the due authorisation and execution of the applicable Tesoro Charter by the Relevant Borrower and the Tesoro Charterer.</w:t>
      </w:r>
    </w:p>
    <w:p>
      <w:pPr>
        <w:spacing w:after="0" w:line="76" w:lineRule="exact"/>
        <w:rPr>
          <w:sz w:val="20"/>
          <w:szCs w:val="20"/>
          <w:color w:val="auto"/>
        </w:rPr>
      </w:pPr>
    </w:p>
    <w:p>
      <w:pPr>
        <w:ind w:left="912" w:right="40" w:hanging="912"/>
        <w:spacing w:after="0" w:line="277" w:lineRule="auto"/>
        <w:tabs>
          <w:tab w:leader="none" w:pos="91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 favourable opinion (at the cost of the Borrowers) from an independent insurance consultant acceptable to the Lender on such matters relating to the insurances for the Relevant Ship as the Facility Agent may require.</w:t>
      </w:r>
    </w:p>
    <w:p>
      <w:pPr>
        <w:spacing w:after="0" w:line="76" w:lineRule="exact"/>
        <w:rPr>
          <w:sz w:val="20"/>
          <w:szCs w:val="20"/>
          <w:color w:val="auto"/>
        </w:rPr>
      </w:pPr>
    </w:p>
    <w:p>
      <w:pPr>
        <w:ind w:left="912" w:right="220" w:hanging="912"/>
        <w:spacing w:after="0" w:line="277" w:lineRule="auto"/>
        <w:tabs>
          <w:tab w:leader="none" w:pos="91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Facility Agent on such matters concerning the laws of the Approved Flag State and such other relevant jurisdictions as the Facility Agent may require.</w:t>
      </w:r>
    </w:p>
    <w:p>
      <w:pPr>
        <w:spacing w:after="0" w:line="62" w:lineRule="exact"/>
        <w:rPr>
          <w:rFonts w:ascii="Arial" w:cs="Arial" w:eastAsia="Arial" w:hAnsi="Arial"/>
          <w:sz w:val="18"/>
          <w:szCs w:val="18"/>
          <w:color w:val="auto"/>
        </w:rPr>
      </w:pPr>
    </w:p>
    <w:p>
      <w:pPr>
        <w:ind w:left="912" w:right="100"/>
        <w:spacing w:after="0" w:line="277" w:lineRule="auto"/>
        <w:rPr>
          <w:rFonts w:ascii="Arial" w:cs="Arial" w:eastAsia="Arial" w:hAnsi="Arial"/>
          <w:sz w:val="18"/>
          <w:szCs w:val="18"/>
          <w:color w:val="auto"/>
        </w:rPr>
      </w:pPr>
      <w:r>
        <w:rPr>
          <w:rFonts w:ascii="Arial" w:cs="Arial" w:eastAsia="Arial" w:hAnsi="Arial"/>
          <w:sz w:val="18"/>
          <w:szCs w:val="18"/>
          <w:color w:val="auto"/>
        </w:rPr>
        <w:t>Every copy document delivered under this Schedule shall be certified as a true and up to date copy by a director or the secretary (or equivalent officer) of the Borrowers.</w:t>
      </w:r>
    </w:p>
    <w:p>
      <w:pPr>
        <w:spacing w:after="0" w:line="10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72"/>
          </w:cols>
          <w:pgMar w:left="248" w:top="274" w:right="379"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DROPDOWN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4.9(b) in connection with a Dropdown.</w:t>
      </w:r>
    </w:p>
    <w:p>
      <w:pPr>
        <w:spacing w:after="0" w:line="131" w:lineRule="exact"/>
        <w:rPr>
          <w:sz w:val="20"/>
          <w:szCs w:val="20"/>
          <w:color w:val="auto"/>
        </w:rPr>
      </w:pPr>
    </w:p>
    <w:p>
      <w:pPr>
        <w:ind w:left="920" w:hanging="912"/>
        <w:spacing w:after="0"/>
        <w:tabs>
          <w:tab w:leader="none" w:pos="92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A duly executed original of the Intermediate Shareholder’s Shares Pledge (and of each document required to be delivered thereunder).</w:t>
      </w:r>
    </w:p>
    <w:p>
      <w:pPr>
        <w:spacing w:after="0" w:line="142" w:lineRule="exact"/>
        <w:rPr>
          <w:sz w:val="20"/>
          <w:szCs w:val="20"/>
          <w:color w:val="auto"/>
        </w:rPr>
      </w:pPr>
    </w:p>
    <w:p>
      <w:pPr>
        <w:ind w:left="920" w:hanging="912"/>
        <w:spacing w:after="0"/>
        <w:tabs>
          <w:tab w:leader="none" w:pos="9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Certified copies of the certificate of incorporation and constitutional documents of the Intermediate Shareholder.</w:t>
      </w:r>
    </w:p>
    <w:p>
      <w:pPr>
        <w:spacing w:after="0" w:line="131" w:lineRule="exact"/>
        <w:rPr>
          <w:sz w:val="20"/>
          <w:szCs w:val="20"/>
          <w:color w:val="auto"/>
        </w:rPr>
      </w:pPr>
    </w:p>
    <w:p>
      <w:pPr>
        <w:ind w:left="920" w:right="60" w:hanging="912"/>
        <w:spacing w:after="0" w:line="277" w:lineRule="auto"/>
        <w:tabs>
          <w:tab w:leader="none" w:pos="9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Copies of resolutions of the shareholders and directors of each Security Party authorising the execution of any Finance Document to which it is a party.</w:t>
      </w:r>
    </w:p>
    <w:p>
      <w:pPr>
        <w:spacing w:after="0" w:line="76" w:lineRule="exact"/>
        <w:rPr>
          <w:sz w:val="20"/>
          <w:szCs w:val="20"/>
          <w:color w:val="auto"/>
        </w:rPr>
      </w:pPr>
    </w:p>
    <w:p>
      <w:pPr>
        <w:ind w:left="920" w:hanging="912"/>
        <w:spacing w:after="0"/>
        <w:tabs>
          <w:tab w:leader="none" w:pos="9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original of any power of attorney under which any Finance Document is executed on behalf of each Security Party.</w:t>
      </w:r>
    </w:p>
    <w:p>
      <w:pPr>
        <w:spacing w:after="0" w:line="131" w:lineRule="exact"/>
        <w:rPr>
          <w:sz w:val="20"/>
          <w:szCs w:val="20"/>
          <w:color w:val="auto"/>
        </w:rPr>
      </w:pPr>
    </w:p>
    <w:p>
      <w:pPr>
        <w:ind w:left="920" w:right="160" w:hanging="912"/>
        <w:spacing w:after="0" w:line="264" w:lineRule="auto"/>
        <w:tabs>
          <w:tab w:leader="none" w:pos="9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Two valuations of the Ship owned by the relevant Borrower addressed to the Facility Agent and dated not earlier than 30 days before the Dropdown Date, each prepared at the cost of the Borrowers by an Approved Broker selected and appointed by the Facility Agent and otherwise prepared in accordance with Clause 15.4</w:t>
      </w:r>
    </w:p>
    <w:p>
      <w:pPr>
        <w:spacing w:after="0" w:line="87" w:lineRule="exact"/>
        <w:rPr>
          <w:sz w:val="20"/>
          <w:szCs w:val="20"/>
          <w:color w:val="auto"/>
        </w:rPr>
      </w:pPr>
    </w:p>
    <w:p>
      <w:pPr>
        <w:ind w:left="920" w:right="480" w:hanging="912"/>
        <w:spacing w:after="0" w:line="277" w:lineRule="auto"/>
        <w:tabs>
          <w:tab w:leader="none" w:pos="92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Evidence satisfactory to the Facility Agent that the Tesoro Charter in respect of the Ship owned by the Borrower which is the subject of the Dropdown is in place.</w:t>
      </w:r>
    </w:p>
    <w:p>
      <w:pPr>
        <w:spacing w:after="0" w:line="76" w:lineRule="exact"/>
        <w:rPr>
          <w:sz w:val="20"/>
          <w:szCs w:val="20"/>
          <w:color w:val="auto"/>
        </w:rPr>
      </w:pPr>
    </w:p>
    <w:p>
      <w:pPr>
        <w:ind w:left="920" w:hanging="912"/>
        <w:spacing w:after="0" w:line="286" w:lineRule="auto"/>
        <w:tabs>
          <w:tab w:leader="none" w:pos="92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the Facility Agent being satisfied that the relevant Borrower will become a wholly-owned direct or indirect subsidiary of the Substitute Guarantor on the Dropdown Date, including without limitation a copy of the share purchase agreement providing for the sale of the shares in that Borrower from the Guarantor to the Substitute Guarantor or the Intermediate Shareholder as the case may be.</w:t>
      </w:r>
    </w:p>
    <w:p>
      <w:pPr>
        <w:spacing w:after="0" w:line="71" w:lineRule="exact"/>
        <w:rPr>
          <w:sz w:val="20"/>
          <w:szCs w:val="20"/>
          <w:color w:val="auto"/>
        </w:rPr>
      </w:pPr>
    </w:p>
    <w:p>
      <w:pPr>
        <w:ind w:left="920" w:right="200" w:hanging="912"/>
        <w:spacing w:after="0" w:line="257" w:lineRule="auto"/>
        <w:tabs>
          <w:tab w:leader="none" w:pos="9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Borrowers, the Intermediate Shareholder, the Substitute Guarantor and the Approved Manager providing such evidence as each Creditor Party may reasonably require for the Creditor Parties to be able to satisfy each of their “know your customer” or similar identification procedures, including, without limitation, updated organisational charts, updated FATCA and CRS forms and confirmation from the Borrowers that there has been no change to the board of directors of the Guarantor and the Substitute Guarantor from the date of this Agreement until and including the relevant Dropdown Date.</w:t>
      </w:r>
    </w:p>
    <w:p>
      <w:pPr>
        <w:spacing w:after="0" w:line="94" w:lineRule="exact"/>
        <w:rPr>
          <w:sz w:val="20"/>
          <w:szCs w:val="20"/>
          <w:color w:val="auto"/>
        </w:rPr>
      </w:pPr>
    </w:p>
    <w:p>
      <w:pPr>
        <w:ind w:left="920" w:right="60" w:hanging="912"/>
        <w:spacing w:after="0" w:line="264" w:lineRule="auto"/>
        <w:tabs>
          <w:tab w:leader="none" w:pos="9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Facility Agent on such matters concerning any supplemental documentation to be executed in connection with the Dropdown, the Intermediate Shareholder’s Shares Pledge and any other document in connection therewith as the Facility Agent may require.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0"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CERTIFICATE</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Transferor and the Transferee accept exclusive responsibility for ensuring that this Certificate and the transaction to which it relates comply with all legal and regulatory requirements applicable to them respectively.</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CRÉDIT AGRICOLE CORPORATE AND INVESTMENT BANK</w:t>
      </w:r>
      <w:r>
        <w:rPr>
          <w:rFonts w:ascii="Arial" w:cs="Arial" w:eastAsia="Arial" w:hAnsi="Arial"/>
          <w:sz w:val="18"/>
          <w:szCs w:val="18"/>
          <w:color w:val="auto"/>
        </w:rPr>
        <w:t xml:space="preserve"> for itself and for and on behalf of the Borrowers, each Security Party, the Security Trustee and each Lender, as defined in the Loan Agreement referred to below.</w:t>
      </w:r>
    </w:p>
    <w:p>
      <w:pPr>
        <w:spacing w:after="0" w:line="166" w:lineRule="exact"/>
        <w:rPr>
          <w:sz w:val="20"/>
          <w:szCs w:val="20"/>
          <w:color w:val="auto"/>
        </w:rPr>
      </w:pPr>
    </w:p>
    <w:tbl>
      <w:tblPr>
        <w:tblLayout w:type="fixed"/>
        <w:tblInd w:w="10100" w:type="dxa"/>
        <w:tblCellMar>
          <w:top w:w="0" w:type="dxa"/>
          <w:left w:w="0" w:type="dxa"/>
          <w:bottom w:w="0" w:type="dxa"/>
          <w:right w:w="0" w:type="dxa"/>
        </w:tblCellMar>
      </w:tblPr>
      <w:tr>
        <w:trPr>
          <w:trHeight w:val="230"/>
        </w:trPr>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225" w:lineRule="exact"/>
        <w:rPr>
          <w:sz w:val="20"/>
          <w:szCs w:val="20"/>
          <w:color w:val="auto"/>
        </w:rPr>
      </w:pPr>
    </w:p>
    <w:p>
      <w:pPr>
        <w:ind w:left="920" w:right="340" w:hanging="912"/>
        <w:spacing w:after="0" w:line="261" w:lineRule="auto"/>
        <w:tabs>
          <w:tab w:leader="none" w:pos="920" w:val="left"/>
        </w:tabs>
        <w:numPr>
          <w:ilvl w:val="0"/>
          <w:numId w:val="482"/>
        </w:numPr>
        <w:rPr>
          <w:rFonts w:ascii="Arial" w:cs="Arial" w:eastAsia="Arial" w:hAnsi="Arial"/>
          <w:sz w:val="18"/>
          <w:szCs w:val="18"/>
          <w:b w:val="1"/>
          <w:bCs w:val="1"/>
          <w:color w:val="auto"/>
        </w:rPr>
      </w:pPr>
      <w:r>
        <w:rPr>
          <w:rFonts w:ascii="Arial" w:cs="Arial" w:eastAsia="Arial" w:hAnsi="Arial"/>
          <w:sz w:val="18"/>
          <w:szCs w:val="18"/>
          <w:color w:val="auto"/>
        </w:rPr>
        <w:t>This Certificate relates to a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dated [●] 2017 and made between (1) Asterias Crude Carrier S.A. and Scorpio Crude Carrier S.A. (together, the “</w:t>
      </w:r>
      <w:r>
        <w:rPr>
          <w:rFonts w:ascii="Arial" w:cs="Arial" w:eastAsia="Arial" w:hAnsi="Arial"/>
          <w:sz w:val="18"/>
          <w:szCs w:val="18"/>
          <w:b w:val="1"/>
          <w:bCs w:val="1"/>
          <w:color w:val="auto"/>
        </w:rPr>
        <w:t>Borrowers</w:t>
      </w:r>
      <w:r>
        <w:rPr>
          <w:rFonts w:ascii="Arial" w:cs="Arial" w:eastAsia="Arial" w:hAnsi="Arial"/>
          <w:sz w:val="18"/>
          <w:szCs w:val="18"/>
          <w:color w:val="auto"/>
        </w:rPr>
        <w:t>”), (2) the banks and financial institutions named therein, (3) ING Bank N.V. as Swap Bank, Mandated Lead Arrangers and Bookrunners and (4) Crédit Agricole Corporate and Investment Bank as Facility Agent and Security Trustee and, for a term loan facility of up to US$70,200,000 in aggregate.</w:t>
      </w:r>
    </w:p>
    <w:p>
      <w:pPr>
        <w:spacing w:after="0" w:line="90" w:lineRule="exact"/>
        <w:rPr>
          <w:sz w:val="20"/>
          <w:szCs w:val="20"/>
          <w:color w:val="auto"/>
        </w:rPr>
      </w:pPr>
    </w:p>
    <w:p>
      <w:pPr>
        <w:ind w:left="920" w:hanging="912"/>
        <w:spacing w:after="0"/>
        <w:tabs>
          <w:tab w:leader="none" w:pos="92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 this Certificate:</w:t>
      </w:r>
    </w:p>
    <w:p>
      <w:pPr>
        <w:spacing w:after="0" w:line="113" w:lineRule="exact"/>
        <w:rPr>
          <w:rFonts w:ascii="Arial" w:cs="Arial" w:eastAsia="Arial" w:hAnsi="Arial"/>
          <w:sz w:val="18"/>
          <w:szCs w:val="18"/>
          <w:color w:val="auto"/>
        </w:rPr>
      </w:pPr>
    </w:p>
    <w:p>
      <w:pPr>
        <w:ind w:left="920" w:right="132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Relevant Parties</w:t>
      </w:r>
      <w:r>
        <w:rPr>
          <w:rFonts w:ascii="Arial" w:cs="Arial" w:eastAsia="Arial" w:hAnsi="Arial"/>
          <w:sz w:val="18"/>
          <w:szCs w:val="18"/>
          <w:color w:val="auto"/>
        </w:rPr>
        <w:t>” means the Facility Agent, each Borrower, [each Security Party], the Security Trustee, and each Lender; “</w:t>
      </w:r>
      <w:r>
        <w:rPr>
          <w:rFonts w:ascii="Arial" w:cs="Arial" w:eastAsia="Arial" w:hAnsi="Arial"/>
          <w:sz w:val="18"/>
          <w:szCs w:val="18"/>
          <w:b w:val="1"/>
          <w:bCs w:val="1"/>
          <w:color w:val="auto"/>
        </w:rPr>
        <w:t>the Transferor</w:t>
      </w:r>
      <w:r>
        <w:rPr>
          <w:rFonts w:ascii="Arial" w:cs="Arial" w:eastAsia="Arial" w:hAnsi="Arial"/>
          <w:sz w:val="18"/>
          <w:szCs w:val="18"/>
          <w:color w:val="auto"/>
        </w:rPr>
        <w:t>” means [full name] of [lending office];</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Transferee</w:t>
      </w:r>
      <w:r>
        <w:rPr>
          <w:rFonts w:ascii="Arial" w:cs="Arial" w:eastAsia="Arial" w:hAnsi="Arial"/>
          <w:sz w:val="18"/>
          <w:szCs w:val="18"/>
          <w:color w:val="auto"/>
        </w:rPr>
        <w:t>” means [full name] of [lending office].</w:t>
      </w:r>
    </w:p>
    <w:p>
      <w:pPr>
        <w:spacing w:after="0" w:line="1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7"/>
          <w:szCs w:val="17"/>
          <w:color w:val="auto"/>
        </w:rPr>
        <w:t>Terms defined in the Loan Agreement shall, unless the contrary intention appears, have the same meanings when used in this Certificate.</w:t>
      </w:r>
    </w:p>
    <w:p>
      <w:pPr>
        <w:spacing w:after="0" w:line="138" w:lineRule="exact"/>
        <w:rPr>
          <w:sz w:val="20"/>
          <w:szCs w:val="20"/>
          <w:color w:val="auto"/>
        </w:rPr>
      </w:pPr>
    </w:p>
    <w:p>
      <w:pPr>
        <w:ind w:left="920" w:right="400" w:hanging="912"/>
        <w:spacing w:after="0" w:line="282" w:lineRule="auto"/>
        <w:tabs>
          <w:tab w:leader="none" w:pos="920" w:val="left"/>
        </w:tabs>
        <w:numPr>
          <w:ilvl w:val="0"/>
          <w:numId w:val="484"/>
        </w:numPr>
        <w:rPr>
          <w:rFonts w:ascii="Arial" w:cs="Arial" w:eastAsia="Arial" w:hAnsi="Arial"/>
          <w:sz w:val="18"/>
          <w:szCs w:val="18"/>
          <w:b w:val="1"/>
          <w:bCs w:val="1"/>
          <w:color w:val="auto"/>
        </w:rPr>
      </w:pPr>
      <w:r>
        <w:rPr>
          <w:rFonts w:ascii="Arial" w:cs="Arial" w:eastAsia="Arial" w:hAnsi="Arial"/>
          <w:sz w:val="18"/>
          <w:szCs w:val="18"/>
          <w:color w:val="auto"/>
        </w:rPr>
        <w:t xml:space="preserve">The effective date of this Certificate is .........20[●]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this Certificate shall not come into effect unless it is signed by the Facility Agent on or before that date.</w:t>
      </w:r>
    </w:p>
    <w:p>
      <w:pPr>
        <w:spacing w:after="0" w:line="71" w:lineRule="exact"/>
        <w:rPr>
          <w:sz w:val="20"/>
          <w:szCs w:val="20"/>
          <w:color w:val="auto"/>
        </w:rPr>
      </w:pPr>
    </w:p>
    <w:p>
      <w:pPr>
        <w:ind w:left="920" w:hanging="912"/>
        <w:spacing w:after="0"/>
        <w:tabs>
          <w:tab w:leader="none" w:pos="92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The Transferor assigns to the Transferee absolutely all rights and interests (present, future or contingent) which the Transferor has as Lender</w:t>
      </w:r>
    </w:p>
    <w:p>
      <w:pPr>
        <w:sectPr>
          <w:pgSz w:w="11900" w:h="16838" w:orient="portrait"/>
          <w:cols w:equalWidth="0" w:num="1">
            <w:col w:w="11420"/>
          </w:cols>
          <w:pgMar w:left="240" w:top="270" w:right="239" w:bottom="1440" w:gutter="0" w:footer="0" w:header="0"/>
        </w:sectPr>
      </w:pPr>
    </w:p>
    <w:p>
      <w:pPr>
        <w:spacing w:after="0" w:line="46" w:lineRule="exact"/>
        <w:rPr>
          <w:sz w:val="20"/>
          <w:szCs w:val="20"/>
          <w:color w:val="auto"/>
        </w:rPr>
      </w:pPr>
    </w:p>
    <w:p>
      <w:pPr>
        <w:ind w:left="920"/>
        <w:spacing w:after="0"/>
        <w:tabs>
          <w:tab w:leader="none" w:pos="7740" w:val="left"/>
        </w:tabs>
        <w:rPr>
          <w:sz w:val="20"/>
          <w:szCs w:val="20"/>
          <w:color w:val="auto"/>
        </w:rPr>
      </w:pPr>
      <w:r>
        <w:rPr>
          <w:rFonts w:ascii="Arial" w:cs="Arial" w:eastAsia="Arial" w:hAnsi="Arial"/>
          <w:sz w:val="18"/>
          <w:szCs w:val="18"/>
          <w:color w:val="auto"/>
        </w:rPr>
        <w:t>under or by virtue of the Loan Agreement and every other Finance Document in relation to [</w:t>
      </w:r>
      <w:r>
        <w:rPr>
          <w:sz w:val="20"/>
          <w:szCs w:val="20"/>
          <w:color w:val="auto"/>
        </w:rPr>
        <w:tab/>
      </w:r>
      <w:r>
        <w:rPr>
          <w:rFonts w:ascii="Arial" w:cs="Arial" w:eastAsia="Arial" w:hAnsi="Arial"/>
          <w:sz w:val="16"/>
          <w:szCs w:val="16"/>
          <w:color w:val="auto"/>
        </w:rPr>
        <w:t>] per cent. of the Contribution outstanding to the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Transferor (or its predecessors in title) which is set out below:</w:t>
      </w:r>
    </w:p>
    <w:p>
      <w:pPr>
        <w:sectPr>
          <w:pgSz w:w="11900" w:h="16838" w:orient="portrait"/>
          <w:cols w:equalWidth="0" w:num="1">
            <w:col w:w="11420"/>
          </w:cols>
          <w:pgMar w:left="240" w:top="270" w:right="239" w:bottom="1440" w:gutter="0" w:footer="0" w:header="0"/>
          <w:type w:val="continuous"/>
        </w:sectPr>
      </w:pPr>
    </w:p>
    <w:p>
      <w:pPr>
        <w:spacing w:after="0" w:line="229"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auto"/>
        </w:rPr>
        <w:t>Contribution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 transferred</w:t>
      </w:r>
    </w:p>
    <w:p>
      <w:pPr>
        <w:spacing w:after="0" w:line="200" w:lineRule="exact"/>
        <w:rPr>
          <w:sz w:val="20"/>
          <w:szCs w:val="20"/>
          <w:color w:val="auto"/>
        </w:rPr>
      </w:pPr>
    </w:p>
    <w:p>
      <w:pPr>
        <w:sectPr>
          <w:pgSz w:w="11900" w:h="16838" w:orient="portrait"/>
          <w:cols w:equalWidth="0" w:num="2">
            <w:col w:w="7620" w:space="720"/>
            <w:col w:w="3080"/>
          </w:cols>
          <w:pgMar w:left="24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20" w:hanging="912"/>
        <w:spacing w:after="0"/>
        <w:tabs>
          <w:tab w:leader="none" w:pos="92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By virtue of this Transfer Certificate and Clause 26 of the Loan Agreement, the Transferor is discharged [entirely from its Commitment which</w:t>
      </w:r>
    </w:p>
    <w:p>
      <w:pPr>
        <w:sectPr>
          <w:pgSz w:w="11900" w:h="16838" w:orient="portrait"/>
          <w:cols w:equalWidth="0" w:num="1">
            <w:col w:w="11420"/>
          </w:cols>
          <w:pgMar w:left="240" w:top="270" w:right="239" w:bottom="1440" w:gutter="0" w:footer="0" w:header="0"/>
          <w:type w:val="continuous"/>
        </w:sectPr>
      </w:pPr>
    </w:p>
    <w:p>
      <w:pPr>
        <w:spacing w:after="0" w:line="46" w:lineRule="exact"/>
        <w:rPr>
          <w:sz w:val="20"/>
          <w:szCs w:val="20"/>
          <w:color w:val="auto"/>
        </w:rPr>
      </w:pPr>
    </w:p>
    <w:p>
      <w:pPr>
        <w:ind w:left="920" w:right="500"/>
        <w:spacing w:after="0" w:line="261" w:lineRule="auto"/>
        <w:rPr>
          <w:sz w:val="20"/>
          <w:szCs w:val="20"/>
          <w:color w:val="auto"/>
        </w:rPr>
      </w:pPr>
      <w:r>
        <w:rPr>
          <w:rFonts w:ascii="Arial" w:cs="Arial" w:eastAsia="Arial" w:hAnsi="Arial"/>
          <w:sz w:val="18"/>
          <w:szCs w:val="18"/>
          <w:color w:val="auto"/>
        </w:rPr>
        <w:t>amounts to $[ ]] [from [ ] per cent. of its Commitment, which percentage represents $[ ]] and the Transferee acquires a Commitment of $[ ].</w:t>
      </w:r>
    </w:p>
    <w:p>
      <w:pPr>
        <w:sectPr>
          <w:pgSz w:w="11900" w:h="16838" w:orient="portrait"/>
          <w:cols w:equalWidth="0" w:num="1">
            <w:col w:w="11420"/>
          </w:cols>
          <w:pgMar w:left="240" w:top="270" w:right="239" w:bottom="1440" w:gutter="0" w:footer="0" w:header="0"/>
          <w:type w:val="continuous"/>
        </w:sectPr>
      </w:pPr>
    </w:p>
    <w:p>
      <w:pPr>
        <w:spacing w:after="0" w:line="89" w:lineRule="exact"/>
        <w:rPr>
          <w:sz w:val="20"/>
          <w:szCs w:val="20"/>
          <w:color w:val="auto"/>
        </w:rPr>
      </w:pPr>
    </w:p>
    <w:p>
      <w:pPr>
        <w:ind w:left="920" w:right="220" w:hanging="912"/>
        <w:spacing w:after="0" w:line="342" w:lineRule="auto"/>
        <w:tabs>
          <w:tab w:leader="none" w:pos="92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Transferee undertakes with the Transferor and each of the Relevant Parties that the Transferee will observe and perform all the obligations under the Finance Documents which Clause 26 of the Loan Agreement provides will become binding on it upon this Certificate taking effect.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0" w:right="239" w:bottom="1440" w:gutter="0" w:footer="0" w:header="0"/>
          <w:type w:val="continuous"/>
        </w:sectPr>
      </w:pPr>
    </w:p>
    <w:bookmarkStart w:id="299" w:name="page300"/>
    <w:bookmarkEnd w:id="299"/>
    <w:p>
      <w:pPr>
        <w:ind w:left="912" w:right="80" w:hanging="912"/>
        <w:spacing w:after="0" w:line="342" w:lineRule="auto"/>
        <w:tabs>
          <w:tab w:leader="none" w:pos="912" w:val="left"/>
        </w:tabs>
        <w:numPr>
          <w:ilvl w:val="0"/>
          <w:numId w:val="4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Facility Agent, at the request of the Transferee (which request is hereby made) accepts, for the Facility Agent itself and for and on behalf of every other Relevant Party, this Certificate as a Transfer Certificate taking effect in accordance with Clause 26 of the Loan Agreement.</w:t>
      </w:r>
    </w:p>
    <w:p>
      <w:pPr>
        <w:spacing w:after="0" w:line="29" w:lineRule="exact"/>
        <w:rPr>
          <w:sz w:val="20"/>
          <w:szCs w:val="20"/>
          <w:color w:val="auto"/>
        </w:rPr>
      </w:pPr>
    </w:p>
    <w:p>
      <w:pPr>
        <w:ind w:left="912" w:hanging="912"/>
        <w:spacing w:after="0"/>
        <w:tabs>
          <w:tab w:leader="none" w:pos="912"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Transferor:</w:t>
      </w:r>
    </w:p>
    <w:p>
      <w:pPr>
        <w:spacing w:after="0" w:line="131" w:lineRule="exact"/>
        <w:rPr>
          <w:sz w:val="20"/>
          <w:szCs w:val="20"/>
          <w:color w:val="auto"/>
        </w:rPr>
      </w:pPr>
    </w:p>
    <w:p>
      <w:pPr>
        <w:ind w:left="912" w:hanging="912"/>
        <w:spacing w:after="0"/>
        <w:tabs>
          <w:tab w:leader="none" w:pos="91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warrants to the Transferee and each Relevant Party:</w:t>
      </w:r>
    </w:p>
    <w:p>
      <w:pPr>
        <w:spacing w:after="0" w:line="130" w:lineRule="exact"/>
        <w:rPr>
          <w:rFonts w:ascii="Arial" w:cs="Arial" w:eastAsia="Arial" w:hAnsi="Arial"/>
          <w:sz w:val="18"/>
          <w:szCs w:val="18"/>
          <w:color w:val="auto"/>
        </w:rPr>
      </w:pPr>
    </w:p>
    <w:p>
      <w:pPr>
        <w:ind w:left="1692" w:hanging="787"/>
        <w:spacing w:after="0" w:line="277" w:lineRule="auto"/>
        <w:tabs>
          <w:tab w:leader="none" w:pos="1692"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that the Transferor has full capacity to enter into this transaction and has taken all corporate action and obtained all consents which are in connection with this transaction; and</w:t>
      </w:r>
    </w:p>
    <w:p>
      <w:pPr>
        <w:spacing w:after="0" w:line="75" w:lineRule="exact"/>
        <w:rPr>
          <w:rFonts w:ascii="Arial" w:cs="Arial" w:eastAsia="Arial" w:hAnsi="Arial"/>
          <w:sz w:val="18"/>
          <w:szCs w:val="18"/>
          <w:color w:val="auto"/>
        </w:rPr>
      </w:pPr>
    </w:p>
    <w:p>
      <w:pPr>
        <w:ind w:left="1692" w:hanging="787"/>
        <w:spacing w:after="0"/>
        <w:tabs>
          <w:tab w:leader="none" w:pos="1692"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that this Certificate is valid and binding as regards the Transferor;</w:t>
      </w:r>
    </w:p>
    <w:p>
      <w:pPr>
        <w:spacing w:after="0" w:line="130" w:lineRule="exact"/>
        <w:rPr>
          <w:rFonts w:ascii="Arial" w:cs="Arial" w:eastAsia="Arial" w:hAnsi="Arial"/>
          <w:sz w:val="18"/>
          <w:szCs w:val="18"/>
          <w:color w:val="auto"/>
        </w:rPr>
      </w:pPr>
    </w:p>
    <w:p>
      <w:pPr>
        <w:ind w:left="912" w:right="800" w:hanging="912"/>
        <w:spacing w:after="0" w:line="277" w:lineRule="auto"/>
        <w:tabs>
          <w:tab w:leader="none" w:pos="91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warrants to the Transferee that the Transferor is absolutely entitled, free of encumbrances, to all the rights and interests covered by the assignment in paragraph 4 above;</w:t>
      </w:r>
    </w:p>
    <w:p>
      <w:pPr>
        <w:spacing w:after="0" w:line="75" w:lineRule="exact"/>
        <w:rPr>
          <w:rFonts w:ascii="Arial" w:cs="Arial" w:eastAsia="Arial" w:hAnsi="Arial"/>
          <w:sz w:val="18"/>
          <w:szCs w:val="18"/>
          <w:color w:val="auto"/>
        </w:rPr>
      </w:pPr>
    </w:p>
    <w:p>
      <w:pPr>
        <w:ind w:left="912" w:right="100" w:hanging="912"/>
        <w:spacing w:after="0" w:line="277" w:lineRule="auto"/>
        <w:tabs>
          <w:tab w:leader="none" w:pos="91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undertakes with the Transferee that the Transferor will, at its own expense, execute any documents which the Transferee reasonably requests for perfecting in any relevant jurisdiction the Transferee’s title under this Certificate or for a similar purpose.</w:t>
      </w:r>
    </w:p>
    <w:p>
      <w:pPr>
        <w:spacing w:after="0" w:line="76" w:lineRule="exact"/>
        <w:rPr>
          <w:sz w:val="20"/>
          <w:szCs w:val="20"/>
          <w:color w:val="auto"/>
        </w:rPr>
      </w:pPr>
    </w:p>
    <w:p>
      <w:pPr>
        <w:ind w:left="912" w:hanging="912"/>
        <w:spacing w:after="0"/>
        <w:tabs>
          <w:tab w:leader="none" w:pos="912"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Transferee:</w:t>
      </w:r>
    </w:p>
    <w:p>
      <w:pPr>
        <w:spacing w:after="0" w:line="131" w:lineRule="exact"/>
        <w:rPr>
          <w:sz w:val="20"/>
          <w:szCs w:val="20"/>
          <w:color w:val="auto"/>
        </w:rPr>
      </w:pPr>
    </w:p>
    <w:p>
      <w:pPr>
        <w:ind w:left="912" w:hanging="912"/>
        <w:spacing w:after="0"/>
        <w:tabs>
          <w:tab w:leader="none" w:pos="91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confirms that it has received a copy of the Loan Agreement and each other Finance Document;</w:t>
      </w:r>
    </w:p>
    <w:p>
      <w:pPr>
        <w:spacing w:after="0" w:line="130" w:lineRule="exact"/>
        <w:rPr>
          <w:rFonts w:ascii="Arial" w:cs="Arial" w:eastAsia="Arial" w:hAnsi="Arial"/>
          <w:sz w:val="18"/>
          <w:szCs w:val="18"/>
          <w:color w:val="auto"/>
        </w:rPr>
      </w:pPr>
    </w:p>
    <w:p>
      <w:pPr>
        <w:ind w:left="912" w:right="140" w:hanging="912"/>
        <w:spacing w:after="0" w:line="277" w:lineRule="auto"/>
        <w:tabs>
          <w:tab w:leader="none" w:pos="91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either the Transferor, the Facility Agent, the Security Trustee, any Lender in the event that:</w:t>
      </w:r>
    </w:p>
    <w:p>
      <w:pPr>
        <w:spacing w:after="0" w:line="75" w:lineRule="exact"/>
        <w:rPr>
          <w:rFonts w:ascii="Arial" w:cs="Arial" w:eastAsia="Arial" w:hAnsi="Arial"/>
          <w:sz w:val="18"/>
          <w:szCs w:val="18"/>
          <w:color w:val="auto"/>
        </w:rPr>
      </w:pPr>
    </w:p>
    <w:p>
      <w:pPr>
        <w:ind w:left="1692" w:hanging="787"/>
        <w:spacing w:after="0"/>
        <w:tabs>
          <w:tab w:leader="none" w:pos="1692"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Finance Documents prove to be invalid or ineffective,</w:t>
      </w:r>
    </w:p>
    <w:p>
      <w:pPr>
        <w:spacing w:after="0" w:line="130" w:lineRule="exact"/>
        <w:rPr>
          <w:rFonts w:ascii="Arial" w:cs="Arial" w:eastAsia="Arial" w:hAnsi="Arial"/>
          <w:sz w:val="18"/>
          <w:szCs w:val="18"/>
          <w:color w:val="auto"/>
        </w:rPr>
      </w:pPr>
    </w:p>
    <w:p>
      <w:pPr>
        <w:ind w:left="1692" w:right="620" w:hanging="787"/>
        <w:spacing w:after="0" w:line="277" w:lineRule="auto"/>
        <w:tabs>
          <w:tab w:leader="none" w:pos="1692" w:val="left"/>
        </w:tabs>
        <w:numPr>
          <w:ilvl w:val="1"/>
          <w:numId w:val="492"/>
        </w:numPr>
        <w:rPr>
          <w:rFonts w:ascii="Arial" w:cs="Arial" w:eastAsia="Arial" w:hAnsi="Arial"/>
          <w:sz w:val="18"/>
          <w:szCs w:val="18"/>
          <w:color w:val="auto"/>
        </w:rPr>
      </w:pPr>
      <w:r>
        <w:rPr>
          <w:rFonts w:ascii="Arial" w:cs="Arial" w:eastAsia="Arial" w:hAnsi="Arial"/>
          <w:sz w:val="18"/>
          <w:szCs w:val="18"/>
          <w:color w:val="auto"/>
        </w:rPr>
        <w:t>any Borrower or any Security Party fails to observe or perform its obligations, or to discharge its liabilities, under the Finance Documents;</w:t>
      </w:r>
    </w:p>
    <w:p>
      <w:pPr>
        <w:spacing w:after="0" w:line="75" w:lineRule="exact"/>
        <w:rPr>
          <w:rFonts w:ascii="Arial" w:cs="Arial" w:eastAsia="Arial" w:hAnsi="Arial"/>
          <w:sz w:val="18"/>
          <w:szCs w:val="18"/>
          <w:color w:val="auto"/>
        </w:rPr>
      </w:pPr>
    </w:p>
    <w:p>
      <w:pPr>
        <w:ind w:left="1692" w:right="80" w:hanging="787"/>
        <w:spacing w:after="0" w:line="308" w:lineRule="auto"/>
        <w:tabs>
          <w:tab w:leader="none" w:pos="1692" w:val="left"/>
        </w:tabs>
        <w:numPr>
          <w:ilvl w:val="1"/>
          <w:numId w:val="492"/>
        </w:numPr>
        <w:rPr>
          <w:rFonts w:ascii="Arial" w:cs="Arial" w:eastAsia="Arial" w:hAnsi="Arial"/>
          <w:sz w:val="17"/>
          <w:szCs w:val="17"/>
          <w:color w:val="auto"/>
        </w:rPr>
      </w:pPr>
      <w:r>
        <w:rPr>
          <w:rFonts w:ascii="Arial" w:cs="Arial" w:eastAsia="Arial" w:hAnsi="Arial"/>
          <w:sz w:val="17"/>
          <w:szCs w:val="17"/>
          <w:color w:val="auto"/>
        </w:rPr>
        <w:t>it proves impossible to realise any asset covered by a Security Interest created by a Finance Document, or the proceeds of such assets are insufficient to discharge the liabilities of any Borrower or Security Party under the Finance Documents;</w:t>
      </w:r>
    </w:p>
    <w:p>
      <w:pPr>
        <w:spacing w:after="0" w:line="51" w:lineRule="exact"/>
        <w:rPr>
          <w:rFonts w:ascii="Arial" w:cs="Arial" w:eastAsia="Arial" w:hAnsi="Arial"/>
          <w:sz w:val="17"/>
          <w:szCs w:val="17"/>
          <w:color w:val="auto"/>
        </w:rPr>
      </w:pPr>
    </w:p>
    <w:p>
      <w:pPr>
        <w:ind w:left="912" w:right="240" w:hanging="912"/>
        <w:spacing w:after="0" w:line="277" w:lineRule="auto"/>
        <w:tabs>
          <w:tab w:leader="none" w:pos="91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the Facility Agent, the Security Trustee or any Lender in the event that this Certificate proves to be invalid or ineffective;</w:t>
      </w:r>
    </w:p>
    <w:p>
      <w:pPr>
        <w:spacing w:after="0" w:line="75" w:lineRule="exact"/>
        <w:rPr>
          <w:rFonts w:ascii="Arial" w:cs="Arial" w:eastAsia="Arial" w:hAnsi="Arial"/>
          <w:sz w:val="18"/>
          <w:szCs w:val="18"/>
          <w:color w:val="auto"/>
        </w:rPr>
      </w:pPr>
    </w:p>
    <w:p>
      <w:pPr>
        <w:jc w:val="both"/>
        <w:ind w:left="912" w:right="60" w:hanging="912"/>
        <w:spacing w:after="0" w:line="264" w:lineRule="auto"/>
        <w:tabs>
          <w:tab w:leader="none" w:pos="91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warrants to the Transferor and each Relevant Party (i) that it has full capacity to enter into this transaction and has taken all corporate action and obtained all official consents which it needs to take or obtain in connection with this transaction; and (ii) that this Certificate is valid and binding as regards the Transferee; and</w:t>
      </w:r>
    </w:p>
    <w:p>
      <w:pPr>
        <w:spacing w:after="0" w:line="86" w:lineRule="exact"/>
        <w:rPr>
          <w:rFonts w:ascii="Arial" w:cs="Arial" w:eastAsia="Arial" w:hAnsi="Arial"/>
          <w:sz w:val="18"/>
          <w:szCs w:val="18"/>
          <w:color w:val="auto"/>
        </w:rPr>
      </w:pPr>
    </w:p>
    <w:p>
      <w:pPr>
        <w:ind w:left="912" w:hanging="912"/>
        <w:spacing w:after="0"/>
        <w:tabs>
          <w:tab w:leader="none" w:pos="91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confirms the accuracy of the administrative details set out below regarding the Transferee.</w:t>
      </w:r>
    </w:p>
    <w:p>
      <w:pPr>
        <w:spacing w:after="0" w:line="131" w:lineRule="exact"/>
        <w:rPr>
          <w:sz w:val="20"/>
          <w:szCs w:val="20"/>
          <w:color w:val="auto"/>
        </w:rPr>
      </w:pPr>
    </w:p>
    <w:p>
      <w:pPr>
        <w:ind w:left="912" w:right="140" w:hanging="912"/>
        <w:spacing w:after="0" w:line="302" w:lineRule="auto"/>
        <w:tabs>
          <w:tab w:leader="none" w:pos="912" w:val="left"/>
        </w:tabs>
        <w:numPr>
          <w:ilvl w:val="0"/>
          <w:numId w:val="493"/>
        </w:numPr>
        <w:rPr>
          <w:rFonts w:ascii="Arial" w:cs="Arial" w:eastAsia="Arial" w:hAnsi="Arial"/>
          <w:sz w:val="16"/>
          <w:szCs w:val="16"/>
          <w:color w:val="auto"/>
        </w:rPr>
      </w:pPr>
      <w:r>
        <w:rPr>
          <w:rFonts w:ascii="Arial" w:cs="Arial" w:eastAsia="Arial" w:hAnsi="Arial"/>
          <w:sz w:val="16"/>
          <w:szCs w:val="16"/>
          <w:color w:val="auto"/>
        </w:rPr>
        <w:t>The Transferor and the Transferee each undertake with the Facility Agent and the Security Trustee severally, on demand, fully to indemnify the Facility Agent and/or the Security Trustee in respect of any claim, proceeding, liability or expense (including all legal expenses) which they or either of them may incur in connection with this Certificate or any matter arising out of it, except such as are shown to have been mainly and directly caused by the gross and culpable negligence or dishonesty of the Facility Agent’s or the Security Trustee’s own officers or employees.</w:t>
      </w:r>
    </w:p>
    <w:p>
      <w:pPr>
        <w:spacing w:after="0" w:line="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72"/>
          </w:cols>
          <w:pgMar w:left="248" w:top="274" w:right="279" w:bottom="1440" w:gutter="0" w:footer="0" w:header="0"/>
        </w:sectPr>
      </w:pPr>
    </w:p>
    <w:bookmarkStart w:id="300" w:name="page301"/>
    <w:bookmarkEnd w:id="300"/>
    <w:p>
      <w:pPr>
        <w:ind w:left="920" w:hanging="912"/>
        <w:spacing w:after="0" w:line="279" w:lineRule="auto"/>
        <w:tabs>
          <w:tab w:leader="none" w:pos="920" w:val="left"/>
        </w:tabs>
        <w:numPr>
          <w:ilvl w:val="0"/>
          <w:numId w:val="4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Transferee shall repay to the Transferor on demand so much of any sum paid by the Transferor under paragraph 10 above as exceeds one-half of the amount demanded by the Facility Agent or the Security Trustee in respect of a claim, proceeding, liability or expense which was not reasonably foreseeable at the date of this Certificate; but nothing in this paragraph shall affect the liability of each of the Transferor and the Transferee to the Facility Agent or the Security Trustee for the full amount demanded by it.</w:t>
      </w:r>
    </w:p>
    <w:p>
      <w:pPr>
        <w:sectPr>
          <w:pgSz w:w="11900" w:h="16838" w:orient="portrait"/>
          <w:cols w:equalWidth="0" w:num="1">
            <w:col w:w="11260"/>
          </w:cols>
          <w:pgMar w:left="240" w:top="274" w:right="39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Transferor]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[Name of Transferee]</w:t>
      </w:r>
    </w:p>
    <w:p>
      <w:pPr>
        <w:spacing w:after="0" w:line="200" w:lineRule="exact"/>
        <w:rPr>
          <w:sz w:val="20"/>
          <w:szCs w:val="20"/>
          <w:color w:val="auto"/>
        </w:rPr>
      </w:pPr>
    </w:p>
    <w:p>
      <w:pPr>
        <w:sectPr>
          <w:pgSz w:w="11900" w:h="16838" w:orient="portrait"/>
          <w:cols w:equalWidth="0" w:num="2">
            <w:col w:w="5460" w:space="720"/>
            <w:col w:w="5080"/>
          </w:cols>
          <w:pgMar w:left="240" w:top="274" w:right="3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460" w:space="720"/>
            <w:col w:w="5080"/>
          </w:cols>
          <w:pgMar w:left="240" w:top="274"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11" w:lineRule="exact"/>
        <w:rPr>
          <w:sz w:val="20"/>
          <w:szCs w:val="20"/>
          <w:color w:val="auto"/>
        </w:rPr>
      </w:pPr>
    </w:p>
    <w:p>
      <w:pPr>
        <w:sectPr>
          <w:pgSz w:w="11900" w:h="16838" w:orient="portrait"/>
          <w:cols w:equalWidth="0" w:num="2">
            <w:col w:w="5460" w:space="720"/>
            <w:col w:w="5080"/>
          </w:cols>
          <w:pgMar w:left="240" w:top="274" w:right="39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Signed for itself and for and on behalf of itself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 and for every other Relevant Party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260"/>
          </w:cols>
          <w:pgMar w:left="240" w:top="274" w:right="399" w:bottom="1440" w:gutter="0" w:footer="0" w:header="0"/>
          <w:type w:val="continuous"/>
        </w:sectPr>
      </w:pPr>
    </w:p>
    <w:bookmarkStart w:id="301" w:name="page302"/>
    <w:bookmarkEnd w:id="3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Details of Transferee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Administration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Administration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248" w:lineRule="exact"/>
        <w:rPr>
          <w:sz w:val="20"/>
          <w:szCs w:val="20"/>
          <w:color w:val="auto"/>
        </w:rPr>
      </w:pPr>
    </w:p>
    <w:p>
      <w:pPr>
        <w:ind w:left="800" w:hanging="796"/>
        <w:spacing w:after="0" w:line="264" w:lineRule="auto"/>
        <w:tabs>
          <w:tab w:leader="none" w:pos="780" w:val="left"/>
        </w:tabs>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This Transfer Certificate alone may not be sufficient to transfer a proportionate share of the Transferor’s interest in the security constituted by the Finance Documents in the Transferor’s or Transferee’s jurisdiction. It is the responsibility of each Lender to ascertain whether any other documents are required for this purpose.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0"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NOTICE</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ASTERIAS CRUDE CARRIER S.A. </w:t>
      </w:r>
      <w:r>
        <w:rPr>
          <w:rFonts w:ascii="Arial" w:cs="Arial" w:eastAsia="Arial" w:hAnsi="Arial"/>
          <w:sz w:val="18"/>
          <w:szCs w:val="18"/>
          <w:color w:val="auto"/>
        </w:rPr>
        <w:t>and</w:t>
      </w:r>
      <w:r>
        <w:rPr>
          <w:rFonts w:ascii="Arial" w:cs="Arial" w:eastAsia="Arial" w:hAnsi="Arial"/>
          <w:sz w:val="18"/>
          <w:szCs w:val="18"/>
          <w:b w:val="1"/>
          <w:bCs w:val="1"/>
          <w:color w:val="auto"/>
        </w:rPr>
        <w:t xml:space="preserve"> SCORPIO CRUDE CARRIER S.A.</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and -</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CRÉDIT AGRICOLE CORPORATE AND INVESTMENT BANK</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Loan Agreement dated [</w:t>
      </w:r>
      <w:r>
        <w:rPr>
          <w:rFonts w:ascii="Arial" w:cs="Arial" w:eastAsia="Arial" w:hAnsi="Arial"/>
          <w:sz w:val="18"/>
          <w:szCs w:val="18"/>
          <w:color w:val="auto"/>
        </w:rPr>
        <w:t>●</w:t>
      </w:r>
      <w:r>
        <w:rPr>
          <w:rFonts w:ascii="Arial" w:cs="Arial" w:eastAsia="Arial" w:hAnsi="Arial"/>
          <w:sz w:val="18"/>
          <w:szCs w:val="18"/>
          <w:b w:val="1"/>
          <w:bCs w:val="1"/>
          <w:color w:val="auto"/>
        </w:rPr>
        <w:t>] 2017 made between (inter alia) (i) yourselves as Borrowers, (ii) the Lenders, (iii) [ourselves] and [ING Bank N.V.] as Swap Bank, Mandated Lead Arrangers and Bookrunners and (iv) [ourselves] as Facility Agent and Security Trustee in respect of a term loan facility of up to US$70,200,000 in aggregate (the “Loan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refer to:</w:t>
      </w:r>
    </w:p>
    <w:p>
      <w:pPr>
        <w:spacing w:after="0" w:line="131" w:lineRule="exact"/>
        <w:rPr>
          <w:sz w:val="20"/>
          <w:szCs w:val="20"/>
          <w:color w:val="auto"/>
        </w:rPr>
      </w:pPr>
    </w:p>
    <w:p>
      <w:pPr>
        <w:ind w:left="920" w:hanging="912"/>
        <w:spacing w:after="0"/>
        <w:tabs>
          <w:tab w:leader="none" w:pos="9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Loan Agreement;</w:t>
      </w:r>
    </w:p>
    <w:p>
      <w:pPr>
        <w:spacing w:after="0" w:line="131" w:lineRule="exact"/>
        <w:rPr>
          <w:sz w:val="20"/>
          <w:szCs w:val="20"/>
          <w:color w:val="auto"/>
        </w:rPr>
      </w:pPr>
    </w:p>
    <w:p>
      <w:pPr>
        <w:ind w:left="920" w:hanging="912"/>
        <w:spacing w:after="0"/>
        <w:tabs>
          <w:tab w:leader="none" w:pos="9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Master Agreement dated [●] made between ourselves and [●]; and</w:t>
      </w:r>
    </w:p>
    <w:p>
      <w:pPr>
        <w:spacing w:after="0" w:line="131" w:lineRule="exact"/>
        <w:rPr>
          <w:sz w:val="20"/>
          <w:szCs w:val="20"/>
          <w:color w:val="auto"/>
        </w:rPr>
      </w:pPr>
    </w:p>
    <w:p>
      <w:pPr>
        <w:ind w:left="920" w:hanging="912"/>
        <w:spacing w:after="0"/>
        <w:tabs>
          <w:tab w:leader="none" w:pos="9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 Confirmation delivered pursuant to the said Master Agreement dated [●] and addressed by [●] to us.</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accordance with the terms of the Loan Agreement, we hereby give you notice of the said Confirmation and hereby confirm that the Transaction evidenced by it will be designated as a “Designated Transaction” for the purposes of the Loan Agreement and the Finance Documents.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 BANK N.V.]</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0" w:right="239" w:bottom="1440" w:gutter="0" w:footer="0" w:header="0"/>
        </w:sectPr>
      </w:pPr>
    </w:p>
    <w:bookmarkStart w:id="303" w:name="page304"/>
    <w:bookmarkEnd w:id="30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Know all men by these presents that [</w:t>
      </w:r>
      <w:r>
        <w:rPr>
          <w:rFonts w:ascii="Arial" w:cs="Arial" w:eastAsia="Arial" w:hAnsi="Arial"/>
          <w:sz w:val="16"/>
          <w:szCs w:val="16"/>
          <w:b w:val="1"/>
          <w:bCs w:val="1"/>
          <w:i w:val="1"/>
          <w:iCs w:val="1"/>
          <w:color w:val="auto"/>
        </w:rPr>
        <w:t>name of Borrower</w:t>
      </w:r>
      <w:r>
        <w:rPr>
          <w:rFonts w:ascii="Arial" w:cs="Arial" w:eastAsia="Arial" w:hAnsi="Arial"/>
          <w:sz w:val="16"/>
          <w:szCs w:val="16"/>
          <w:color w:val="auto"/>
        </w:rPr>
        <w:t>] (the “</w:t>
      </w:r>
      <w:r>
        <w:rPr>
          <w:rFonts w:ascii="Arial" w:cs="Arial" w:eastAsia="Arial" w:hAnsi="Arial"/>
          <w:sz w:val="16"/>
          <w:szCs w:val="16"/>
          <w:b w:val="1"/>
          <w:bCs w:val="1"/>
          <w:color w:val="auto"/>
        </w:rPr>
        <w:t>Company</w:t>
      </w:r>
      <w:r>
        <w:rPr>
          <w:rFonts w:ascii="Arial" w:cs="Arial" w:eastAsia="Arial" w:hAnsi="Arial"/>
          <w:sz w:val="16"/>
          <w:szCs w:val="16"/>
          <w:color w:val="auto"/>
        </w:rPr>
        <w:t>”), a company incorporated in the Republic of the Marshall Islands and having its registered address at Trust Company Complex, Ajeltake Road, Ajeltake Island, Majuro, Marshall Islands MH96960 irrevocably and by way of security appoints Crédit Agricole Corporate and Investment Bank (the “</w:t>
      </w:r>
      <w:r>
        <w:rPr>
          <w:rFonts w:ascii="Arial" w:cs="Arial" w:eastAsia="Arial" w:hAnsi="Arial"/>
          <w:sz w:val="16"/>
          <w:szCs w:val="16"/>
          <w:b w:val="1"/>
          <w:bCs w:val="1"/>
          <w:color w:val="auto"/>
        </w:rPr>
        <w:t>Attorney</w:t>
      </w:r>
      <w:r>
        <w:rPr>
          <w:rFonts w:ascii="Arial" w:cs="Arial" w:eastAsia="Arial" w:hAnsi="Arial"/>
          <w:sz w:val="16"/>
          <w:szCs w:val="16"/>
          <w:color w:val="auto"/>
        </w:rPr>
        <w:t>”) of 12, place des Etats-Unis, CS 70052, 92547 Montrouge Cedex, France its attorney, to act in the name of the Company and to exercise any right, entitlement or power of the Company in relation to [name of classification society] (the “</w:t>
      </w:r>
      <w:r>
        <w:rPr>
          <w:rFonts w:ascii="Arial" w:cs="Arial" w:eastAsia="Arial" w:hAnsi="Arial"/>
          <w:sz w:val="16"/>
          <w:szCs w:val="16"/>
          <w:b w:val="1"/>
          <w:bCs w:val="1"/>
          <w:color w:val="auto"/>
        </w:rPr>
        <w:t>Classification Society</w:t>
      </w:r>
      <w:r>
        <w:rPr>
          <w:rFonts w:ascii="Arial" w:cs="Arial" w:eastAsia="Arial" w:hAnsi="Arial"/>
          <w:sz w:val="16"/>
          <w:szCs w:val="16"/>
          <w:color w:val="auto"/>
        </w:rPr>
        <w:t>”) and/or to the classification records of any vessel owned, controlled or operated by the Company including, without limitation, such powers or entitlement as the Company may have to inspect the class records and any files held by the Classification Society in relation to any such vessel and to require the Classification Society to provide to the Attorney or to any of its nominees any information, document or file which the Attorney may request.</w:t>
      </w:r>
    </w:p>
    <w:p>
      <w:pPr>
        <w:spacing w:after="0" w:line="162"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Ratification of actions of attorney. </w:t>
      </w:r>
      <w:r>
        <w:rPr>
          <w:rFonts w:ascii="Arial" w:cs="Arial" w:eastAsia="Arial" w:hAnsi="Arial"/>
          <w:sz w:val="18"/>
          <w:szCs w:val="18"/>
          <w:color w:val="auto"/>
        </w:rPr>
        <w:t>For the avoidance of doubt and without limiting the generality of the above, it is confirmed that the Company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ratifies any action which the Attorney takes or purports to take under this Power of Attorney and the Classification Society shall be entitled to rely hereon without further enquiry.</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Delegation. </w:t>
      </w:r>
      <w:r>
        <w:rPr>
          <w:rFonts w:ascii="Arial" w:cs="Arial" w:eastAsia="Arial" w:hAnsi="Arial"/>
          <w:sz w:val="18"/>
          <w:szCs w:val="18"/>
          <w:color w:val="auto"/>
        </w:rPr>
        <w:t>The Attorney may exercise its powers hereunder through any officer or through any nominee and/or may sub-delegate to any person or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Receiver and persons designated by him) all or any of the powers (including the discretions) conferred on the Attorney hereunder, and may do so on terms authorising successive sub-delegations.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Power of Attorney </w:t>
      </w:r>
      <w:r>
        <w:rPr>
          <w:rFonts w:ascii="Arial" w:cs="Arial" w:eastAsia="Arial" w:hAnsi="Arial"/>
          <w:sz w:val="18"/>
          <w:szCs w:val="18"/>
          <w:color w:val="auto"/>
        </w:rPr>
        <w:t>was executed by the Company as a Deed on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acting by two directors or one director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and the company secretary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9"/>
        </w:trPr>
        <w:tc>
          <w:tcPr>
            <w:tcW w:w="700" w:type="dxa"/>
            <w:vAlign w:val="bottom"/>
          </w:tcPr>
          <w:p>
            <w:pPr>
              <w:spacing w:after="0"/>
              <w:rPr>
                <w:sz w:val="20"/>
                <w:szCs w:val="20"/>
                <w:color w:val="auto"/>
              </w:rPr>
            </w:pPr>
            <w:r>
              <w:rPr>
                <w:rFonts w:ascii="Arial" w:cs="Arial" w:eastAsia="Arial" w:hAnsi="Arial"/>
                <w:sz w:val="18"/>
                <w:szCs w:val="18"/>
                <w:color w:val="auto"/>
                <w:w w:val="99"/>
              </w:rPr>
              <w:t>Director:</w:t>
            </w:r>
          </w:p>
        </w:tc>
        <w:tc>
          <w:tcPr>
            <w:tcW w:w="29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w w:val="94"/>
              </w:rPr>
              <w:t>Director/Secretary:</w:t>
            </w: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270" w:right="29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6520" w:type="dxa"/>
            <w:vAlign w:val="bottom"/>
            <w:gridSpan w:val="2"/>
          </w:tcPr>
          <w:p>
            <w:pPr>
              <w:ind w:left="1020"/>
              <w:spacing w:after="0"/>
              <w:rPr>
                <w:sz w:val="20"/>
                <w:szCs w:val="20"/>
                <w:color w:val="auto"/>
              </w:rPr>
            </w:pPr>
            <w:r>
              <w:rPr>
                <w:rFonts w:ascii="Arial" w:cs="Arial" w:eastAsia="Arial" w:hAnsi="Arial"/>
                <w:sz w:val="18"/>
                <w:szCs w:val="18"/>
                <w:b w:val="1"/>
                <w:bCs w:val="1"/>
                <w:color w:val="auto"/>
              </w:rPr>
              <w:t>EXECUTION PAGES</w:t>
            </w:r>
          </w:p>
        </w:tc>
      </w:tr>
      <w:tr>
        <w:trPr>
          <w:trHeight w:val="459"/>
        </w:trPr>
        <w:tc>
          <w:tcPr>
            <w:tcW w:w="3840" w:type="dxa"/>
            <w:vAlign w:val="bottom"/>
          </w:tcPr>
          <w:p>
            <w:pPr>
              <w:spacing w:after="0"/>
              <w:rPr>
                <w:sz w:val="20"/>
                <w:szCs w:val="20"/>
                <w:color w:val="auto"/>
              </w:rPr>
            </w:pPr>
            <w:r>
              <w:rPr>
                <w:rFonts w:ascii="Arial" w:cs="Arial" w:eastAsia="Arial" w:hAnsi="Arial"/>
                <w:sz w:val="18"/>
                <w:szCs w:val="18"/>
                <w:b w:val="1"/>
                <w:bCs w:val="1"/>
                <w:color w:val="auto"/>
              </w:rPr>
              <w:t>BORROWERS</w:t>
            </w:r>
          </w:p>
        </w:tc>
        <w:tc>
          <w:tcPr>
            <w:tcW w:w="27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270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Vanessa Christina Dritsa</w:t>
            </w:r>
          </w:p>
        </w:tc>
      </w:tr>
      <w:tr>
        <w:trPr>
          <w:trHeight w:val="205"/>
        </w:trPr>
        <w:tc>
          <w:tcPr>
            <w:tcW w:w="384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2700" w:type="dxa"/>
            <w:vAlign w:val="bottom"/>
          </w:tcPr>
          <w:p>
            <w:pPr>
              <w:jc w:val="right"/>
              <w:ind w:right="1030"/>
              <w:spacing w:after="0" w:line="205" w:lineRule="exact"/>
              <w:rPr>
                <w:sz w:val="20"/>
                <w:szCs w:val="20"/>
                <w:color w:val="auto"/>
              </w:rPr>
            </w:pPr>
            <w:r>
              <w:rPr>
                <w:rFonts w:ascii="Arial" w:cs="Arial" w:eastAsia="Arial" w:hAnsi="Arial"/>
                <w:sz w:val="18"/>
                <w:szCs w:val="18"/>
                <w:color w:val="auto"/>
              </w:rPr>
              <w:t>)</w:t>
            </w:r>
          </w:p>
        </w:tc>
        <w:tc>
          <w:tcPr>
            <w:tcW w:w="3820" w:type="dxa"/>
            <w:vAlign w:val="bottom"/>
          </w:tcPr>
          <w:p>
            <w:pPr>
              <w:spacing w:after="0"/>
              <w:rPr>
                <w:sz w:val="17"/>
                <w:szCs w:val="17"/>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b w:val="1"/>
                <w:bCs w:val="1"/>
                <w:color w:val="auto"/>
              </w:rPr>
              <w:t>ASTERIAS CRUDE CARRIER S.A.</w:t>
            </w:r>
          </w:p>
        </w:tc>
        <w:tc>
          <w:tcPr>
            <w:tcW w:w="270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382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 the presence of</w:t>
            </w:r>
          </w:p>
        </w:tc>
        <w:tc>
          <w:tcPr>
            <w:tcW w:w="270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Elektra A. Stamatopoulos</w:t>
            </w:r>
          </w:p>
        </w:tc>
      </w:tr>
      <w:tr>
        <w:trPr>
          <w:trHeight w:val="439"/>
        </w:trPr>
        <w:tc>
          <w:tcPr>
            <w:tcW w:w="38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270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Vanessa Christina Dritsa</w:t>
            </w:r>
          </w:p>
        </w:tc>
      </w:tr>
      <w:tr>
        <w:trPr>
          <w:trHeight w:val="205"/>
        </w:trPr>
        <w:tc>
          <w:tcPr>
            <w:tcW w:w="384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2700" w:type="dxa"/>
            <w:vAlign w:val="bottom"/>
          </w:tcPr>
          <w:p>
            <w:pPr>
              <w:jc w:val="right"/>
              <w:ind w:right="1030"/>
              <w:spacing w:after="0" w:line="205" w:lineRule="exact"/>
              <w:rPr>
                <w:sz w:val="20"/>
                <w:szCs w:val="20"/>
                <w:color w:val="auto"/>
              </w:rPr>
            </w:pPr>
            <w:r>
              <w:rPr>
                <w:rFonts w:ascii="Arial" w:cs="Arial" w:eastAsia="Arial" w:hAnsi="Arial"/>
                <w:sz w:val="18"/>
                <w:szCs w:val="18"/>
                <w:color w:val="auto"/>
              </w:rPr>
              <w:t>)</w:t>
            </w:r>
          </w:p>
        </w:tc>
        <w:tc>
          <w:tcPr>
            <w:tcW w:w="3820" w:type="dxa"/>
            <w:vAlign w:val="bottom"/>
          </w:tcPr>
          <w:p>
            <w:pPr>
              <w:spacing w:after="0"/>
              <w:rPr>
                <w:sz w:val="17"/>
                <w:szCs w:val="17"/>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b w:val="1"/>
                <w:bCs w:val="1"/>
                <w:color w:val="auto"/>
              </w:rPr>
              <w:t>SCORPIO CRUDE CARRIER S.A.</w:t>
            </w:r>
          </w:p>
        </w:tc>
        <w:tc>
          <w:tcPr>
            <w:tcW w:w="270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382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 the presence of</w:t>
            </w:r>
          </w:p>
        </w:tc>
        <w:tc>
          <w:tcPr>
            <w:tcW w:w="270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Elektra A. Stamatopoulos</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LENDERS</w:t>
      </w:r>
    </w:p>
    <w:p>
      <w:pPr>
        <w:sectPr>
          <w:pgSz w:w="11900" w:h="16838" w:orient="portrait"/>
          <w:cols w:equalWidth="0" w:num="1">
            <w:col w:w="10360"/>
          </w:cols>
          <w:pgMar w:left="240" w:top="269" w:right="12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ind w:right="36"/>
        <w:spacing w:after="0" w:line="250" w:lineRule="auto"/>
        <w:rPr>
          <w:sz w:val="20"/>
          <w:szCs w:val="20"/>
          <w:color w:val="auto"/>
        </w:rPr>
      </w:pPr>
      <w:r>
        <w:rPr>
          <w:rFonts w:ascii="Arial" w:cs="Arial" w:eastAsia="Arial" w:hAnsi="Arial"/>
          <w:sz w:val="18"/>
          <w:szCs w:val="18"/>
          <w:b w:val="1"/>
          <w:bCs w:val="1"/>
          <w:color w:val="auto"/>
        </w:rPr>
        <w:t>CRÉDIT AGRICOLE CORPORATE AND INVESTMENT BANK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 BANK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MANDATED LEAD ARRANGERS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184" w:hanging="1184"/>
        <w:spacing w:after="0"/>
        <w:tabs>
          <w:tab w:leader="none" w:pos="118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/s/ Anthi Kekatou</w:t>
      </w:r>
    </w:p>
    <w:p>
      <w:pPr>
        <w:spacing w:after="0" w:line="50" w:lineRule="exact"/>
        <w:rPr>
          <w:rFonts w:ascii="Arial" w:cs="Arial" w:eastAsia="Arial" w:hAnsi="Arial"/>
          <w:sz w:val="18"/>
          <w:szCs w:val="18"/>
          <w:color w:val="auto"/>
        </w:rPr>
      </w:pPr>
    </w:p>
    <w:p>
      <w:pPr>
        <w:spacing w:after="0"/>
        <w:tabs>
          <w:tab w:leader="none" w:pos="0" w:val="left"/>
        </w:tabs>
        <w:numPr>
          <w:ilvl w:val="0"/>
          <w:numId w:val="49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9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98"/>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-422275</wp:posOffset>
            </wp:positionV>
            <wp:extent cx="24269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ind w:left="1184" w:hanging="1184"/>
        <w:spacing w:after="0"/>
        <w:tabs>
          <w:tab w:leader="none" w:pos="1184" w:val="left"/>
        </w:tabs>
        <w:numPr>
          <w:ilvl w:val="0"/>
          <w:numId w:val="499"/>
        </w:numPr>
        <w:rPr>
          <w:rFonts w:ascii="Arial" w:cs="Arial" w:eastAsia="Arial" w:hAnsi="Arial"/>
          <w:sz w:val="16"/>
          <w:szCs w:val="16"/>
          <w:color w:val="auto"/>
        </w:rPr>
      </w:pPr>
      <w:r>
        <w:rPr>
          <w:rFonts w:ascii="Arial" w:cs="Arial" w:eastAsia="Arial" w:hAnsi="Arial"/>
          <w:sz w:val="16"/>
          <w:szCs w:val="16"/>
          <w:color w:val="auto"/>
        </w:rPr>
        <w:t>/s/ Daphne Elektra A. Stamatopoulos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29210</wp:posOffset>
            </wp:positionV>
            <wp:extent cx="24269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184" w:hanging="1184"/>
        <w:spacing w:after="0"/>
        <w:tabs>
          <w:tab w:leader="none" w:pos="1184" w:val="left"/>
        </w:tabs>
        <w:numPr>
          <w:ilvl w:val="0"/>
          <w:numId w:val="500"/>
        </w:numPr>
        <w:rPr>
          <w:rFonts w:ascii="Arial" w:cs="Arial" w:eastAsia="Arial" w:hAnsi="Arial"/>
          <w:sz w:val="16"/>
          <w:szCs w:val="16"/>
          <w:color w:val="auto"/>
        </w:rPr>
      </w:pPr>
      <w:r>
        <w:rPr>
          <w:rFonts w:ascii="Arial" w:cs="Arial" w:eastAsia="Arial" w:hAnsi="Arial"/>
          <w:sz w:val="16"/>
          <w:szCs w:val="16"/>
          <w:color w:val="auto"/>
        </w:rPr>
        <w:t>/s/ Daphne Elektra A. Stamatopoulos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20320</wp:posOffset>
            </wp:positionV>
            <wp:extent cx="24269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4636" w:space="720"/>
            <w:col w:w="5004"/>
          </w:cols>
          <w:pgMar w:left="240" w:top="269" w:right="129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4360" w:type="dxa"/>
            <w:vAlign w:val="bottom"/>
          </w:tcPr>
          <w:p>
            <w:pPr>
              <w:spacing w:after="0"/>
              <w:rPr>
                <w:sz w:val="20"/>
                <w:szCs w:val="20"/>
                <w:color w:val="auto"/>
              </w:rPr>
            </w:pPr>
            <w:r>
              <w:rPr>
                <w:rFonts w:ascii="Arial" w:cs="Arial" w:eastAsia="Arial" w:hAnsi="Arial"/>
                <w:sz w:val="18"/>
                <w:szCs w:val="18"/>
                <w:color w:val="auto"/>
              </w:rPr>
              <w:t>for and on behalf of</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ING BANK N.V.</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In the presence of</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4360" w:type="dxa"/>
            <w:vAlign w:val="bottom"/>
          </w:tcPr>
          <w:p>
            <w:pPr>
              <w:spacing w:after="0"/>
              <w:rPr>
                <w:sz w:val="20"/>
                <w:szCs w:val="20"/>
                <w:color w:val="auto"/>
              </w:rPr>
            </w:pPr>
            <w:r>
              <w:rPr>
                <w:rFonts w:ascii="Arial" w:cs="Arial" w:eastAsia="Arial" w:hAnsi="Arial"/>
                <w:sz w:val="18"/>
                <w:szCs w:val="18"/>
                <w:color w:val="auto"/>
              </w:rPr>
              <w:t>for and on behalf of</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CRÉDIT AGRICOLE CORPORATE AND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INVESTMENT BANK</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 the presence of</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Anthi Kekatou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69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160"/>
        <w:spacing w:after="0" w:line="559" w:lineRule="auto"/>
        <w:rPr>
          <w:sz w:val="20"/>
          <w:szCs w:val="20"/>
          <w:color w:val="auto"/>
        </w:rPr>
      </w:pPr>
      <w:r>
        <w:rPr>
          <w:rFonts w:ascii="Arial" w:cs="Arial" w:eastAsia="Arial" w:hAnsi="Arial"/>
          <w:sz w:val="18"/>
          <w:szCs w:val="18"/>
          <w:color w:val="auto"/>
        </w:rPr>
        <w:t>/s/ Daphne Elektra A. Stamatopoulos /s/ Anthi Kekatou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24269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1">
                      <a:extLst>
                        <a:ext uri="{28A0092B-C50C-407E-A947-70E740481C1C}"/>
                      </a:extLst>
                    </a:blip>
                    <a:srcRect/>
                    <a:stretch>
                      <a:fillRect/>
                    </a:stretch>
                  </pic:blipFill>
                  <pic:spPr bwMode="auto">
                    <a:xfrm>
                      <a:off x="0" y="0"/>
                      <a:ext cx="24269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24269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/s/ Daphne Elektra A. Stamatopoulos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269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ectPr>
          <w:pgSz w:w="11900" w:h="16838" w:orient="portrait"/>
          <w:cols w:equalWidth="0" w:num="2">
            <w:col w:w="5840" w:space="700"/>
            <w:col w:w="3820"/>
          </w:cols>
          <w:pgMar w:left="240" w:top="269" w:right="1299" w:bottom="1440" w:gutter="0" w:footer="0" w:header="0"/>
          <w:type w:val="continuous"/>
        </w:sectPr>
      </w:pPr>
    </w:p>
    <w:bookmarkStart w:id="305" w:name="page306"/>
    <w:bookmarkEnd w:id="305"/>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BOOKRUNNERS</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Anthi Kekatou</w:t>
            </w:r>
          </w:p>
        </w:tc>
        <w:tc>
          <w:tcPr>
            <w:tcW w:w="0" w:type="dxa"/>
            <w:vAlign w:val="bottom"/>
          </w:tcPr>
          <w:p>
            <w:pPr>
              <w:spacing w:after="0"/>
              <w:rPr>
                <w:sz w:val="1"/>
                <w:szCs w:val="1"/>
                <w:color w:val="auto"/>
              </w:rPr>
            </w:pPr>
          </w:p>
        </w:tc>
      </w:tr>
      <w:tr>
        <w:trPr>
          <w:trHeight w:val="205"/>
        </w:trPr>
        <w:tc>
          <w:tcPr>
            <w:tcW w:w="43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11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ING BANK N.V.</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 the presence of</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Elektra A. Stamatopoulos</w:t>
            </w:r>
          </w:p>
        </w:tc>
        <w:tc>
          <w:tcPr>
            <w:tcW w:w="0" w:type="dxa"/>
            <w:vAlign w:val="bottom"/>
          </w:tcPr>
          <w:p>
            <w:pPr>
              <w:spacing w:after="0"/>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Anthi Kekatou</w:t>
            </w:r>
          </w:p>
        </w:tc>
        <w:tc>
          <w:tcPr>
            <w:tcW w:w="0" w:type="dxa"/>
            <w:vAlign w:val="bottom"/>
          </w:tcPr>
          <w:p>
            <w:pPr>
              <w:spacing w:after="0"/>
              <w:rPr>
                <w:sz w:val="1"/>
                <w:szCs w:val="1"/>
                <w:color w:val="auto"/>
              </w:rPr>
            </w:pPr>
          </w:p>
        </w:tc>
      </w:tr>
      <w:tr>
        <w:trPr>
          <w:trHeight w:val="205"/>
        </w:trPr>
        <w:tc>
          <w:tcPr>
            <w:tcW w:w="43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11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CRÉDIT AGRICOLE CORPORATE AND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INVESTMENT BANK</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 the presence of</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Elektra A. Stamatopoulos</w:t>
            </w:r>
          </w:p>
        </w:tc>
        <w:tc>
          <w:tcPr>
            <w:tcW w:w="0" w:type="dxa"/>
            <w:vAlign w:val="bottom"/>
          </w:tcPr>
          <w:p>
            <w:pPr>
              <w:spacing w:after="0"/>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8"/>
                <w:szCs w:val="18"/>
                <w:b w:val="1"/>
                <w:bCs w:val="1"/>
                <w:color w:val="auto"/>
              </w:rPr>
              <w:t>SWAP BANK</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Anthi Kekatou</w:t>
            </w:r>
          </w:p>
        </w:tc>
        <w:tc>
          <w:tcPr>
            <w:tcW w:w="0" w:type="dxa"/>
            <w:vAlign w:val="bottom"/>
          </w:tcPr>
          <w:p>
            <w:pPr>
              <w:spacing w:after="0"/>
              <w:rPr>
                <w:sz w:val="1"/>
                <w:szCs w:val="1"/>
                <w:color w:val="auto"/>
              </w:rPr>
            </w:pPr>
          </w:p>
        </w:tc>
      </w:tr>
      <w:tr>
        <w:trPr>
          <w:trHeight w:val="205"/>
        </w:trPr>
        <w:tc>
          <w:tcPr>
            <w:tcW w:w="43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11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ING BANK N.V.</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 the presence of</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Elektra A. Stamatopoulos</w:t>
            </w:r>
          </w:p>
        </w:tc>
        <w:tc>
          <w:tcPr>
            <w:tcW w:w="0" w:type="dxa"/>
            <w:vAlign w:val="bottom"/>
          </w:tcPr>
          <w:p>
            <w:pPr>
              <w:spacing w:after="0"/>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8"/>
                <w:szCs w:val="18"/>
                <w:b w:val="1"/>
                <w:bCs w:val="1"/>
                <w:color w:val="auto"/>
              </w:rPr>
              <w:t>FACILITY AGENT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Anthi Kekatou</w:t>
            </w:r>
          </w:p>
        </w:tc>
        <w:tc>
          <w:tcPr>
            <w:tcW w:w="0" w:type="dxa"/>
            <w:vAlign w:val="bottom"/>
          </w:tcPr>
          <w:p>
            <w:pPr>
              <w:spacing w:after="0"/>
              <w:rPr>
                <w:sz w:val="1"/>
                <w:szCs w:val="1"/>
                <w:color w:val="auto"/>
              </w:rPr>
            </w:pPr>
          </w:p>
        </w:tc>
      </w:tr>
      <w:tr>
        <w:trPr>
          <w:trHeight w:val="205"/>
        </w:trPr>
        <w:tc>
          <w:tcPr>
            <w:tcW w:w="43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11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CRÉDIT AGRICOLE CORPORATE AND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INVESTMENT BANK</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 the presence of</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Elektra A. Stamatopoulos</w:t>
            </w:r>
          </w:p>
        </w:tc>
        <w:tc>
          <w:tcPr>
            <w:tcW w:w="0" w:type="dxa"/>
            <w:vAlign w:val="bottom"/>
          </w:tcPr>
          <w:p>
            <w:pPr>
              <w:spacing w:after="0"/>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8"/>
                <w:szCs w:val="18"/>
                <w:b w:val="1"/>
                <w:bCs w:val="1"/>
                <w:color w:val="auto"/>
              </w:rPr>
              <w:t>SECURITY TRUSTEE</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Anthi Kekatou</w:t>
            </w:r>
          </w:p>
        </w:tc>
        <w:tc>
          <w:tcPr>
            <w:tcW w:w="0" w:type="dxa"/>
            <w:vAlign w:val="bottom"/>
          </w:tcPr>
          <w:p>
            <w:pPr>
              <w:spacing w:after="0"/>
              <w:rPr>
                <w:sz w:val="1"/>
                <w:szCs w:val="1"/>
                <w:color w:val="auto"/>
              </w:rPr>
            </w:pPr>
          </w:p>
        </w:tc>
      </w:tr>
      <w:tr>
        <w:trPr>
          <w:trHeight w:val="205"/>
        </w:trPr>
        <w:tc>
          <w:tcPr>
            <w:tcW w:w="43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11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CRÉDIT AGRICOLE CORPORATE AND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INVESTMENT BANK</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 the presence of</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Elektra A. Stamatopoulos</w:t>
            </w:r>
          </w:p>
        </w:tc>
        <w:tc>
          <w:tcPr>
            <w:tcW w:w="0" w:type="dxa"/>
            <w:vAlign w:val="bottom"/>
          </w:tcPr>
          <w:p>
            <w:pPr>
              <w:spacing w:after="0"/>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8"/>
                <w:szCs w:val="18"/>
                <w:b w:val="1"/>
                <w:bCs w:val="1"/>
                <w:color w:val="auto"/>
              </w:rPr>
              <w:t>ACCOUNT BANK</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Anthi Kekatou</w:t>
            </w:r>
          </w:p>
        </w:tc>
        <w:tc>
          <w:tcPr>
            <w:tcW w:w="0" w:type="dxa"/>
            <w:vAlign w:val="bottom"/>
          </w:tcPr>
          <w:p>
            <w:pPr>
              <w:spacing w:after="0"/>
              <w:rPr>
                <w:sz w:val="1"/>
                <w:szCs w:val="1"/>
                <w:color w:val="auto"/>
              </w:rPr>
            </w:pPr>
          </w:p>
        </w:tc>
      </w:tr>
      <w:tr>
        <w:trPr>
          <w:trHeight w:val="205"/>
        </w:trPr>
        <w:tc>
          <w:tcPr>
            <w:tcW w:w="4360" w:type="dxa"/>
            <w:vAlign w:val="bottom"/>
          </w:tcPr>
          <w:p>
            <w:pPr>
              <w:spacing w:after="0" w:line="205" w:lineRule="exact"/>
              <w:rPr>
                <w:sz w:val="20"/>
                <w:szCs w:val="20"/>
                <w:color w:val="auto"/>
              </w:rPr>
            </w:pPr>
            <w:r>
              <w:rPr>
                <w:rFonts w:ascii="Arial" w:cs="Arial" w:eastAsia="Arial" w:hAnsi="Arial"/>
                <w:sz w:val="18"/>
                <w:szCs w:val="18"/>
                <w:color w:val="auto"/>
              </w:rPr>
              <w:t>for and on behalf of</w:t>
            </w:r>
          </w:p>
        </w:tc>
        <w:tc>
          <w:tcPr>
            <w:tcW w:w="11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CRÉDIT AGRICOLE CORPORATE AND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INVESTMENT BANK</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 the presence of</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Elektra A. Stamatopoulos</w:t>
            </w: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ind w:right="610"/>
              <w:spacing w:after="0"/>
              <w:rPr>
                <w:sz w:val="20"/>
                <w:szCs w:val="20"/>
                <w:color w:val="auto"/>
              </w:rPr>
            </w:pPr>
            <w:r>
              <w:rPr>
                <w:rFonts w:ascii="Arial" w:cs="Arial" w:eastAsia="Arial" w:hAnsi="Arial"/>
                <w:sz w:val="18"/>
                <w:szCs w:val="18"/>
                <w:color w:val="auto"/>
                <w:w w:val="99"/>
              </w:rPr>
              <w:t>118</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00"/>
          </w:cols>
          <w:pgMar w:left="240" w:top="269" w:right="1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4.26</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2 January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CRÉDIT AGRICOLE CORPORATE AND INVESTMENT BANK</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Security Trustee</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relating to a Loan Agreement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2 January 2017</w:t>
      </w:r>
    </w:p>
    <w:p>
      <w:pPr>
        <w:sectPr>
          <w:pgSz w:w="11900" w:h="16838" w:orient="portrait"/>
          <w:cols w:equalWidth="0" w:num="1">
            <w:col w:w="10220"/>
          </w:cols>
          <w:pgMar w:left="1440" w:top="121" w:right="2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640" w:type="dxa"/>
            <w:vAlign w:val="bottom"/>
          </w:tcPr>
          <w:p>
            <w:pPr>
              <w:jc w:val="right"/>
              <w:ind w:right="5331"/>
              <w:spacing w:after="0"/>
              <w:rPr>
                <w:sz w:val="20"/>
                <w:szCs w:val="20"/>
                <w:color w:val="auto"/>
              </w:rPr>
            </w:pPr>
            <w:r>
              <w:rPr>
                <w:rFonts w:ascii="Arial" w:cs="Arial" w:eastAsia="Arial" w:hAnsi="Arial"/>
                <w:sz w:val="18"/>
                <w:szCs w:val="18"/>
                <w:b w:val="1"/>
                <w:bCs w:val="1"/>
                <w:color w:val="auto"/>
              </w:rPr>
              <w:t>Index</w:t>
            </w:r>
          </w:p>
        </w:tc>
      </w:tr>
      <w:tr>
        <w:trPr>
          <w:trHeight w:val="407"/>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Clause</w:t>
            </w:r>
          </w:p>
        </w:tc>
        <w:tc>
          <w:tcPr>
            <w:tcW w:w="418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418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418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6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4180" w:type="dxa"/>
            <w:vAlign w:val="bottom"/>
          </w:tcPr>
          <w:p>
            <w:pPr>
              <w:ind w:left="120"/>
              <w:spacing w:after="0"/>
              <w:rPr>
                <w:sz w:val="20"/>
                <w:szCs w:val="20"/>
                <w:color w:val="auto"/>
              </w:rPr>
            </w:pPr>
            <w:r>
              <w:rPr>
                <w:rFonts w:ascii="Arial" w:cs="Arial" w:eastAsia="Arial" w:hAnsi="Arial"/>
                <w:sz w:val="18"/>
                <w:szCs w:val="18"/>
                <w:color w:val="auto"/>
              </w:rPr>
              <w:t>Liability as Principal and Independent Debtor</w:t>
            </w:r>
          </w:p>
        </w:tc>
        <w:tc>
          <w:tcPr>
            <w:tcW w:w="6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4180" w:type="dxa"/>
            <w:vAlign w:val="bottom"/>
          </w:tcPr>
          <w:p>
            <w:pPr>
              <w:ind w:left="120"/>
              <w:spacing w:after="0"/>
              <w:rPr>
                <w:sz w:val="20"/>
                <w:szCs w:val="20"/>
                <w:color w:val="auto"/>
              </w:rPr>
            </w:pPr>
            <w:r>
              <w:rPr>
                <w:rFonts w:ascii="Arial" w:cs="Arial" w:eastAsia="Arial" w:hAnsi="Arial"/>
                <w:sz w:val="18"/>
                <w:szCs w:val="18"/>
                <w:color w:val="auto"/>
              </w:rPr>
              <w:t>Expenses</w:t>
            </w:r>
          </w:p>
        </w:tc>
        <w:tc>
          <w:tcPr>
            <w:tcW w:w="6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4180" w:type="dxa"/>
            <w:vAlign w:val="bottom"/>
          </w:tcPr>
          <w:p>
            <w:pPr>
              <w:ind w:left="120"/>
              <w:spacing w:after="0"/>
              <w:rPr>
                <w:sz w:val="20"/>
                <w:szCs w:val="20"/>
                <w:color w:val="auto"/>
              </w:rPr>
            </w:pPr>
            <w:r>
              <w:rPr>
                <w:rFonts w:ascii="Arial" w:cs="Arial" w:eastAsia="Arial" w:hAnsi="Arial"/>
                <w:sz w:val="18"/>
                <w:szCs w:val="18"/>
                <w:color w:val="auto"/>
              </w:rPr>
              <w:t>Adjustment of Transactions</w:t>
            </w:r>
          </w:p>
        </w:tc>
        <w:tc>
          <w:tcPr>
            <w:tcW w:w="6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4180" w:type="dxa"/>
            <w:vAlign w:val="bottom"/>
          </w:tcPr>
          <w:p>
            <w:pPr>
              <w:ind w:left="120"/>
              <w:spacing w:after="0"/>
              <w:rPr>
                <w:sz w:val="20"/>
                <w:szCs w:val="20"/>
                <w:color w:val="auto"/>
              </w:rPr>
            </w:pPr>
            <w:r>
              <w:rPr>
                <w:rFonts w:ascii="Arial" w:cs="Arial" w:eastAsia="Arial" w:hAnsi="Arial"/>
                <w:sz w:val="18"/>
                <w:szCs w:val="18"/>
                <w:color w:val="auto"/>
              </w:rPr>
              <w:t>Payments</w:t>
            </w:r>
          </w:p>
        </w:tc>
        <w:tc>
          <w:tcPr>
            <w:tcW w:w="6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w:t>
            </w:r>
          </w:p>
        </w:tc>
        <w:tc>
          <w:tcPr>
            <w:tcW w:w="4180" w:type="dxa"/>
            <w:vAlign w:val="bottom"/>
          </w:tcPr>
          <w:p>
            <w:pPr>
              <w:ind w:left="120"/>
              <w:spacing w:after="0"/>
              <w:rPr>
                <w:sz w:val="20"/>
                <w:szCs w:val="20"/>
                <w:color w:val="auto"/>
              </w:rPr>
            </w:pPr>
            <w:r>
              <w:rPr>
                <w:rFonts w:ascii="Arial" w:cs="Arial" w:eastAsia="Arial" w:hAnsi="Arial"/>
                <w:sz w:val="18"/>
                <w:szCs w:val="18"/>
                <w:color w:val="auto"/>
              </w:rPr>
              <w:t>Interest</w:t>
            </w:r>
          </w:p>
        </w:tc>
        <w:tc>
          <w:tcPr>
            <w:tcW w:w="6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4180" w:type="dxa"/>
            <w:vAlign w:val="bottom"/>
          </w:tcPr>
          <w:p>
            <w:pPr>
              <w:ind w:left="120"/>
              <w:spacing w:after="0"/>
              <w:rPr>
                <w:sz w:val="20"/>
                <w:szCs w:val="20"/>
                <w:color w:val="auto"/>
              </w:rPr>
            </w:pPr>
            <w:r>
              <w:rPr>
                <w:rFonts w:ascii="Arial" w:cs="Arial" w:eastAsia="Arial" w:hAnsi="Arial"/>
                <w:sz w:val="18"/>
                <w:szCs w:val="18"/>
                <w:color w:val="auto"/>
              </w:rPr>
              <w:t>Subordination</w:t>
            </w:r>
          </w:p>
        </w:tc>
        <w:tc>
          <w:tcPr>
            <w:tcW w:w="6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w:t>
            </w:r>
          </w:p>
        </w:tc>
        <w:tc>
          <w:tcPr>
            <w:tcW w:w="4180" w:type="dxa"/>
            <w:vAlign w:val="bottom"/>
          </w:tcPr>
          <w:p>
            <w:pPr>
              <w:ind w:left="120"/>
              <w:spacing w:after="0"/>
              <w:rPr>
                <w:sz w:val="20"/>
                <w:szCs w:val="20"/>
                <w:color w:val="auto"/>
              </w:rPr>
            </w:pPr>
            <w:r>
              <w:rPr>
                <w:rFonts w:ascii="Arial" w:cs="Arial" w:eastAsia="Arial" w:hAnsi="Arial"/>
                <w:sz w:val="18"/>
                <w:szCs w:val="18"/>
                <w:color w:val="auto"/>
              </w:rPr>
              <w:t>Enforcement</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w:t>
            </w:r>
          </w:p>
        </w:tc>
        <w:tc>
          <w:tcPr>
            <w:tcW w:w="418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4180" w:type="dxa"/>
            <w:vAlign w:val="bottom"/>
          </w:tcPr>
          <w:p>
            <w:pPr>
              <w:ind w:left="120"/>
              <w:spacing w:after="0"/>
              <w:rPr>
                <w:sz w:val="20"/>
                <w:szCs w:val="20"/>
                <w:color w:val="auto"/>
              </w:rPr>
            </w:pPr>
            <w:r>
              <w:rPr>
                <w:rFonts w:ascii="Arial" w:cs="Arial" w:eastAsia="Arial" w:hAnsi="Arial"/>
                <w:sz w:val="18"/>
                <w:szCs w:val="18"/>
                <w:color w:val="auto"/>
              </w:rPr>
              <w:t>Undertakings</w:t>
            </w:r>
          </w:p>
        </w:tc>
        <w:tc>
          <w:tcPr>
            <w:tcW w:w="6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w:t>
            </w:r>
          </w:p>
        </w:tc>
        <w:tc>
          <w:tcPr>
            <w:tcW w:w="4180" w:type="dxa"/>
            <w:vAlign w:val="bottom"/>
          </w:tcPr>
          <w:p>
            <w:pPr>
              <w:ind w:left="120"/>
              <w:spacing w:after="0"/>
              <w:rPr>
                <w:sz w:val="20"/>
                <w:szCs w:val="20"/>
                <w:color w:val="auto"/>
              </w:rPr>
            </w:pPr>
            <w:r>
              <w:rPr>
                <w:rFonts w:ascii="Arial" w:cs="Arial" w:eastAsia="Arial" w:hAnsi="Arial"/>
                <w:sz w:val="18"/>
                <w:szCs w:val="18"/>
                <w:color w:val="auto"/>
              </w:rPr>
              <w:t>Corporate Undertakings</w:t>
            </w:r>
          </w:p>
        </w:tc>
        <w:tc>
          <w:tcPr>
            <w:tcW w:w="6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13</w:t>
            </w:r>
          </w:p>
        </w:tc>
        <w:tc>
          <w:tcPr>
            <w:tcW w:w="4180" w:type="dxa"/>
            <w:vAlign w:val="bottom"/>
          </w:tcPr>
          <w:p>
            <w:pPr>
              <w:ind w:left="120"/>
              <w:spacing w:after="0"/>
              <w:rPr>
                <w:sz w:val="20"/>
                <w:szCs w:val="20"/>
                <w:color w:val="auto"/>
              </w:rPr>
            </w:pPr>
            <w:r>
              <w:rPr>
                <w:rFonts w:ascii="Arial" w:cs="Arial" w:eastAsia="Arial" w:hAnsi="Arial"/>
                <w:sz w:val="18"/>
                <w:szCs w:val="18"/>
                <w:color w:val="auto"/>
              </w:rPr>
              <w:t>Judgments and Currency Indemnity</w:t>
            </w:r>
          </w:p>
        </w:tc>
        <w:tc>
          <w:tcPr>
            <w:tcW w:w="6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14</w:t>
            </w:r>
          </w:p>
        </w:tc>
        <w:tc>
          <w:tcPr>
            <w:tcW w:w="4180" w:type="dxa"/>
            <w:vAlign w:val="bottom"/>
          </w:tcPr>
          <w:p>
            <w:pPr>
              <w:ind w:left="120"/>
              <w:spacing w:after="0"/>
              <w:rPr>
                <w:sz w:val="20"/>
                <w:szCs w:val="20"/>
                <w:color w:val="auto"/>
              </w:rPr>
            </w:pPr>
            <w:r>
              <w:rPr>
                <w:rFonts w:ascii="Arial" w:cs="Arial" w:eastAsia="Arial" w:hAnsi="Arial"/>
                <w:sz w:val="18"/>
                <w:szCs w:val="18"/>
                <w:color w:val="auto"/>
              </w:rPr>
              <w:t>Set off</w:t>
            </w:r>
          </w:p>
        </w:tc>
        <w:tc>
          <w:tcPr>
            <w:tcW w:w="6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15</w:t>
            </w:r>
          </w:p>
        </w:tc>
        <w:tc>
          <w:tcPr>
            <w:tcW w:w="4180" w:type="dxa"/>
            <w:vAlign w:val="bottom"/>
          </w:tcPr>
          <w:p>
            <w:pPr>
              <w:ind w:left="120"/>
              <w:spacing w:after="0"/>
              <w:rPr>
                <w:sz w:val="20"/>
                <w:szCs w:val="20"/>
                <w:color w:val="auto"/>
              </w:rPr>
            </w:pPr>
            <w:r>
              <w:rPr>
                <w:rFonts w:ascii="Arial" w:cs="Arial" w:eastAsia="Arial" w:hAnsi="Arial"/>
                <w:sz w:val="18"/>
                <w:szCs w:val="18"/>
                <w:color w:val="auto"/>
              </w:rPr>
              <w:t>Supplemental</w:t>
            </w:r>
          </w:p>
        </w:tc>
        <w:tc>
          <w:tcPr>
            <w:tcW w:w="6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16</w:t>
            </w:r>
          </w:p>
        </w:tc>
        <w:tc>
          <w:tcPr>
            <w:tcW w:w="41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6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17</w:t>
            </w:r>
          </w:p>
        </w:tc>
        <w:tc>
          <w:tcPr>
            <w:tcW w:w="4180" w:type="dxa"/>
            <w:vAlign w:val="bottom"/>
          </w:tcPr>
          <w:p>
            <w:pPr>
              <w:ind w:left="120"/>
              <w:spacing w:after="0"/>
              <w:rPr>
                <w:sz w:val="20"/>
                <w:szCs w:val="20"/>
                <w:color w:val="auto"/>
              </w:rPr>
            </w:pPr>
            <w:r>
              <w:rPr>
                <w:rFonts w:ascii="Arial" w:cs="Arial" w:eastAsia="Arial" w:hAnsi="Arial"/>
                <w:sz w:val="18"/>
                <w:szCs w:val="18"/>
                <w:color w:val="auto"/>
              </w:rPr>
              <w:t>Notices</w:t>
            </w:r>
          </w:p>
        </w:tc>
        <w:tc>
          <w:tcPr>
            <w:tcW w:w="6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18</w:t>
            </w:r>
          </w:p>
        </w:tc>
        <w:tc>
          <w:tcPr>
            <w:tcW w:w="4180" w:type="dxa"/>
            <w:vAlign w:val="bottom"/>
          </w:tcPr>
          <w:p>
            <w:pPr>
              <w:ind w:left="120"/>
              <w:spacing w:after="0"/>
              <w:rPr>
                <w:sz w:val="20"/>
                <w:szCs w:val="20"/>
                <w:color w:val="auto"/>
              </w:rPr>
            </w:pPr>
            <w:r>
              <w:rPr>
                <w:rFonts w:ascii="Arial" w:cs="Arial" w:eastAsia="Arial" w:hAnsi="Arial"/>
                <w:sz w:val="18"/>
                <w:szCs w:val="18"/>
                <w:color w:val="auto"/>
              </w:rPr>
              <w:t>Invalidity of Loan Agreement</w:t>
            </w:r>
          </w:p>
        </w:tc>
        <w:tc>
          <w:tcPr>
            <w:tcW w:w="6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19</w:t>
            </w:r>
          </w:p>
        </w:tc>
        <w:tc>
          <w:tcPr>
            <w:tcW w:w="418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6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Schedule 1 Form of Compliance Certificate</w:t>
            </w:r>
          </w:p>
        </w:tc>
        <w:tc>
          <w:tcPr>
            <w:tcW w:w="6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Execution Page</w:t>
            </w:r>
          </w:p>
        </w:tc>
        <w:tc>
          <w:tcPr>
            <w:tcW w:w="6640" w:type="dxa"/>
            <w:vAlign w:val="bottom"/>
          </w:tcPr>
          <w:p>
            <w:pPr>
              <w:jc w:val="right"/>
              <w:spacing w:after="0"/>
              <w:rPr>
                <w:sz w:val="20"/>
                <w:szCs w:val="20"/>
                <w:color w:val="auto"/>
              </w:rPr>
            </w:pPr>
            <w:r>
              <w:rPr>
                <w:rFonts w:ascii="Arial" w:cs="Arial" w:eastAsia="Arial" w:hAnsi="Arial"/>
                <w:sz w:val="18"/>
                <w:szCs w:val="18"/>
                <w:color w:val="auto"/>
              </w:rPr>
              <w:t>22</w:t>
            </w:r>
          </w:p>
        </w:tc>
      </w:tr>
    </w:tbl>
    <w:p>
      <w:pPr>
        <w:jc w:val="right"/>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8" w:name="page309"/>
    <w:bookmarkEnd w:id="3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GUARANTEE </w:t>
      </w:r>
      <w:r>
        <w:rPr>
          <w:rFonts w:ascii="Arial" w:cs="Arial" w:eastAsia="Arial" w:hAnsi="Arial"/>
          <w:sz w:val="18"/>
          <w:szCs w:val="18"/>
          <w:color w:val="auto"/>
        </w:rPr>
        <w:t>is made on 2 January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31" w:lineRule="exact"/>
        <w:rPr>
          <w:sz w:val="20"/>
          <w:szCs w:val="20"/>
          <w:color w:val="auto"/>
        </w:rPr>
      </w:pPr>
    </w:p>
    <w:p>
      <w:pPr>
        <w:ind w:left="800" w:right="120" w:hanging="792"/>
        <w:spacing w:after="0" w:line="282" w:lineRule="auto"/>
        <w:tabs>
          <w:tab w:leader="none" w:pos="800" w:val="left"/>
        </w:tabs>
        <w:numPr>
          <w:ilvl w:val="0"/>
          <w:numId w:val="501"/>
        </w:numPr>
        <w:rPr>
          <w:rFonts w:ascii="Arial" w:cs="Arial" w:eastAsia="Arial" w:hAnsi="Arial"/>
          <w:sz w:val="18"/>
          <w:szCs w:val="18"/>
          <w:color w:val="auto"/>
        </w:rPr>
      </w:pPr>
      <w:r>
        <w:rPr>
          <w:rFonts w:ascii="Arial" w:cs="Arial" w:eastAsia="Arial" w:hAnsi="Arial"/>
          <w:sz w:val="18"/>
          <w:szCs w:val="18"/>
          <w:b w:val="1"/>
          <w:bCs w:val="1"/>
          <w:color w:val="auto"/>
        </w:rPr>
        <w:t>CAPITAL PRODUCT PARTNERS L.P.</w:t>
      </w:r>
      <w:r>
        <w:rPr>
          <w:rFonts w:ascii="Arial" w:cs="Arial" w:eastAsia="Arial" w:hAnsi="Arial"/>
          <w:sz w:val="18"/>
          <w:szCs w:val="18"/>
          <w:color w:val="auto"/>
        </w:rPr>
        <w:t>, being a limited partnership formed under the laws of the Marshall Islands whose registered address is</w:t>
      </w:r>
      <w:r>
        <w:rPr>
          <w:rFonts w:ascii="Arial" w:cs="Arial" w:eastAsia="Arial" w:hAnsi="Arial"/>
          <w:sz w:val="18"/>
          <w:szCs w:val="18"/>
          <w:b w:val="1"/>
          <w:bCs w:val="1"/>
          <w:color w:val="auto"/>
        </w:rPr>
        <w:t xml:space="preserve"> </w:t>
      </w:r>
      <w:r>
        <w:rPr>
          <w:rFonts w:ascii="Arial" w:cs="Arial" w:eastAsia="Arial" w:hAnsi="Arial"/>
          <w:sz w:val="18"/>
          <w:szCs w:val="18"/>
          <w:color w:val="auto"/>
        </w:rPr>
        <w:t>at Trust Company Complex, Ajeltake Road, Ajeltake Island, Majuro, Marshall Islands MH96960 (the “</w:t>
      </w:r>
      <w:r>
        <w:rPr>
          <w:rFonts w:ascii="Arial" w:cs="Arial" w:eastAsia="Arial" w:hAnsi="Arial"/>
          <w:sz w:val="18"/>
          <w:szCs w:val="18"/>
          <w:b w:val="1"/>
          <w:bCs w:val="1"/>
          <w:color w:val="auto"/>
        </w:rPr>
        <w:t>Guarantor</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800" w:right="320" w:hanging="792"/>
        <w:spacing w:after="0" w:line="282" w:lineRule="auto"/>
        <w:tabs>
          <w:tab w:leader="none" w:pos="800" w:val="left"/>
        </w:tabs>
        <w:numPr>
          <w:ilvl w:val="0"/>
          <w:numId w:val="501"/>
        </w:numPr>
        <w:rPr>
          <w:rFonts w:ascii="Arial" w:cs="Arial" w:eastAsia="Arial" w:hAnsi="Arial"/>
          <w:sz w:val="18"/>
          <w:szCs w:val="18"/>
          <w:color w:val="auto"/>
        </w:rPr>
      </w:pPr>
      <w:r>
        <w:rPr>
          <w:rFonts w:ascii="Arial" w:cs="Arial" w:eastAsia="Arial" w:hAnsi="Arial"/>
          <w:sz w:val="18"/>
          <w:szCs w:val="18"/>
          <w:b w:val="1"/>
          <w:bCs w:val="1"/>
          <w:color w:val="auto"/>
        </w:rPr>
        <w:t>CRÉDIT AGRICOLE CORPORATE AND INVESTMENT BANK</w:t>
      </w:r>
      <w:r>
        <w:rPr>
          <w:rFonts w:ascii="Arial" w:cs="Arial" w:eastAsia="Arial" w:hAnsi="Arial"/>
          <w:sz w:val="18"/>
          <w:szCs w:val="18"/>
          <w:color w:val="auto"/>
        </w:rPr>
        <w:t>, acting through its office at 12, place des Etats-Unis, CS 70052, 92547</w:t>
      </w:r>
      <w:r>
        <w:rPr>
          <w:rFonts w:ascii="Arial" w:cs="Arial" w:eastAsia="Arial" w:hAnsi="Arial"/>
          <w:sz w:val="18"/>
          <w:szCs w:val="18"/>
          <w:b w:val="1"/>
          <w:bCs w:val="1"/>
          <w:color w:val="auto"/>
        </w:rPr>
        <w:t xml:space="preserve"> </w:t>
      </w:r>
      <w:r>
        <w:rPr>
          <w:rFonts w:ascii="Arial" w:cs="Arial" w:eastAsia="Arial" w:hAnsi="Arial"/>
          <w:sz w:val="18"/>
          <w:szCs w:val="18"/>
          <w:color w:val="auto"/>
        </w:rPr>
        <w:t>Montrouge Cedex, France (the “</w:t>
      </w:r>
      <w:r>
        <w:rPr>
          <w:rFonts w:ascii="Arial" w:cs="Arial" w:eastAsia="Arial" w:hAnsi="Arial"/>
          <w:sz w:val="18"/>
          <w:szCs w:val="18"/>
          <w:b w:val="1"/>
          <w:bCs w:val="1"/>
          <w:color w:val="auto"/>
        </w:rPr>
        <w:t>Security Trustee</w:t>
      </w:r>
      <w:r>
        <w:rPr>
          <w:rFonts w:ascii="Arial" w:cs="Arial" w:eastAsia="Arial" w:hAnsi="Arial"/>
          <w:sz w:val="18"/>
          <w:szCs w:val="18"/>
          <w:color w:val="auto"/>
        </w:rPr>
        <w:t>”, which expression includes its successors and assigns).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800" w:right="80" w:hanging="792"/>
        <w:spacing w:after="0" w:line="273" w:lineRule="auto"/>
        <w:tabs>
          <w:tab w:leader="none" w:pos="8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By a loan agreement dated 2 January 2017 and made between (i) Asterias Crude Carrier S.A. and Scorpio Crude Carrier S.A. as joint and several borrowers (together, the “</w:t>
      </w:r>
      <w:r>
        <w:rPr>
          <w:rFonts w:ascii="Arial" w:cs="Arial" w:eastAsia="Arial" w:hAnsi="Arial"/>
          <w:sz w:val="17"/>
          <w:szCs w:val="17"/>
          <w:b w:val="1"/>
          <w:bCs w:val="1"/>
          <w:color w:val="auto"/>
        </w:rPr>
        <w:t>Borrowers</w:t>
      </w:r>
      <w:r>
        <w:rPr>
          <w:rFonts w:ascii="Arial" w:cs="Arial" w:eastAsia="Arial" w:hAnsi="Arial"/>
          <w:sz w:val="17"/>
          <w:szCs w:val="17"/>
          <w:color w:val="auto"/>
        </w:rPr>
        <w:t>” and each a “</w:t>
      </w:r>
      <w:r>
        <w:rPr>
          <w:rFonts w:ascii="Arial" w:cs="Arial" w:eastAsia="Arial" w:hAnsi="Arial"/>
          <w:sz w:val="17"/>
          <w:szCs w:val="17"/>
          <w:b w:val="1"/>
          <w:bCs w:val="1"/>
          <w:color w:val="auto"/>
        </w:rPr>
        <w:t>Borrower</w:t>
      </w:r>
      <w:r>
        <w:rPr>
          <w:rFonts w:ascii="Arial" w:cs="Arial" w:eastAsia="Arial" w:hAnsi="Arial"/>
          <w:sz w:val="17"/>
          <w:szCs w:val="17"/>
          <w:color w:val="auto"/>
        </w:rPr>
        <w:t>”), (ii) the banks and financial institutions listed therein as lenders (together, the “</w:t>
      </w:r>
      <w:r>
        <w:rPr>
          <w:rFonts w:ascii="Arial" w:cs="Arial" w:eastAsia="Arial" w:hAnsi="Arial"/>
          <w:sz w:val="17"/>
          <w:szCs w:val="17"/>
          <w:b w:val="1"/>
          <w:bCs w:val="1"/>
          <w:color w:val="auto"/>
        </w:rPr>
        <w:t>Lenders</w:t>
      </w:r>
      <w:r>
        <w:rPr>
          <w:rFonts w:ascii="Arial" w:cs="Arial" w:eastAsia="Arial" w:hAnsi="Arial"/>
          <w:sz w:val="17"/>
          <w:szCs w:val="17"/>
          <w:color w:val="auto"/>
        </w:rPr>
        <w:t>”), (iii) Crédit Agricole Corporate and Investment Bank (“</w:t>
      </w:r>
      <w:r>
        <w:rPr>
          <w:rFonts w:ascii="Arial" w:cs="Arial" w:eastAsia="Arial" w:hAnsi="Arial"/>
          <w:sz w:val="17"/>
          <w:szCs w:val="17"/>
          <w:b w:val="1"/>
          <w:bCs w:val="1"/>
          <w:color w:val="auto"/>
        </w:rPr>
        <w:t>CACIB</w:t>
      </w:r>
      <w:r>
        <w:rPr>
          <w:rFonts w:ascii="Arial" w:cs="Arial" w:eastAsia="Arial" w:hAnsi="Arial"/>
          <w:sz w:val="17"/>
          <w:szCs w:val="17"/>
          <w:color w:val="auto"/>
        </w:rPr>
        <w:t>”) as facility agent (in such capacity, the “</w:t>
      </w:r>
      <w:r>
        <w:rPr>
          <w:rFonts w:ascii="Arial" w:cs="Arial" w:eastAsia="Arial" w:hAnsi="Arial"/>
          <w:sz w:val="17"/>
          <w:szCs w:val="17"/>
          <w:b w:val="1"/>
          <w:bCs w:val="1"/>
          <w:color w:val="auto"/>
        </w:rPr>
        <w:t>Facility Agent</w:t>
      </w:r>
      <w:r>
        <w:rPr>
          <w:rFonts w:ascii="Arial" w:cs="Arial" w:eastAsia="Arial" w:hAnsi="Arial"/>
          <w:sz w:val="17"/>
          <w:szCs w:val="17"/>
          <w:color w:val="auto"/>
        </w:rPr>
        <w:t>”) and account bank, (iv) ING Bank N.V. as swap bank (in such capacity, the “</w:t>
      </w:r>
      <w:r>
        <w:rPr>
          <w:rFonts w:ascii="Arial" w:cs="Arial" w:eastAsia="Arial" w:hAnsi="Arial"/>
          <w:sz w:val="17"/>
          <w:szCs w:val="17"/>
          <w:b w:val="1"/>
          <w:bCs w:val="1"/>
          <w:color w:val="auto"/>
        </w:rPr>
        <w:t>Swap Bank</w:t>
      </w:r>
      <w:r>
        <w:rPr>
          <w:rFonts w:ascii="Arial" w:cs="Arial" w:eastAsia="Arial" w:hAnsi="Arial"/>
          <w:sz w:val="17"/>
          <w:szCs w:val="17"/>
          <w:color w:val="auto"/>
        </w:rPr>
        <w:t>”), (v) the Security Trustee as security trustee and (vi) CACIB and ING Bank N.V. as mandated lead arrangers and bookrunners, it was agreed that the Lenders would make available to the Borrowers a secured post-delivery term loan facility of up to US$70,200,000 (the “</w:t>
      </w:r>
      <w:r>
        <w:rPr>
          <w:rFonts w:ascii="Arial" w:cs="Arial" w:eastAsia="Arial" w:hAnsi="Arial"/>
          <w:sz w:val="17"/>
          <w:szCs w:val="17"/>
          <w:b w:val="1"/>
          <w:bCs w:val="1"/>
          <w:color w:val="auto"/>
        </w:rPr>
        <w:t>Loan</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800" w:hanging="792"/>
        <w:spacing w:after="0" w:line="261" w:lineRule="auto"/>
        <w:tabs>
          <w:tab w:leader="none" w:pos="8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By certain master agreements (each on the 2002 ISDA (Multcurrency Crossborder) form including the schedule thereto as amended) (the “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each dated as of 2 January 2017 and made between (i) each Borrower and (ii) the Swap Bank, it was agreed that the Swap Bank</w:t>
      </w:r>
      <w:r>
        <w:rPr>
          <w:rFonts w:ascii="Arial" w:cs="Arial" w:eastAsia="Arial" w:hAnsi="Arial"/>
          <w:sz w:val="18"/>
          <w:szCs w:val="18"/>
          <w:b w:val="1"/>
          <w:bCs w:val="1"/>
          <w:color w:val="auto"/>
        </w:rPr>
        <w:t xml:space="preserve"> </w:t>
      </w:r>
      <w:r>
        <w:rPr>
          <w:rFonts w:ascii="Arial" w:cs="Arial" w:eastAsia="Arial" w:hAnsi="Arial"/>
          <w:sz w:val="18"/>
          <w:szCs w:val="18"/>
          <w:color w:val="auto"/>
        </w:rPr>
        <w:t>may enter into Designated Transactions with that Borrower from time to time to hedge such Borrower’s exposure under the Loan Agreement to interest rate fluctuations.</w:t>
      </w:r>
    </w:p>
    <w:p>
      <w:pPr>
        <w:spacing w:after="0" w:line="89" w:lineRule="exact"/>
        <w:rPr>
          <w:rFonts w:ascii="Arial" w:cs="Arial" w:eastAsia="Arial" w:hAnsi="Arial"/>
          <w:sz w:val="18"/>
          <w:szCs w:val="18"/>
          <w:color w:val="auto"/>
        </w:rPr>
      </w:pPr>
    </w:p>
    <w:p>
      <w:pPr>
        <w:ind w:left="800" w:right="280" w:hanging="792"/>
        <w:spacing w:after="0" w:line="277" w:lineRule="auto"/>
        <w:tabs>
          <w:tab w:leader="none" w:pos="8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By the Agency and Trust Agreement entered into pursuant to the Loan Agreement, it was agreed that the Security Trustee would hold the Trust Property on trust for the Creditor Parties.</w:t>
      </w:r>
    </w:p>
    <w:p>
      <w:pPr>
        <w:spacing w:after="0" w:line="75"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It is a condition precedent to the Lenders advancing the Loan (or any part thereof) to the Borrowers that the Guarantor shall execute and deliver or, as the case may be, register in favour of the Security Trustee this Guarantee.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left="800" w:hanging="792"/>
        <w:spacing w:after="0"/>
        <w:tabs>
          <w:tab w:leader="none" w:pos="800"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5"/>
          <w:szCs w:val="15"/>
          <w:b w:val="1"/>
          <w:bCs w:val="1"/>
          <w:color w:val="auto"/>
        </w:rPr>
        <w:t>Defined expressions</w:t>
      </w:r>
    </w:p>
    <w:p>
      <w:pPr>
        <w:spacing w:after="0" w:line="121" w:lineRule="exact"/>
        <w:rPr>
          <w:sz w:val="20"/>
          <w:szCs w:val="20"/>
          <w:color w:val="auto"/>
        </w:rPr>
      </w:pPr>
    </w:p>
    <w:p>
      <w:pPr>
        <w:ind w:left="800" w:right="300"/>
        <w:spacing w:after="0" w:line="277" w:lineRule="auto"/>
        <w:rPr>
          <w:sz w:val="20"/>
          <w:szCs w:val="20"/>
          <w:color w:val="auto"/>
        </w:rPr>
      </w:pPr>
      <w:r>
        <w:rPr>
          <w:rFonts w:ascii="Arial" w:cs="Arial" w:eastAsia="Arial" w:hAnsi="Arial"/>
          <w:sz w:val="18"/>
          <w:szCs w:val="18"/>
          <w:color w:val="auto"/>
        </w:rPr>
        <w:t>Words and expressions defined in the Loan Agreement shall have the same meanings when used in this Guarantee unless the context otherwise requires.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this Guarantee:</w:t>
      </w:r>
    </w:p>
    <w:p>
      <w:pPr>
        <w:spacing w:after="0" w:line="113" w:lineRule="exact"/>
        <w:rPr>
          <w:sz w:val="20"/>
          <w:szCs w:val="20"/>
          <w:color w:val="auto"/>
        </w:rPr>
      </w:pPr>
    </w:p>
    <w:p>
      <w:pPr>
        <w:ind w:left="80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Information</w:t>
      </w:r>
      <w:r>
        <w:rPr>
          <w:rFonts w:ascii="Arial" w:cs="Arial" w:eastAsia="Arial" w:hAnsi="Arial"/>
          <w:sz w:val="18"/>
          <w:szCs w:val="18"/>
          <w:color w:val="auto"/>
        </w:rPr>
        <w:t>” means the annual audited consolidated accounts and the unaudited semi-annual management accounts in respect of each Relevant Borrower and the Guarantor referred to, respectively, in Clauses 11.4(a) and 11.4(b);</w:t>
      </w:r>
    </w:p>
    <w:p>
      <w:pPr>
        <w:spacing w:after="0" w:line="54" w:lineRule="exact"/>
        <w:rPr>
          <w:sz w:val="20"/>
          <w:szCs w:val="20"/>
          <w:color w:val="auto"/>
        </w:rPr>
      </w:pPr>
    </w:p>
    <w:p>
      <w:pPr>
        <w:ind w:left="800"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w:t>
      </w:r>
      <w:r>
        <w:rPr>
          <w:rFonts w:ascii="Arial" w:cs="Arial" w:eastAsia="Arial" w:hAnsi="Arial"/>
          <w:sz w:val="18"/>
          <w:szCs w:val="18"/>
          <w:color w:val="auto"/>
        </w:rPr>
        <w:t>” includes a liquidation, receivership or administration and any form of suspension of payments, arrangement with creditors or reorganisation under any corporate or insolvency law of any country;</w:t>
      </w:r>
    </w:p>
    <w:p>
      <w:pPr>
        <w:sectPr>
          <w:pgSz w:w="11900" w:h="16838" w:orient="portrait"/>
          <w:cols w:equalWidth="0" w:num="1">
            <w:col w:w="11400"/>
          </w:cols>
          <w:pgMar w:left="240" w:top="270" w:right="259" w:bottom="1440" w:gutter="0" w:footer="0" w:header="0"/>
        </w:sectPr>
      </w:pPr>
    </w:p>
    <w:bookmarkStart w:id="309" w:name="page310"/>
    <w:bookmarkEnd w:id="309"/>
    <w:p>
      <w:pPr>
        <w:ind w:right="5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set out in Schedule 1 (or in any other form which the Facility Agent approves or requires in its sole discretion);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Date</w:t>
      </w:r>
      <w:r>
        <w:rPr>
          <w:rFonts w:ascii="Arial" w:cs="Arial" w:eastAsia="Arial" w:hAnsi="Arial"/>
          <w:sz w:val="18"/>
          <w:szCs w:val="18"/>
          <w:color w:val="auto"/>
        </w:rPr>
        <w:t>” means each of 30 June and 31 December in each Financial Year of the Guarantor;</w:t>
      </w:r>
    </w:p>
    <w:p>
      <w:pPr>
        <w:spacing w:after="0" w:line="117"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in respect of the relevant period, the aggregate amount of consolidated earnings of the Group (excluding any extraordinary items (namely any items which are not relevant to the Guarantor’s normal course of daily business)) before net interest, tax, depreciation or any amortisation charges;</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Vessels</w:t>
      </w:r>
      <w:r>
        <w:rPr>
          <w:rFonts w:ascii="Arial" w:cs="Arial" w:eastAsia="Arial" w:hAnsi="Arial"/>
          <w:sz w:val="18"/>
          <w:szCs w:val="18"/>
          <w:color w:val="auto"/>
        </w:rPr>
        <w:t>” means all of the vessels (including, but not limited to, each Ship owned by a Relevant Borrower) from time to time wholly owned by members of the Group (each a “</w:t>
      </w:r>
      <w:r>
        <w:rPr>
          <w:rFonts w:ascii="Arial" w:cs="Arial" w:eastAsia="Arial" w:hAnsi="Arial"/>
          <w:sz w:val="18"/>
          <w:szCs w:val="18"/>
          <w:b w:val="1"/>
          <w:bCs w:val="1"/>
          <w:color w:val="auto"/>
        </w:rPr>
        <w:t>Fleet Vessel</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Fleet Vessel Market Value</w:t>
      </w:r>
      <w:r>
        <w:rPr>
          <w:rFonts w:ascii="Arial" w:cs="Arial" w:eastAsia="Arial" w:hAnsi="Arial"/>
          <w:sz w:val="16"/>
          <w:szCs w:val="16"/>
          <w:color w:val="auto"/>
        </w:rPr>
        <w:t>” means, in relation to a Fleet Vessel, the market value of that Fleet Vessel determined pursuant to Clause 12.7;</w:t>
      </w:r>
    </w:p>
    <w:p>
      <w:pPr>
        <w:spacing w:after="0" w:line="140"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the Guarantor and its wholly-owned subsidiaries (whether direct or indirect, and including, but not limited to, each Relevant Borrower) from time to time during the Security Period and “</w:t>
      </w:r>
      <w:r>
        <w:rPr>
          <w:rFonts w:ascii="Arial" w:cs="Arial" w:eastAsia="Arial" w:hAnsi="Arial"/>
          <w:sz w:val="17"/>
          <w:szCs w:val="17"/>
          <w:b w:val="1"/>
          <w:bCs w:val="1"/>
          <w:color w:val="auto"/>
        </w:rPr>
        <w:t>member of the Group</w:t>
      </w:r>
      <w:r>
        <w:rPr>
          <w:rFonts w:ascii="Arial" w:cs="Arial" w:eastAsia="Arial" w:hAnsi="Arial"/>
          <w:sz w:val="17"/>
          <w:szCs w:val="17"/>
          <w:color w:val="auto"/>
        </w:rPr>
        <w:t>” shall be construed accordingly;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Advance</w:t>
      </w:r>
      <w:r>
        <w:rPr>
          <w:rFonts w:ascii="Arial" w:cs="Arial" w:eastAsia="Arial" w:hAnsi="Arial"/>
          <w:sz w:val="18"/>
          <w:szCs w:val="18"/>
          <w:color w:val="auto"/>
        </w:rPr>
        <w:t>” means any Advance financing a Ship owned or to be owned by a Relevant Borrower;</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 Documents</w:t>
      </w:r>
      <w:r>
        <w:rPr>
          <w:rFonts w:ascii="Arial" w:cs="Arial" w:eastAsia="Arial" w:hAnsi="Arial"/>
          <w:sz w:val="18"/>
          <w:szCs w:val="18"/>
          <w:color w:val="auto"/>
        </w:rPr>
        <w:t>” means, together, this Guarantee, any Pledges and any other Finance Document to which the Guarantor is or, as the context may require, will be a party and, in the singular, means any of them;</w:t>
      </w:r>
    </w:p>
    <w:p>
      <w:pPr>
        <w:spacing w:after="0" w:line="54"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Intermediate Shareholder</w:t>
      </w:r>
      <w:r>
        <w:rPr>
          <w:rFonts w:ascii="Arial" w:cs="Arial" w:eastAsia="Arial" w:hAnsi="Arial"/>
          <w:sz w:val="17"/>
          <w:szCs w:val="17"/>
          <w:color w:val="auto"/>
        </w:rPr>
        <w:t>” means Capital Product Operating LLC, a limited liability company formed in the Republic of the Marshall Islands whose registered office is at Trust Company Complex Ajeltake Road, Ajeltake Island, Majuro MH 96960, the Marshall Islands;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means, any relevant time, the ratio (expressed as a percentage) of:</w:t>
      </w:r>
    </w:p>
    <w:p>
      <w:pPr>
        <w:spacing w:after="0" w:line="135" w:lineRule="exact"/>
        <w:rPr>
          <w:sz w:val="20"/>
          <w:szCs w:val="20"/>
          <w:color w:val="auto"/>
        </w:rPr>
      </w:pPr>
    </w:p>
    <w:p>
      <w:pPr>
        <w:ind w:left="900" w:hanging="895"/>
        <w:spacing w:after="0"/>
        <w:tabs>
          <w:tab w:leader="none" w:pos="9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Financial Indebtedness of the Group less the aggregate Liquid Assets of the Group; to</w:t>
      </w:r>
    </w:p>
    <w:p>
      <w:pPr>
        <w:spacing w:after="0" w:line="130" w:lineRule="exact"/>
        <w:rPr>
          <w:rFonts w:ascii="Arial" w:cs="Arial" w:eastAsia="Arial" w:hAnsi="Arial"/>
          <w:sz w:val="18"/>
          <w:szCs w:val="18"/>
          <w:color w:val="auto"/>
        </w:rPr>
      </w:pPr>
    </w:p>
    <w:p>
      <w:pPr>
        <w:ind w:left="900" w:hanging="895"/>
        <w:spacing w:after="0"/>
        <w:tabs>
          <w:tab w:leader="none" w:pos="9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aggregate Fleet Vessel Market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 Assets</w:t>
      </w:r>
      <w:r>
        <w:rPr>
          <w:rFonts w:ascii="Arial" w:cs="Arial" w:eastAsia="Arial" w:hAnsi="Arial"/>
          <w:sz w:val="18"/>
          <w:szCs w:val="18"/>
          <w:color w:val="auto"/>
        </w:rPr>
        <w:t>” means, at any relevant time hereunder:</w:t>
      </w:r>
    </w:p>
    <w:p>
      <w:pPr>
        <w:spacing w:after="0" w:line="135" w:lineRule="exact"/>
        <w:rPr>
          <w:sz w:val="20"/>
          <w:szCs w:val="20"/>
          <w:color w:val="auto"/>
        </w:rPr>
      </w:pPr>
    </w:p>
    <w:p>
      <w:pPr>
        <w:jc w:val="both"/>
        <w:ind w:left="900" w:right="180" w:hanging="895"/>
        <w:spacing w:after="0" w:line="286" w:lineRule="auto"/>
        <w:tabs>
          <w:tab w:leader="none" w:pos="90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cash in hand or held with banks or other financial institutions of the Guarantor and/or any other member of the Group in Dollars or another currency freely convertible into Dollars, which is free of any Security Interest (other than a Permitted Security Interest and other than ordinary bankers’ liens which have not been enforced or become capable of being enforced);</w:t>
      </w:r>
    </w:p>
    <w:p>
      <w:pPr>
        <w:spacing w:after="0" w:line="70" w:lineRule="exact"/>
        <w:rPr>
          <w:rFonts w:ascii="Arial" w:cs="Arial" w:eastAsia="Arial" w:hAnsi="Arial"/>
          <w:sz w:val="17"/>
          <w:szCs w:val="17"/>
          <w:color w:val="auto"/>
        </w:rPr>
      </w:pPr>
    </w:p>
    <w:p>
      <w:pPr>
        <w:ind w:left="900" w:hanging="895"/>
        <w:spacing w:after="0"/>
        <w:tabs>
          <w:tab w:leader="none" w:pos="9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any other short-term financial investment which is free of any Security Interest (other than a Permitted Security Interest);</w:t>
      </w:r>
    </w:p>
    <w:p>
      <w:pPr>
        <w:spacing w:after="0" w:line="130" w:lineRule="exact"/>
        <w:rPr>
          <w:rFonts w:ascii="Arial" w:cs="Arial" w:eastAsia="Arial" w:hAnsi="Arial"/>
          <w:sz w:val="18"/>
          <w:szCs w:val="18"/>
          <w:color w:val="auto"/>
        </w:rPr>
      </w:pPr>
    </w:p>
    <w:p>
      <w:pPr>
        <w:ind w:left="900" w:hanging="895"/>
        <w:spacing w:after="0"/>
        <w:tabs>
          <w:tab w:leader="none" w:pos="9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any cash equivalent of the Guarantor and/or any other member of the Group; and</w:t>
      </w:r>
    </w:p>
    <w:p>
      <w:pPr>
        <w:spacing w:after="0" w:line="130" w:lineRule="exact"/>
        <w:rPr>
          <w:rFonts w:ascii="Arial" w:cs="Arial" w:eastAsia="Arial" w:hAnsi="Arial"/>
          <w:sz w:val="18"/>
          <w:szCs w:val="18"/>
          <w:color w:val="auto"/>
        </w:rPr>
      </w:pPr>
    </w:p>
    <w:p>
      <w:pPr>
        <w:ind w:left="900" w:hanging="895"/>
        <w:spacing w:after="0"/>
        <w:tabs>
          <w:tab w:leader="none" w:pos="9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any marketable securities of the Guarantor and/or any other member of the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stated in the latest Accounting Information;</w:t>
      </w: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20"/>
          </w:cols>
          <w:pgMar w:left="1040" w:top="269" w:right="339" w:bottom="1440" w:gutter="0" w:footer="0" w:header="0"/>
        </w:sectPr>
      </w:pPr>
    </w:p>
    <w:bookmarkStart w:id="310" w:name="page311"/>
    <w:bookmarkEnd w:id="310"/>
    <w:p>
      <w:pPr>
        <w:ind w:left="460" w:right="3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Loan Agreement</w:t>
      </w:r>
      <w:r>
        <w:rPr>
          <w:rFonts w:ascii="Arial" w:cs="Arial" w:eastAsia="Arial" w:hAnsi="Arial"/>
          <w:sz w:val="18"/>
          <w:szCs w:val="18"/>
          <w:color w:val="auto"/>
        </w:rPr>
        <w:t>” means the loan agreement dated 2 January 2017 referred to in Recital (A) and includes any existing or future amendments or supplements, whether made with the Guarantor’s consent or otherwise;</w:t>
      </w:r>
    </w:p>
    <w:p>
      <w:pPr>
        <w:spacing w:after="0" w:line="54" w:lineRule="exact"/>
        <w:rPr>
          <w:sz w:val="20"/>
          <w:szCs w:val="20"/>
          <w:color w:val="auto"/>
        </w:rPr>
      </w:pPr>
    </w:p>
    <w:p>
      <w:pPr>
        <w:ind w:left="460" w:right="2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Master Agreement</w:t>
      </w:r>
      <w:r>
        <w:rPr>
          <w:rFonts w:ascii="Arial" w:cs="Arial" w:eastAsia="Arial" w:hAnsi="Arial"/>
          <w:sz w:val="16"/>
          <w:szCs w:val="16"/>
          <w:color w:val="auto"/>
        </w:rPr>
        <w:t>” means each of the Master Agreements (and the schedules thereto) referred to in Recital (B) (including all Designated Transactions from time to time entered into and Confirmations from time to time exchanged thereunder) and includes, in each case, any existing or future amendments or supplements, whether made with the Guarantor’s consent or otherwise and, in the plural, means all of them;</w:t>
      </w:r>
    </w:p>
    <w:p>
      <w:pPr>
        <w:spacing w:after="0" w:line="34" w:lineRule="exact"/>
        <w:rPr>
          <w:sz w:val="20"/>
          <w:szCs w:val="20"/>
          <w:color w:val="auto"/>
        </w:rPr>
      </w:pPr>
    </w:p>
    <w:p>
      <w:pPr>
        <w:ind w:left="460"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Interest Expense</w:t>
      </w:r>
      <w:r>
        <w:rPr>
          <w:rFonts w:ascii="Arial" w:cs="Arial" w:eastAsia="Arial" w:hAnsi="Arial"/>
          <w:sz w:val="18"/>
          <w:szCs w:val="18"/>
          <w:color w:val="auto"/>
        </w:rPr>
        <w:t>” means, as at any date of calculation, the aggregate of all interest payable by any member of the Group on any Financial Indebtedness and any net amounts payable under interest rate hedge agreements for the 12-month period commencing on the date of calculation less interest income received, determined on a consolidated basis in accordance with generally accepted accounting principles and as shown in the consolidated statements of income of the Group in the Accounting Information;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Pledges</w:t>
      </w:r>
      <w:r>
        <w:rPr>
          <w:rFonts w:ascii="Arial" w:cs="Arial" w:eastAsia="Arial" w:hAnsi="Arial"/>
          <w:sz w:val="17"/>
          <w:szCs w:val="17"/>
          <w:color w:val="auto"/>
        </w:rPr>
        <w:t>” means any pledge of the share capital of any Relevant Borrower held by the Guarantor and, in the plural, means both of them;</w:t>
      </w:r>
    </w:p>
    <w:p>
      <w:pPr>
        <w:spacing w:after="0" w:line="129" w:lineRule="exact"/>
        <w:rPr>
          <w:sz w:val="20"/>
          <w:szCs w:val="20"/>
          <w:color w:val="auto"/>
        </w:rPr>
      </w:pPr>
    </w:p>
    <w:p>
      <w:pPr>
        <w:ind w:left="460" w:right="1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Borrower</w:t>
      </w:r>
      <w:r>
        <w:rPr>
          <w:rFonts w:ascii="Arial" w:cs="Arial" w:eastAsia="Arial" w:hAnsi="Arial"/>
          <w:sz w:val="18"/>
          <w:szCs w:val="18"/>
          <w:color w:val="auto"/>
        </w:rPr>
        <w:t>” means at any relevant time, each Borrower which is a member of the Group at such time, and in the plural means all of them; “</w:t>
      </w:r>
      <w:r>
        <w:rPr>
          <w:rFonts w:ascii="Arial" w:cs="Arial" w:eastAsia="Arial" w:hAnsi="Arial"/>
          <w:sz w:val="18"/>
          <w:szCs w:val="18"/>
          <w:b w:val="1"/>
          <w:bCs w:val="1"/>
          <w:color w:val="auto"/>
        </w:rPr>
        <w:t>Total Assets</w:t>
      </w:r>
      <w:r>
        <w:rPr>
          <w:rFonts w:ascii="Arial" w:cs="Arial" w:eastAsia="Arial" w:hAnsi="Arial"/>
          <w:sz w:val="18"/>
          <w:szCs w:val="18"/>
          <w:color w:val="auto"/>
        </w:rPr>
        <w:t>” means the total assets of the Group as stated in the most recent Accounting Information; and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as from time to time in effect in the United States of America.</w:t>
      </w:r>
    </w:p>
    <w:p>
      <w:pPr>
        <w:spacing w:after="0" w:line="3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Application of construction and interpretation provisions of Loan Agreement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Clauses 1.2 and 1.5 inclusive of the Loan Agreement apply, with any necessary modifications, to this Guarantee.</w:t>
      </w:r>
    </w:p>
    <w:p>
      <w:pPr>
        <w:spacing w:after="0" w:line="370" w:lineRule="exact"/>
        <w:rPr>
          <w:sz w:val="20"/>
          <w:szCs w:val="20"/>
          <w:color w:val="auto"/>
        </w:rPr>
      </w:pPr>
    </w:p>
    <w:p>
      <w:pPr>
        <w:ind w:left="800" w:hanging="792"/>
        <w:spacing w:after="0"/>
        <w:tabs>
          <w:tab w:leader="none" w:pos="80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Guarantee and indemnity</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unconditionally and irrevocably:</w:t>
      </w:r>
    </w:p>
    <w:p>
      <w:pPr>
        <w:spacing w:after="0" w:line="131" w:lineRule="exact"/>
        <w:rPr>
          <w:sz w:val="20"/>
          <w:szCs w:val="20"/>
          <w:color w:val="auto"/>
        </w:rPr>
      </w:pPr>
    </w:p>
    <w:p>
      <w:pPr>
        <w:jc w:val="both"/>
        <w:ind w:left="800" w:right="380" w:hanging="792"/>
        <w:spacing w:after="0" w:line="286" w:lineRule="auto"/>
        <w:tabs>
          <w:tab w:leader="none" w:pos="80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guarantees the due payment of the Guaranteed Advances (or any of them) and of all amounts payable by any Relevant Borrower under or in connection with the Loan Agreement, the Master Agreements and every other Finance Document in connection with, or attributable to, any Guaranteed Advance in respect of the period during which that Relevant Borrower is a member of the Group;</w:t>
      </w:r>
    </w:p>
    <w:p>
      <w:pPr>
        <w:spacing w:after="0" w:line="70" w:lineRule="exact"/>
        <w:rPr>
          <w:rFonts w:ascii="Arial" w:cs="Arial" w:eastAsia="Arial" w:hAnsi="Arial"/>
          <w:sz w:val="17"/>
          <w:szCs w:val="17"/>
          <w:color w:val="auto"/>
        </w:rPr>
      </w:pPr>
    </w:p>
    <w:p>
      <w:pPr>
        <w:ind w:left="800" w:right="220" w:hanging="792"/>
        <w:spacing w:after="0" w:line="277" w:lineRule="auto"/>
        <w:tabs>
          <w:tab w:leader="none" w:pos="8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undertakes to pay to the Security Trustee, on the Security Trustee’s demand, any such amount which is not paid by a Relevant Borrower when payable in respect of the period during which that Relevant Borrower is a member of the Group; and</w:t>
      </w:r>
    </w:p>
    <w:p>
      <w:pPr>
        <w:spacing w:after="0" w:line="75" w:lineRule="exact"/>
        <w:rPr>
          <w:rFonts w:ascii="Arial" w:cs="Arial" w:eastAsia="Arial" w:hAnsi="Arial"/>
          <w:sz w:val="18"/>
          <w:szCs w:val="18"/>
          <w:color w:val="auto"/>
        </w:rPr>
      </w:pPr>
    </w:p>
    <w:p>
      <w:pPr>
        <w:ind w:left="800" w:hanging="792"/>
        <w:spacing w:after="0" w:line="293" w:lineRule="auto"/>
        <w:tabs>
          <w:tab w:leader="none" w:pos="80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 xml:space="preserve">agrees to fully indemnify the Security Trustee and each other Creditor Party on the Security Trustee’s demand in respect of all claims, reasonable expenses, liabilities and losses which are made or brought against or incurred by the Security Trustee or any other Creditor Party concerned as a result of or in connection with any obligation or liability guaranteed by the Guarantor being or becoming unenforceable, invalid, void or illegal; and the amount recoverable under this indemnity shall be equal to the amount which the Security Trustee or the other Creditor Party concerned would otherwise have been entitled to recover </w:t>
      </w:r>
      <w:r>
        <w:rPr>
          <w:rFonts w:ascii="Arial" w:cs="Arial" w:eastAsia="Arial" w:hAnsi="Arial"/>
          <w:sz w:val="16"/>
          <w:szCs w:val="16"/>
          <w:b w:val="1"/>
          <w:bCs w:val="1"/>
          <w:color w:val="auto"/>
        </w:rPr>
        <w:t>Provided however that</w:t>
      </w:r>
      <w:r>
        <w:rPr>
          <w:rFonts w:ascii="Arial" w:cs="Arial" w:eastAsia="Arial" w:hAnsi="Arial"/>
          <w:sz w:val="16"/>
          <w:szCs w:val="16"/>
          <w:color w:val="auto"/>
        </w:rPr>
        <w:t>, for the avoidance of doubt, the Guarantor shall only be liable under this Guarantee from the date on which any Borrower becomes a member of the Group following a Dropdown.</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269" w:right="399" w:bottom="1440" w:gutter="0" w:footer="0" w:header="0"/>
        </w:sectPr>
      </w:pPr>
    </w:p>
    <w:bookmarkStart w:id="311" w:name="page312"/>
    <w:bookmarkEnd w:id="311"/>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No limit on number of demands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Security Trustee may serve more than one demand under Clause 2.1.</w:t>
      </w:r>
    </w:p>
    <w:p>
      <w:pPr>
        <w:spacing w:after="0" w:line="370" w:lineRule="exact"/>
        <w:rPr>
          <w:sz w:val="20"/>
          <w:szCs w:val="20"/>
          <w:color w:val="auto"/>
        </w:rPr>
      </w:pPr>
    </w:p>
    <w:p>
      <w:pPr>
        <w:ind w:left="800" w:hanging="792"/>
        <w:spacing w:after="0"/>
        <w:tabs>
          <w:tab w:leader="none" w:pos="80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AS PRINCIPAL AND INDEPENDENT DEBTOR</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color w:val="auto"/>
        </w:rPr>
        <w:t>Principal and independent debtor</w:t>
      </w:r>
    </w:p>
    <w:p>
      <w:pPr>
        <w:spacing w:after="0" w:line="121" w:lineRule="exact"/>
        <w:rPr>
          <w:sz w:val="20"/>
          <w:szCs w:val="20"/>
          <w:color w:val="auto"/>
        </w:rPr>
      </w:pPr>
    </w:p>
    <w:p>
      <w:pPr>
        <w:ind w:left="800" w:right="700"/>
        <w:spacing w:after="0" w:line="277" w:lineRule="auto"/>
        <w:rPr>
          <w:sz w:val="20"/>
          <w:szCs w:val="20"/>
          <w:color w:val="auto"/>
        </w:rPr>
      </w:pPr>
      <w:r>
        <w:rPr>
          <w:rFonts w:ascii="Arial" w:cs="Arial" w:eastAsia="Arial" w:hAnsi="Arial"/>
          <w:sz w:val="18"/>
          <w:szCs w:val="18"/>
          <w:color w:val="auto"/>
        </w:rPr>
        <w:t>The Guarantor shall be liable under this Guarantee as a principal and independent debtor and accordingly it shall not have, as regards this Guarantee, any of the rights or defences of a surety.</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Waiver of rights and defences</w:t>
      </w:r>
    </w:p>
    <w:p>
      <w:pPr>
        <w:spacing w:after="0" w:line="121" w:lineRule="exact"/>
        <w:rPr>
          <w:sz w:val="20"/>
          <w:szCs w:val="20"/>
          <w:color w:val="auto"/>
        </w:rPr>
      </w:pPr>
    </w:p>
    <w:p>
      <w:pPr>
        <w:ind w:left="800" w:right="520"/>
        <w:spacing w:after="0" w:line="277" w:lineRule="auto"/>
        <w:rPr>
          <w:sz w:val="20"/>
          <w:szCs w:val="20"/>
          <w:color w:val="auto"/>
        </w:rPr>
      </w:pPr>
      <w:r>
        <w:rPr>
          <w:rFonts w:ascii="Arial" w:cs="Arial" w:eastAsia="Arial" w:hAnsi="Arial"/>
          <w:sz w:val="18"/>
          <w:szCs w:val="18"/>
          <w:color w:val="auto"/>
        </w:rPr>
        <w:t>Without limiting the generality of Clause 3.1, the Guarantor shall neither be discharged by, nor have any claim against any Creditor Party in respect of:</w:t>
      </w:r>
    </w:p>
    <w:p>
      <w:pPr>
        <w:spacing w:after="0" w:line="76" w:lineRule="exact"/>
        <w:rPr>
          <w:sz w:val="20"/>
          <w:szCs w:val="20"/>
          <w:color w:val="auto"/>
        </w:rPr>
      </w:pPr>
    </w:p>
    <w:p>
      <w:pPr>
        <w:ind w:left="800" w:hanging="792"/>
        <w:spacing w:after="0"/>
        <w:tabs>
          <w:tab w:leader="none" w:pos="8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amendment or supplement being made to the Finance Documents (or any of them);</w:t>
      </w:r>
    </w:p>
    <w:p>
      <w:pPr>
        <w:spacing w:after="0" w:line="130" w:lineRule="exact"/>
        <w:rPr>
          <w:rFonts w:ascii="Arial" w:cs="Arial" w:eastAsia="Arial" w:hAnsi="Arial"/>
          <w:sz w:val="18"/>
          <w:szCs w:val="18"/>
          <w:color w:val="auto"/>
        </w:rPr>
      </w:pPr>
    </w:p>
    <w:p>
      <w:pPr>
        <w:ind w:left="800" w:right="220" w:hanging="792"/>
        <w:spacing w:after="0" w:line="277" w:lineRule="auto"/>
        <w:tabs>
          <w:tab w:leader="none" w:pos="8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arrangement or concession (including a rescheduling or acceptance of partial payments) relating to, or affecting, the Finance Documents (or any of them);</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release or loss (even though negligent) of any right or Security Interest created by the Finance Documents (or any of them);</w:t>
      </w:r>
    </w:p>
    <w:p>
      <w:pPr>
        <w:spacing w:after="0" w:line="130" w:lineRule="exact"/>
        <w:rPr>
          <w:rFonts w:ascii="Arial" w:cs="Arial" w:eastAsia="Arial" w:hAnsi="Arial"/>
          <w:sz w:val="18"/>
          <w:szCs w:val="18"/>
          <w:color w:val="auto"/>
        </w:rPr>
      </w:pPr>
    </w:p>
    <w:p>
      <w:pPr>
        <w:ind w:left="800" w:right="40" w:hanging="792"/>
        <w:spacing w:after="0" w:line="277" w:lineRule="auto"/>
        <w:tabs>
          <w:tab w:leader="none" w:pos="8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failure (even though negligent) promptly or properly to exercise or enforce any such right or Security Interest, including a failure to realise for its full market value an asset covered by such a Security Interest; or</w:t>
      </w:r>
    </w:p>
    <w:p>
      <w:pPr>
        <w:spacing w:after="0" w:line="75"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other Finance Document or any Security Interest now being or later becoming void, unenforceable, illegal or invalid or otherwise defective for any reason, including a neglect to register it.</w:t>
      </w:r>
    </w:p>
    <w:p>
      <w:pPr>
        <w:spacing w:after="0" w:line="315" w:lineRule="exact"/>
        <w:rPr>
          <w:sz w:val="20"/>
          <w:szCs w:val="20"/>
          <w:color w:val="auto"/>
        </w:rPr>
      </w:pPr>
    </w:p>
    <w:p>
      <w:pPr>
        <w:ind w:left="800" w:hanging="792"/>
        <w:spacing w:after="0"/>
        <w:tabs>
          <w:tab w:leader="none" w:pos="80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Costs of preservation of rights, enforcement etc</w:t>
      </w:r>
    </w:p>
    <w:p>
      <w:pPr>
        <w:spacing w:after="0" w:line="121"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The Guarantor shall pay to the Security Trustee on its demand the amount of all reasonable expenses incurred by the Security Trustee or any other Creditor Party in connection with any matter arising out of this Guarantee or any Security Interest connected with it, including any advice, claim or proceedings relating to this Guarantee or such a Security Interest.</w:t>
      </w:r>
    </w:p>
    <w:p>
      <w:pPr>
        <w:spacing w:after="0" w:line="326" w:lineRule="exact"/>
        <w:rPr>
          <w:sz w:val="20"/>
          <w:szCs w:val="20"/>
          <w:color w:val="auto"/>
        </w:rPr>
      </w:pPr>
    </w:p>
    <w:p>
      <w:pPr>
        <w:ind w:left="800" w:hanging="792"/>
        <w:spacing w:after="0"/>
        <w:tabs>
          <w:tab w:leader="none" w:pos="80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TRANSACTIONS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6"/>
          <w:szCs w:val="16"/>
          <w:b w:val="1"/>
          <w:bCs w:val="1"/>
          <w:color w:val="auto"/>
        </w:rPr>
        <w:t>Reinstatement of obligation to pay</w:t>
      </w:r>
    </w:p>
    <w:p>
      <w:pPr>
        <w:spacing w:after="0" w:line="121" w:lineRule="exact"/>
        <w:rPr>
          <w:sz w:val="20"/>
          <w:szCs w:val="20"/>
          <w:color w:val="auto"/>
        </w:rPr>
      </w:pPr>
    </w:p>
    <w:p>
      <w:pPr>
        <w:ind w:left="800" w:right="120"/>
        <w:spacing w:after="0" w:line="259" w:lineRule="auto"/>
        <w:rPr>
          <w:sz w:val="20"/>
          <w:szCs w:val="20"/>
          <w:color w:val="auto"/>
        </w:rPr>
      </w:pPr>
      <w:r>
        <w:rPr>
          <w:rFonts w:ascii="Arial" w:cs="Arial" w:eastAsia="Arial" w:hAnsi="Arial"/>
          <w:sz w:val="18"/>
          <w:szCs w:val="18"/>
          <w:color w:val="auto"/>
        </w:rPr>
        <w:t>The Guarantor shall pay to the Security Trustee on its demand any amount which any Creditor Party is required, or agrees, to pay pursuant to any claim by, or settlement with, a trustee in bankruptcy of any Borrower or of any Security Party (or similar person) on the ground that the Loan Agreement, the Master Agreements or any other Finance Document, or a payment by any Relevant Borrower or of another Security Party in respect of a Guaranteed Advance, was invalid or on any similar ground.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12" w:name="page313"/>
    <w:bookmarkEnd w:id="312"/>
    <w:p>
      <w:pPr>
        <w:ind w:left="800" w:hanging="792"/>
        <w:spacing w:after="0"/>
        <w:tabs>
          <w:tab w:leader="none" w:pos="800"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Method of payments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Any amount due under this Guarantee shall be paid:</w:t>
      </w:r>
    </w:p>
    <w:p>
      <w:pPr>
        <w:spacing w:after="0" w:line="131" w:lineRule="exact"/>
        <w:rPr>
          <w:sz w:val="20"/>
          <w:szCs w:val="20"/>
          <w:color w:val="auto"/>
        </w:rPr>
      </w:pPr>
    </w:p>
    <w:p>
      <w:pPr>
        <w:ind w:left="800" w:hanging="792"/>
        <w:spacing w:after="0"/>
        <w:tabs>
          <w:tab w:leader="none" w:pos="8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in immediately available funds;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to such account as the Security Trustee may from time to time notify to the Guarantor;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without any form of set off, cross claim or condition; and</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free and clear of any tax deduction except a tax deduction which the Guarantor is required by law to make.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Grossing-up for taxes</w:t>
      </w:r>
    </w:p>
    <w:p>
      <w:pPr>
        <w:spacing w:after="0" w:line="121" w:lineRule="exact"/>
        <w:rPr>
          <w:sz w:val="20"/>
          <w:szCs w:val="20"/>
          <w:color w:val="auto"/>
        </w:rPr>
      </w:pPr>
    </w:p>
    <w:p>
      <w:pPr>
        <w:ind w:left="800"/>
        <w:spacing w:after="0" w:line="312" w:lineRule="auto"/>
        <w:rPr>
          <w:sz w:val="20"/>
          <w:szCs w:val="20"/>
          <w:color w:val="auto"/>
        </w:rPr>
      </w:pPr>
      <w:r>
        <w:rPr>
          <w:rFonts w:ascii="Arial" w:cs="Arial" w:eastAsia="Arial" w:hAnsi="Arial"/>
          <w:sz w:val="16"/>
          <w:szCs w:val="16"/>
          <w:color w:val="auto"/>
        </w:rPr>
        <w:t>If the Guarantor is required by law to make a tax deduction, the amount due to the Security Trustee shall be increased by the amount necessary to ensure that the Security Trustee and (if the payment is not due to the Security Trustee for its own account) the Creditor Party beneficially interested in the payment receives and retains a net amount which, after the tax deduction, is equal to the full amount that it would otherwise have received.</w:t>
      </w:r>
    </w:p>
    <w:p>
      <w:pPr>
        <w:spacing w:after="0" w:line="291" w:lineRule="exact"/>
        <w:rPr>
          <w:sz w:val="20"/>
          <w:szCs w:val="20"/>
          <w:color w:val="auto"/>
        </w:rPr>
      </w:pPr>
    </w:p>
    <w:p>
      <w:pPr>
        <w:ind w:left="800" w:hanging="792"/>
        <w:spacing w:after="0"/>
        <w:tabs>
          <w:tab w:leader="none" w:pos="80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Accrual of interest</w:t>
      </w:r>
    </w:p>
    <w:p>
      <w:pPr>
        <w:spacing w:after="0" w:line="121" w:lineRule="exact"/>
        <w:rPr>
          <w:sz w:val="20"/>
          <w:szCs w:val="20"/>
          <w:color w:val="auto"/>
        </w:rPr>
      </w:pPr>
    </w:p>
    <w:p>
      <w:pPr>
        <w:ind w:left="800" w:right="320"/>
        <w:spacing w:after="0" w:line="308" w:lineRule="auto"/>
        <w:rPr>
          <w:sz w:val="20"/>
          <w:szCs w:val="20"/>
          <w:color w:val="auto"/>
        </w:rPr>
      </w:pPr>
      <w:r>
        <w:rPr>
          <w:rFonts w:ascii="Arial" w:cs="Arial" w:eastAsia="Arial" w:hAnsi="Arial"/>
          <w:sz w:val="17"/>
          <w:szCs w:val="17"/>
          <w:color w:val="auto"/>
        </w:rPr>
        <w:t>Any amount due under this Guarantee shall carry interest after the date on which the Security Trustee demands payment of it until it is actually paid, unless interest on that same amount also accrues under the Loan Agreement or, as the case may be, a Master Agreement.</w:t>
      </w: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Calculation of interest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Interest under this Guarantee shall be calculated and accrue in the same way as interest under clause 7 of the Loan Agreement.</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Guarantee extends to interest payable under Loan Agreement and the Master Agreements</w:t>
      </w:r>
    </w:p>
    <w:p>
      <w:pPr>
        <w:spacing w:after="0" w:line="121"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color w:val="auto"/>
        </w:rPr>
        <w:t>For the avoidance of doubt, it is confirmed that this Guarantee covers all interest payable under the Finance Documents, including that payable under clause 7 of the Loan Agreement and under the Master Agreements.</w:t>
      </w:r>
    </w:p>
    <w:p>
      <w:pPr>
        <w:spacing w:after="0" w:line="315" w:lineRule="exact"/>
        <w:rPr>
          <w:sz w:val="20"/>
          <w:szCs w:val="20"/>
          <w:color w:val="auto"/>
        </w:rPr>
      </w:pPr>
    </w:p>
    <w:p>
      <w:pPr>
        <w:ind w:left="800" w:hanging="792"/>
        <w:spacing w:after="0"/>
        <w:tabs>
          <w:tab w:leader="none" w:pos="800"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Subordination of rights of Guarantor</w:t>
      </w:r>
    </w:p>
    <w:p>
      <w:pPr>
        <w:spacing w:after="0" w:line="121" w:lineRule="exact"/>
        <w:rPr>
          <w:sz w:val="20"/>
          <w:szCs w:val="20"/>
          <w:color w:val="auto"/>
        </w:rPr>
      </w:pPr>
    </w:p>
    <w:p>
      <w:pPr>
        <w:ind w:left="800" w:right="160"/>
        <w:spacing w:after="0" w:line="264" w:lineRule="auto"/>
        <w:rPr>
          <w:sz w:val="20"/>
          <w:szCs w:val="20"/>
          <w:color w:val="auto"/>
        </w:rPr>
      </w:pPr>
      <w:r>
        <w:rPr>
          <w:rFonts w:ascii="Arial" w:cs="Arial" w:eastAsia="Arial" w:hAnsi="Arial"/>
          <w:sz w:val="18"/>
          <w:szCs w:val="18"/>
          <w:color w:val="auto"/>
        </w:rPr>
        <w:t>All rights which the Guarantor at any time has (whether in respect of this Guarantee, any other Guarantor’s Document or any other transaction) against any Borrower, any other Security Party or their respective assets, shall be fully subordinated to the rights of the Creditor Parties under the Finance Documents; and in particular, the Guarantor shall not:</w:t>
      </w:r>
    </w:p>
    <w:p>
      <w:pPr>
        <w:spacing w:after="0" w:line="87" w:lineRule="exact"/>
        <w:rPr>
          <w:sz w:val="20"/>
          <w:szCs w:val="20"/>
          <w:color w:val="auto"/>
        </w:rPr>
      </w:pPr>
    </w:p>
    <w:p>
      <w:pPr>
        <w:ind w:left="800" w:right="360" w:hanging="792"/>
        <w:spacing w:after="0" w:line="277" w:lineRule="auto"/>
        <w:tabs>
          <w:tab w:leader="none" w:pos="8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claim, or in a bankruptcy of any Borrower or any other Security Party prove for, any amount payable to the Guarantor by that Borrower or any other Security Party, whether in respect of this Guarantee or any other transaction;</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take or enforce any Security Interest for any such amount;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313" w:name="page314"/>
    <w:bookmarkEnd w:id="313"/>
    <w:p>
      <w:pPr>
        <w:ind w:left="800" w:hanging="792"/>
        <w:spacing w:after="0"/>
        <w:tabs>
          <w:tab w:leader="none" w:pos="8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 to set-off any such amount against any amount payable by the Guarantor to any Borrower or any other Security Party; or</w:t>
      </w:r>
    </w:p>
    <w:p>
      <w:pPr>
        <w:spacing w:after="0" w:line="130" w:lineRule="exact"/>
        <w:rPr>
          <w:rFonts w:ascii="Arial" w:cs="Arial" w:eastAsia="Arial" w:hAnsi="Arial"/>
          <w:sz w:val="18"/>
          <w:szCs w:val="18"/>
          <w:color w:val="auto"/>
        </w:rPr>
      </w:pPr>
    </w:p>
    <w:p>
      <w:pPr>
        <w:ind w:left="800" w:right="120" w:hanging="792"/>
        <w:spacing w:after="0" w:line="277" w:lineRule="auto"/>
        <w:tabs>
          <w:tab w:leader="none" w:pos="8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claim any subrogation or other right in respect of any Finance Document or any sum received or recovered by any Creditor Party under a Finance Document.</w:t>
      </w:r>
    </w:p>
    <w:p>
      <w:pPr>
        <w:spacing w:after="0" w:line="315" w:lineRule="exact"/>
        <w:rPr>
          <w:sz w:val="20"/>
          <w:szCs w:val="20"/>
          <w:color w:val="auto"/>
        </w:rPr>
      </w:pPr>
    </w:p>
    <w:p>
      <w:pPr>
        <w:ind w:left="800" w:hanging="792"/>
        <w:spacing w:after="0"/>
        <w:tabs>
          <w:tab w:leader="none" w:pos="800"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No requirement to commence proceedings</w:t>
      </w:r>
    </w:p>
    <w:p>
      <w:pPr>
        <w:spacing w:after="0" w:line="121" w:lineRule="exact"/>
        <w:rPr>
          <w:sz w:val="20"/>
          <w:szCs w:val="20"/>
          <w:color w:val="auto"/>
        </w:rPr>
      </w:pPr>
    </w:p>
    <w:p>
      <w:pPr>
        <w:ind w:left="800" w:right="200"/>
        <w:spacing w:after="0" w:line="264" w:lineRule="auto"/>
        <w:rPr>
          <w:sz w:val="20"/>
          <w:szCs w:val="20"/>
          <w:color w:val="auto"/>
        </w:rPr>
      </w:pPr>
      <w:r>
        <w:rPr>
          <w:rFonts w:ascii="Arial" w:cs="Arial" w:eastAsia="Arial" w:hAnsi="Arial"/>
          <w:sz w:val="18"/>
          <w:szCs w:val="18"/>
          <w:color w:val="auto"/>
        </w:rPr>
        <w:t>Neither the Security Trustee nor any other Creditor Party will need to commence any proceedings under, or enforce any Security Interest created by, the Loan Agreement, any Master Agreement or any other Finance Document before claiming or commencing proceedings under this Guarantee.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Conclusive evidence of certain matters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However, as against the Guarantor:</w:t>
      </w:r>
    </w:p>
    <w:p>
      <w:pPr>
        <w:spacing w:after="0" w:line="131" w:lineRule="exact"/>
        <w:rPr>
          <w:sz w:val="20"/>
          <w:szCs w:val="20"/>
          <w:color w:val="auto"/>
        </w:rPr>
      </w:pPr>
    </w:p>
    <w:p>
      <w:pPr>
        <w:ind w:left="800" w:right="160" w:hanging="792"/>
        <w:spacing w:after="0" w:line="277" w:lineRule="auto"/>
        <w:tabs>
          <w:tab w:leader="none" w:pos="8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judgment or order of a court in England, Greece, France, the Marshall Islands or any other Pertinent Jurisdiction in connection with the Loan Agreement, the Master Agreements or any of the other Finance Documents to which either Borrower is a party; and</w:t>
      </w:r>
    </w:p>
    <w:p>
      <w:pPr>
        <w:spacing w:after="0" w:line="75" w:lineRule="exact"/>
        <w:rPr>
          <w:rFonts w:ascii="Arial" w:cs="Arial" w:eastAsia="Arial" w:hAnsi="Arial"/>
          <w:sz w:val="18"/>
          <w:szCs w:val="18"/>
          <w:color w:val="auto"/>
        </w:rPr>
      </w:pPr>
    </w:p>
    <w:p>
      <w:pPr>
        <w:ind w:left="800" w:right="360" w:hanging="792"/>
        <w:spacing w:after="0" w:line="277" w:lineRule="auto"/>
        <w:tabs>
          <w:tab w:leader="none" w:pos="8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statement or admission of a Borrower in connection with the Loan Agreement, any Master Agreement or any other Finance Documents to which it is a party,</w:t>
      </w:r>
    </w:p>
    <w:p>
      <w:pPr>
        <w:spacing w:after="0" w:line="6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shall be binding and conclusive as to all matters of fact and law to which it relates.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Suspense account</w:t>
      </w:r>
    </w:p>
    <w:p>
      <w:pPr>
        <w:spacing w:after="0" w:line="121"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The Security Trustee and any Creditor Party may, for the purpose of claiming or proving in a bankruptcy of a Borrower or any other Security Party, place any sum received or recovered under or by virtue of this Guarantee or any Security Interest connected with it on a separate suspense or other nominal account without applying it in satisfaction of the Borrowers’ obligations under the Loan Agreement or the Master Agreements.</w:t>
      </w:r>
    </w:p>
    <w:p>
      <w:pPr>
        <w:spacing w:after="0" w:line="291" w:lineRule="exact"/>
        <w:rPr>
          <w:sz w:val="20"/>
          <w:szCs w:val="20"/>
          <w:color w:val="auto"/>
        </w:rPr>
      </w:pPr>
    </w:p>
    <w:p>
      <w:pPr>
        <w:ind w:left="800" w:hanging="792"/>
        <w:spacing w:after="0"/>
        <w:tabs>
          <w:tab w:leader="none" w:pos="80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w:t>
      </w:r>
      <w:r>
        <w:rPr>
          <w:rFonts w:ascii="Arial" w:cs="Arial" w:eastAsia="Arial" w:hAnsi="Arial"/>
          <w:sz w:val="16"/>
          <w:szCs w:val="16"/>
          <w:b w:val="1"/>
          <w:bCs w:val="1"/>
          <w:color w:val="auto"/>
        </w:rPr>
        <w:t>General</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The Guarantor represents and warrants to the Security Trustee as follows.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Status</w:t>
      </w:r>
    </w:p>
    <w:p>
      <w:pPr>
        <w:spacing w:after="0" w:line="121" w:lineRule="exact"/>
        <w:rPr>
          <w:sz w:val="20"/>
          <w:szCs w:val="20"/>
          <w:color w:val="auto"/>
        </w:rPr>
      </w:pPr>
    </w:p>
    <w:p>
      <w:pPr>
        <w:ind w:left="800" w:right="380"/>
        <w:spacing w:after="0" w:line="277" w:lineRule="auto"/>
        <w:rPr>
          <w:sz w:val="20"/>
          <w:szCs w:val="20"/>
          <w:color w:val="auto"/>
        </w:rPr>
      </w:pPr>
      <w:r>
        <w:rPr>
          <w:rFonts w:ascii="Arial" w:cs="Arial" w:eastAsia="Arial" w:hAnsi="Arial"/>
          <w:sz w:val="18"/>
          <w:szCs w:val="18"/>
          <w:color w:val="auto"/>
        </w:rPr>
        <w:t>The Guarantor is a limited partnership (comprised of a single general partner and multiple limited partners) formed and validly existing and in good standing under the laws of the Marshall Islands.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Share capital and ownership</w:t>
      </w:r>
    </w:p>
    <w:p>
      <w:pPr>
        <w:spacing w:after="0" w:line="121"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color w:val="auto"/>
        </w:rPr>
        <w:t>The Guarantor’s capital consists of at least 100,571,224 common units held by public unitholders, including 18,988,262 common units held by Capital Maritime &amp; Trading Corp. and a general partner interest held by Capital GP L.L.C.</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Corporate power</w:t>
      </w:r>
    </w:p>
    <w:p>
      <w:pPr>
        <w:spacing w:after="0" w:line="12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Guarantor has the limited partnership capacity, and has taken all partnership action and obtained all consents necessary for 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14" w:name="page315"/>
    <w:bookmarkEnd w:id="314"/>
    <w:p>
      <w:pPr>
        <w:ind w:left="800" w:hanging="792"/>
        <w:spacing w:after="0"/>
        <w:tabs>
          <w:tab w:leader="none" w:pos="8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execute this Guarantee and any other Guarantor’s Document; and</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to make all the payments contemplated by, and to comply with, this Guarantee and any other Guarantor’s Document.</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Consents in force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the consents referred to in Clause 10.4 remain in force and nothing has occurred which makes any of them liable to revocation.</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Legal validity; effective Security Interests</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The Guarantor’s Documents do now, or, as the case may be, will upon execution and delivery (and, where applicable, registration as provided for in the Finance Documents):</w:t>
      </w:r>
    </w:p>
    <w:p>
      <w:pPr>
        <w:spacing w:after="0" w:line="76" w:lineRule="exact"/>
        <w:rPr>
          <w:sz w:val="20"/>
          <w:szCs w:val="20"/>
          <w:color w:val="auto"/>
        </w:rPr>
      </w:pPr>
    </w:p>
    <w:p>
      <w:pPr>
        <w:ind w:left="800" w:hanging="792"/>
        <w:spacing w:after="0"/>
        <w:tabs>
          <w:tab w:leader="none" w:pos="80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constitute the Guarantor’s legal, valid and binding obligations enforceable against the Guarantor in accordance with their respective terms; and</w:t>
      </w:r>
    </w:p>
    <w:p>
      <w:pPr>
        <w:spacing w:after="0" w:line="153" w:lineRule="exact"/>
        <w:rPr>
          <w:rFonts w:ascii="Arial" w:cs="Arial" w:eastAsia="Arial" w:hAnsi="Arial"/>
          <w:sz w:val="16"/>
          <w:szCs w:val="16"/>
          <w:color w:val="auto"/>
        </w:rPr>
      </w:pPr>
    </w:p>
    <w:p>
      <w:pPr>
        <w:ind w:left="800" w:right="120" w:hanging="792"/>
        <w:spacing w:after="0" w:line="277" w:lineRule="auto"/>
        <w:tabs>
          <w:tab w:leader="none" w:pos="8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create legal, valid and binding Security Interests enforceable in accordance with their respective terms over all the assets to which they, by their terms, relate,</w:t>
      </w:r>
    </w:p>
    <w:p>
      <w:pPr>
        <w:spacing w:after="0" w:line="6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subject to any relevant insolvency laws affecting creditors’ rights generally.</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No third party Security Interests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Without limiting the generality of Clause 10.6, at the time of the execution and delivery of each Guarantor’s Document:</w:t>
      </w:r>
    </w:p>
    <w:p>
      <w:pPr>
        <w:spacing w:after="0" w:line="131" w:lineRule="exact"/>
        <w:rPr>
          <w:sz w:val="20"/>
          <w:szCs w:val="20"/>
          <w:color w:val="auto"/>
        </w:rPr>
      </w:pPr>
    </w:p>
    <w:p>
      <w:pPr>
        <w:ind w:left="800" w:hanging="792"/>
        <w:spacing w:after="0"/>
        <w:tabs>
          <w:tab w:leader="none" w:pos="8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Guarantor will have the right to create all the Security Interests which that Guarantor’s Document purports to create; and</w:t>
      </w:r>
    </w:p>
    <w:p>
      <w:pPr>
        <w:spacing w:after="0" w:line="130"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no third party will have any Security Interest (except for Permitted Security Interests) or any other interest, right or claim over, in or in relation to any asset to which any such Security Interest, by its terms, relates.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color w:val="auto"/>
        </w:rPr>
        <w:t>No conflicts</w:t>
      </w:r>
    </w:p>
    <w:p>
      <w:pPr>
        <w:spacing w:after="0" w:line="121"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color w:val="auto"/>
        </w:rPr>
        <w:t>The execution by the Guarantor of the Guarantor’s Documents and its compliance with the Guarantor’s Documents will not involve or lead to a contravention of:</w:t>
      </w:r>
    </w:p>
    <w:p>
      <w:pPr>
        <w:spacing w:after="0" w:line="76" w:lineRule="exact"/>
        <w:rPr>
          <w:sz w:val="20"/>
          <w:szCs w:val="20"/>
          <w:color w:val="auto"/>
        </w:rPr>
      </w:pPr>
    </w:p>
    <w:p>
      <w:pPr>
        <w:ind w:left="800" w:hanging="792"/>
        <w:spacing w:after="0"/>
        <w:tabs>
          <w:tab w:leader="none" w:pos="8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any law or regulation; 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constitutional documents of the Guarantor; 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any contractual or other obligation or restriction which is binding on the Guarantor or any of its assets.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No withholding taxes</w:t>
      </w:r>
    </w:p>
    <w:p>
      <w:pPr>
        <w:spacing w:after="0" w:line="121"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color w:val="auto"/>
        </w:rPr>
        <w:t>All payments which the Guarantor is liable to make under a Guarantor’s Document may be made without deduction or withholding for or on account of any tax payable under any law of any Pertinent Jurisdiction.</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No default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 Event of Default or Potential Event of Default has occurred.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73" w:right="399" w:bottom="1440" w:gutter="0" w:footer="0" w:header="0"/>
        </w:sectPr>
      </w:pPr>
    </w:p>
    <w:bookmarkStart w:id="315" w:name="page316"/>
    <w:bookmarkEnd w:id="315"/>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10.11</w:t>
      </w:r>
      <w:r>
        <w:rPr>
          <w:sz w:val="20"/>
          <w:szCs w:val="20"/>
          <w:color w:val="auto"/>
        </w:rPr>
        <w:tab/>
      </w:r>
      <w:r>
        <w:rPr>
          <w:rFonts w:ascii="Arial" w:cs="Arial" w:eastAsia="Arial" w:hAnsi="Arial"/>
          <w:sz w:val="17"/>
          <w:szCs w:val="17"/>
          <w:b w:val="1"/>
          <w:bCs w:val="1"/>
          <w:color w:val="auto"/>
        </w:rPr>
        <w:t>Information</w:t>
      </w:r>
    </w:p>
    <w:p>
      <w:pPr>
        <w:spacing w:after="0" w:line="121"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All information which has been provided in writing by or on behalf of the Guarantor to the Security Trustee or any other Creditor Party in connection with any Finance Document satisfied the requirements of Clause 11.2; all audited and unaudited accounts which have been so provided satisfied the requirements of Clause 11.5; and there has been no change in the financial position or state of affairs of the Guarantor and the Group from that disclosed in the latest of those accounts.</w:t>
      </w:r>
    </w:p>
    <w:p>
      <w:pPr>
        <w:spacing w:after="0" w:line="3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No litigation</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No legal or administrative action against the Guarantor or its subsidiaries has been commenced or taken or, to the Guarantor’s knowledge, is likely to be commenced or taken which would, in either case, be likely to have a material adverse effect.</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5"/>
          <w:szCs w:val="15"/>
          <w:b w:val="1"/>
          <w:bCs w:val="1"/>
          <w:color w:val="auto"/>
        </w:rPr>
        <w:t>Taxes paid</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has paid all taxes applicable to, or imposed on or in relation to the Guarantor or its business.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Title and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has good title to and is the ultimate beneficial owner of each of the assets owned or purported to be owned by it.</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5"/>
          <w:szCs w:val="15"/>
          <w:b w:val="1"/>
          <w:bCs w:val="1"/>
          <w:color w:val="auto"/>
        </w:rPr>
        <w:t>No adverse consequences in jurisdiction of incorporation</w:t>
      </w:r>
    </w:p>
    <w:p>
      <w:pPr>
        <w:spacing w:after="0" w:line="121" w:lineRule="exact"/>
        <w:rPr>
          <w:sz w:val="20"/>
          <w:szCs w:val="20"/>
          <w:color w:val="auto"/>
        </w:rPr>
      </w:pPr>
    </w:p>
    <w:p>
      <w:pPr>
        <w:ind w:left="800" w:right="240"/>
        <w:spacing w:after="0" w:line="264" w:lineRule="auto"/>
        <w:rPr>
          <w:sz w:val="20"/>
          <w:szCs w:val="20"/>
          <w:color w:val="auto"/>
        </w:rPr>
      </w:pPr>
      <w:r>
        <w:rPr>
          <w:rFonts w:ascii="Arial" w:cs="Arial" w:eastAsia="Arial" w:hAnsi="Arial"/>
          <w:sz w:val="18"/>
          <w:szCs w:val="18"/>
          <w:color w:val="auto"/>
        </w:rPr>
        <w:t>No Lender will be deemed to be resident, domiciled, carrying on business or subject to taxation, in the Marshall Islands by reason only of the negotiation, preparation, execution, performance, enforcement of, and/or receipt of any payment due from the Guarantor under any Guarantor’s Document.</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5"/>
          <w:szCs w:val="15"/>
          <w:b w:val="1"/>
          <w:bCs w:val="1"/>
          <w:color w:val="auto"/>
        </w:rPr>
        <w:t>Submission to jurisdiction and choice of laws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submission to jurisdiction, and choice of law, by the Borrowers contained in any Finance Document is effective.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6"/>
          <w:szCs w:val="16"/>
          <w:b w:val="1"/>
          <w:bCs w:val="1"/>
          <w:color w:val="auto"/>
        </w:rPr>
        <w:t>Accounting reference date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accounting reference date for each Relevant Borrower and the Guarantor is 31 December.</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6"/>
          <w:szCs w:val="16"/>
          <w:b w:val="1"/>
          <w:bCs w:val="1"/>
          <w:color w:val="auto"/>
        </w:rPr>
        <w:t>Repetition of representations and warranties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representations and warranties set out in this Clause 10 would be true and not misleading if repeated on the first day of each Interest Period.</w:t>
      </w:r>
    </w:p>
    <w:p>
      <w:pPr>
        <w:spacing w:after="0" w:line="3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6"/>
          <w:szCs w:val="16"/>
          <w:b w:val="1"/>
          <w:bCs w:val="1"/>
          <w:color w:val="auto"/>
        </w:rPr>
        <w:t>Ranking of Borrowers’ obligations</w:t>
      </w:r>
    </w:p>
    <w:p>
      <w:pPr>
        <w:spacing w:after="0" w:line="121" w:lineRule="exact"/>
        <w:rPr>
          <w:sz w:val="20"/>
          <w:szCs w:val="20"/>
          <w:color w:val="auto"/>
        </w:rPr>
      </w:pPr>
    </w:p>
    <w:p>
      <w:pPr>
        <w:ind w:left="800" w:right="300"/>
        <w:spacing w:after="0" w:line="277" w:lineRule="auto"/>
        <w:rPr>
          <w:sz w:val="20"/>
          <w:szCs w:val="20"/>
          <w:color w:val="auto"/>
        </w:rPr>
      </w:pPr>
      <w:r>
        <w:rPr>
          <w:rFonts w:ascii="Arial" w:cs="Arial" w:eastAsia="Arial" w:hAnsi="Arial"/>
          <w:sz w:val="18"/>
          <w:szCs w:val="18"/>
          <w:color w:val="auto"/>
        </w:rPr>
        <w:t>The obligation of the Borrowers to make payments under the Finance Documents ranks ahead of any obligation owed by the Borrowers to any other person, except as the same may be required by applicable laws.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10.20</w:t>
      </w:r>
      <w:r>
        <w:rPr>
          <w:sz w:val="20"/>
          <w:szCs w:val="20"/>
          <w:color w:val="auto"/>
        </w:rPr>
        <w:tab/>
      </w:r>
      <w:r>
        <w:rPr>
          <w:rFonts w:ascii="Arial" w:cs="Arial" w:eastAsia="Arial" w:hAnsi="Arial"/>
          <w:sz w:val="16"/>
          <w:szCs w:val="16"/>
          <w:b w:val="1"/>
          <w:bCs w:val="1"/>
          <w:color w:val="auto"/>
        </w:rPr>
        <w:t>No Money Laundering</w:t>
      </w:r>
    </w:p>
    <w:p>
      <w:pPr>
        <w:spacing w:after="0" w:line="121"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color w:val="auto"/>
        </w:rPr>
        <w:t>It is acting for its own account in relation to the Loan and in relation to the performance and the discharge of its obligations and liabilities under the Finance Documents and the transactions and other arrangements effected or contemplated by the Finance Documents to which a Security Party is a party, and the foregoing will not involve or lead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69" w:right="279" w:bottom="1440" w:gutter="0" w:footer="0" w:header="0"/>
        </w:sectPr>
      </w:pPr>
    </w:p>
    <w:bookmarkStart w:id="316" w:name="page317"/>
    <w:bookmarkEnd w:id="316"/>
    <w:p>
      <w:pPr>
        <w:ind w:left="80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contravention of any law, official requirement or other regulatory measure or procedure implemented to combat money laundering (as defined in Article 1 of the Directive (2001/97EC of the European Parliament and of 4 December 2001) including, but not limited to Directive 2005/60 amending Council Directive 91/308).</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b w:val="1"/>
          <w:bCs w:val="1"/>
          <w:color w:val="auto"/>
        </w:rPr>
        <w:t>No Immunity</w:t>
      </w:r>
    </w:p>
    <w:p>
      <w:pPr>
        <w:spacing w:after="0" w:line="121" w:lineRule="exact"/>
        <w:rPr>
          <w:sz w:val="20"/>
          <w:szCs w:val="20"/>
          <w:color w:val="auto"/>
        </w:rPr>
      </w:pPr>
    </w:p>
    <w:p>
      <w:pPr>
        <w:ind w:left="800" w:right="300"/>
        <w:spacing w:after="0" w:line="277" w:lineRule="auto"/>
        <w:rPr>
          <w:sz w:val="20"/>
          <w:szCs w:val="20"/>
          <w:color w:val="auto"/>
        </w:rPr>
      </w:pPr>
      <w:r>
        <w:rPr>
          <w:rFonts w:ascii="Arial" w:cs="Arial" w:eastAsia="Arial" w:hAnsi="Arial"/>
          <w:sz w:val="18"/>
          <w:szCs w:val="18"/>
          <w:color w:val="auto"/>
        </w:rPr>
        <w:t>The Guarantor is subject to suit and to commercial law and neither it nor any of its properties have any right of immunity from suit, execution, attachment or other legal process in the Republic of the Marshall Islands.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10.22</w:t>
      </w:r>
      <w:r>
        <w:rPr>
          <w:sz w:val="20"/>
          <w:szCs w:val="20"/>
          <w:color w:val="auto"/>
        </w:rPr>
        <w:tab/>
      </w:r>
      <w:r>
        <w:rPr>
          <w:rFonts w:ascii="Arial" w:cs="Arial" w:eastAsia="Arial" w:hAnsi="Arial"/>
          <w:sz w:val="15"/>
          <w:szCs w:val="15"/>
          <w:b w:val="1"/>
          <w:bCs w:val="1"/>
          <w:color w:val="auto"/>
        </w:rPr>
        <w:t>Sanctions</w:t>
      </w:r>
    </w:p>
    <w:p>
      <w:pPr>
        <w:spacing w:after="0" w:line="135" w:lineRule="exact"/>
        <w:rPr>
          <w:sz w:val="20"/>
          <w:szCs w:val="20"/>
          <w:color w:val="auto"/>
        </w:rPr>
      </w:pPr>
    </w:p>
    <w:p>
      <w:pPr>
        <w:ind w:left="800" w:right="480" w:hanging="792"/>
        <w:spacing w:after="0" w:line="277" w:lineRule="auto"/>
        <w:tabs>
          <w:tab w:leader="none" w:pos="8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Neither the Guarantor, nor any member of the Group nor any of their joint ventures nor any of their respective directors, officers or agent or representatives or any other persons acting on any of their behalf:</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the best of their knowledge (after due and careful enquiry) has violated or is violating any applicable Sanctions;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is a Designated Person;</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is using or will use, directly or indirectly, the proceeds of the Loan, or lend, contribute or otherwise make available such proceeds to any person,</w:t>
      </w:r>
    </w:p>
    <w:p>
      <w:pPr>
        <w:spacing w:after="0" w:line="46" w:lineRule="exact"/>
        <w:rPr>
          <w:rFonts w:ascii="Arial" w:cs="Arial" w:eastAsia="Arial" w:hAnsi="Arial"/>
          <w:sz w:val="16"/>
          <w:szCs w:val="16"/>
          <w:color w:val="auto"/>
        </w:rPr>
      </w:pPr>
    </w:p>
    <w:p>
      <w:pPr>
        <w:ind w:left="800"/>
        <w:spacing w:after="0" w:line="255" w:lineRule="auto"/>
        <w:rPr>
          <w:rFonts w:ascii="Arial" w:cs="Arial" w:eastAsia="Arial" w:hAnsi="Arial"/>
          <w:sz w:val="16"/>
          <w:szCs w:val="16"/>
          <w:color w:val="auto"/>
        </w:rPr>
      </w:pPr>
      <w:r>
        <w:rPr>
          <w:rFonts w:ascii="Arial" w:cs="Arial" w:eastAsia="Arial" w:hAnsi="Arial"/>
          <w:sz w:val="18"/>
          <w:szCs w:val="18"/>
          <w:color w:val="auto"/>
        </w:rPr>
        <w:t>(i) to fund any activities or business of or with any person, or in any country or territory, that, at the time of such funding, is, or whose government is, the subject of Sanctions or is an UHRC, or (ii) in any other manner that would result in a violation of Sanctions by any person (including any person participating in the Loan, whether as underwriter, advisor, investor, or otherwise).</w:t>
      </w:r>
    </w:p>
    <w:p>
      <w:pPr>
        <w:spacing w:after="0" w:line="335" w:lineRule="exact"/>
        <w:rPr>
          <w:sz w:val="20"/>
          <w:szCs w:val="20"/>
          <w:color w:val="auto"/>
        </w:rPr>
      </w:pPr>
    </w:p>
    <w:p>
      <w:pPr>
        <w:ind w:left="800" w:hanging="792"/>
        <w:spacing w:after="0"/>
        <w:tabs>
          <w:tab w:leader="none" w:pos="80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6"/>
          <w:szCs w:val="16"/>
          <w:b w:val="1"/>
          <w:bCs w:val="1"/>
          <w:color w:val="auto"/>
        </w:rPr>
        <w:t>General</w:t>
      </w:r>
    </w:p>
    <w:p>
      <w:pPr>
        <w:spacing w:after="0" w:line="121" w:lineRule="exact"/>
        <w:rPr>
          <w:sz w:val="20"/>
          <w:szCs w:val="20"/>
          <w:color w:val="auto"/>
        </w:rPr>
      </w:pPr>
    </w:p>
    <w:p>
      <w:pPr>
        <w:ind w:left="800" w:right="360"/>
        <w:spacing w:after="0" w:line="342" w:lineRule="auto"/>
        <w:rPr>
          <w:sz w:val="20"/>
          <w:szCs w:val="20"/>
          <w:color w:val="auto"/>
        </w:rPr>
      </w:pPr>
      <w:r>
        <w:rPr>
          <w:rFonts w:ascii="Arial" w:cs="Arial" w:eastAsia="Arial" w:hAnsi="Arial"/>
          <w:sz w:val="16"/>
          <w:szCs w:val="16"/>
          <w:color w:val="auto"/>
        </w:rPr>
        <w:t>The Guarantor undertakes with the Security Trustee to comply with the following provisions of this Clause 11 at all times during the Security Period, except as the Facility Agent may, with the authority of the Majority Lenders, or, where specified all the Lenders, otherwise permit.</w:t>
      </w:r>
    </w:p>
    <w:p>
      <w:pPr>
        <w:spacing w:after="0" w:line="2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Information provided to be accurate</w:t>
      </w:r>
    </w:p>
    <w:p>
      <w:pPr>
        <w:spacing w:after="0" w:line="121"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color w:val="auto"/>
        </w:rPr>
        <w:t>All financial and other information which is provided in writing by or on behalf of the Guarantor under or in connection with this Guarantee will be true and not misleading and will not omit any material fact or consideration.</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Title; negative pledge and pari passu ranking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shall:</w:t>
      </w:r>
    </w:p>
    <w:p>
      <w:pPr>
        <w:spacing w:after="0" w:line="131" w:lineRule="exact"/>
        <w:rPr>
          <w:sz w:val="20"/>
          <w:szCs w:val="20"/>
          <w:color w:val="auto"/>
        </w:rPr>
      </w:pPr>
    </w:p>
    <w:p>
      <w:pPr>
        <w:ind w:left="800" w:right="200" w:hanging="792"/>
        <w:spacing w:after="0" w:line="259" w:lineRule="auto"/>
        <w:tabs>
          <w:tab w:leader="none" w:pos="8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hold the legal title to, and own the entire beneficial interest, and the whole of the issued share capital in the Intermediate Shareholder and shall procure that the Intermediate Shareholder shall hold the legal title to, and own the entire beneficial interest in, and the whole of the issued share capital in respect of each Relevant Borrower, in each case free from all Security Interests and other interests and rights of every kind, except for those created by the Finance Documents;</w:t>
      </w:r>
    </w:p>
    <w:p>
      <w:pPr>
        <w:spacing w:after="0" w:line="92" w:lineRule="exact"/>
        <w:rPr>
          <w:rFonts w:ascii="Arial" w:cs="Arial" w:eastAsia="Arial" w:hAnsi="Arial"/>
          <w:sz w:val="18"/>
          <w:szCs w:val="18"/>
          <w:color w:val="auto"/>
        </w:rPr>
      </w:pPr>
    </w:p>
    <w:p>
      <w:pPr>
        <w:ind w:left="800" w:right="200" w:hanging="792"/>
        <w:spacing w:after="0" w:line="264" w:lineRule="auto"/>
        <w:tabs>
          <w:tab w:leader="none" w:pos="8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not, and shall procure that each Relevant Borrower will not, create or permit to arise any Security Interest over any asset present or future in the normal course of its business of acquiring, financing, chartering in and out and operating vessels (both in the case of the Guarantor and the Relevant Borrowers) and owning ship-owning companies (in the case of the Guarantor); and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317" w:name="page318"/>
    <w:bookmarkEnd w:id="317"/>
    <w:p>
      <w:pPr>
        <w:ind w:left="800" w:right="460" w:hanging="792"/>
        <w:spacing w:after="0" w:line="277" w:lineRule="auto"/>
        <w:tabs>
          <w:tab w:leader="none" w:pos="8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procure that its liabilities under the Finance Documents to which it is a party do and will rank at least pari passu with all its other present and future unsecured liabilities, except for liabilities which are mandatorily preferred by law.</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color w:val="auto"/>
        </w:rPr>
        <w:t>Provision of financial statements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 send or procure there are sent to the Facility Agent:</w:t>
      </w:r>
    </w:p>
    <w:p>
      <w:pPr>
        <w:spacing w:after="0" w:line="131" w:lineRule="exact"/>
        <w:rPr>
          <w:sz w:val="20"/>
          <w:szCs w:val="20"/>
          <w:color w:val="auto"/>
        </w:rPr>
      </w:pPr>
    </w:p>
    <w:p>
      <w:pPr>
        <w:ind w:left="800" w:right="200" w:hanging="792"/>
        <w:spacing w:after="0" w:line="277" w:lineRule="auto"/>
        <w:tabs>
          <w:tab w:leader="none" w:pos="8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as soon as possible, but in no event later than 120 days after the end of each financial year of each Relevant Borrower or, as the case may be, the Guarantor (commencing with the financial statements for the year which ended on 31 December 2015):</w:t>
      </w:r>
    </w:p>
    <w:p>
      <w:pPr>
        <w:spacing w:after="0" w:line="75" w:lineRule="exact"/>
        <w:rPr>
          <w:rFonts w:ascii="Arial" w:cs="Arial" w:eastAsia="Arial" w:hAnsi="Arial"/>
          <w:sz w:val="18"/>
          <w:szCs w:val="18"/>
          <w:color w:val="auto"/>
        </w:rPr>
      </w:pPr>
    </w:p>
    <w:p>
      <w:pPr>
        <w:ind w:left="1700" w:hanging="895"/>
        <w:spacing w:after="0"/>
        <w:tabs>
          <w:tab w:leader="none" w:pos="17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unaudited annual accounts of that Relevant Borrower; and</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audited consolidated annual accounts of the Group;</w:t>
      </w:r>
    </w:p>
    <w:p>
      <w:pPr>
        <w:spacing w:after="0" w:line="130" w:lineRule="exact"/>
        <w:rPr>
          <w:rFonts w:ascii="Arial" w:cs="Arial" w:eastAsia="Arial" w:hAnsi="Arial"/>
          <w:sz w:val="18"/>
          <w:szCs w:val="18"/>
          <w:color w:val="auto"/>
        </w:rPr>
      </w:pPr>
    </w:p>
    <w:p>
      <w:pPr>
        <w:ind w:left="800" w:right="140" w:hanging="792"/>
        <w:spacing w:after="0" w:line="277" w:lineRule="auto"/>
        <w:tabs>
          <w:tab w:leader="none" w:pos="8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as soon as possible, but in no event later than 90 days after the end of each 6 month period in each financial year of that Relevant Borrower or, as the case may be, the Guarantor ending on 30 June and 31 December:</w:t>
      </w:r>
    </w:p>
    <w:p>
      <w:pPr>
        <w:spacing w:after="0" w:line="75" w:lineRule="exact"/>
        <w:rPr>
          <w:rFonts w:ascii="Arial" w:cs="Arial" w:eastAsia="Arial" w:hAnsi="Arial"/>
          <w:sz w:val="18"/>
          <w:szCs w:val="18"/>
          <w:color w:val="auto"/>
        </w:rPr>
      </w:pPr>
    </w:p>
    <w:p>
      <w:pPr>
        <w:ind w:left="1700" w:right="440" w:hanging="895"/>
        <w:spacing w:after="0" w:line="277" w:lineRule="auto"/>
        <w:tabs>
          <w:tab w:leader="none" w:pos="17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management accounts of that Relevant Borrower for that 6-month period certified as to their correctness by an officer of that Relevant Borrower or by the chief financial officer of the Guarantor; and</w:t>
      </w:r>
    </w:p>
    <w:p>
      <w:pPr>
        <w:spacing w:after="0" w:line="75" w:lineRule="exact"/>
        <w:rPr>
          <w:rFonts w:ascii="Arial" w:cs="Arial" w:eastAsia="Arial" w:hAnsi="Arial"/>
          <w:sz w:val="18"/>
          <w:szCs w:val="18"/>
          <w:color w:val="auto"/>
        </w:rPr>
      </w:pPr>
    </w:p>
    <w:p>
      <w:pPr>
        <w:ind w:left="1700" w:right="280" w:hanging="895"/>
        <w:spacing w:after="0" w:line="277" w:lineRule="auto"/>
        <w:tabs>
          <w:tab w:leader="none" w:pos="17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unaudited consolidated management accounts of the Group for that 6-month period certified as to their correctness by the chief financial officer of the Guarantor;</w:t>
      </w:r>
    </w:p>
    <w:p>
      <w:pPr>
        <w:spacing w:after="0" w:line="75"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annual budgets in respect of operated expenses and accruals of the Ships owned by a Relevant Borrower which, in the case of accruals, are due and payable within 6 months; and</w:t>
      </w:r>
    </w:p>
    <w:p>
      <w:pPr>
        <w:spacing w:after="0" w:line="75" w:lineRule="exact"/>
        <w:rPr>
          <w:rFonts w:ascii="Arial" w:cs="Arial" w:eastAsia="Arial" w:hAnsi="Arial"/>
          <w:sz w:val="18"/>
          <w:szCs w:val="18"/>
          <w:color w:val="auto"/>
        </w:rPr>
      </w:pPr>
    </w:p>
    <w:p>
      <w:pPr>
        <w:ind w:left="800" w:hanging="792"/>
        <w:spacing w:after="0" w:line="264" w:lineRule="auto"/>
        <w:tabs>
          <w:tab w:leader="none" w:pos="8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promptly after each request by the Facility Agent, such further information (financial or otherwise) about any Relevant Borrower, any Security Party, any Ship owned by a Relevant Borrower (including but not limited to, charter arrangements, Financial Indebtedness and operating expenses) and the Group as the Facility Agent may require.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Form of financial statements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accounts (audited and unaudited) and information delivered under Clause 11.4 will:</w:t>
      </w:r>
    </w:p>
    <w:p>
      <w:pPr>
        <w:spacing w:after="0" w:line="131" w:lineRule="exact"/>
        <w:rPr>
          <w:sz w:val="20"/>
          <w:szCs w:val="20"/>
          <w:color w:val="auto"/>
        </w:rPr>
      </w:pPr>
    </w:p>
    <w:p>
      <w:pPr>
        <w:ind w:left="800" w:right="240" w:hanging="792"/>
        <w:spacing w:after="0" w:line="277" w:lineRule="auto"/>
        <w:tabs>
          <w:tab w:leader="none" w:pos="8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be prepared in accordance with all applicable laws, generally accepted accounting principles consistently applied (including, without limitation, IFRS) and US GAAP consistently applied;</w:t>
      </w:r>
    </w:p>
    <w:p>
      <w:pPr>
        <w:spacing w:after="0" w:line="75" w:lineRule="exact"/>
        <w:rPr>
          <w:rFonts w:ascii="Arial" w:cs="Arial" w:eastAsia="Arial" w:hAnsi="Arial"/>
          <w:sz w:val="18"/>
          <w:szCs w:val="18"/>
          <w:color w:val="auto"/>
        </w:rPr>
      </w:pPr>
    </w:p>
    <w:p>
      <w:pPr>
        <w:ind w:left="800" w:right="380" w:hanging="792"/>
        <w:spacing w:after="0" w:line="277" w:lineRule="auto"/>
        <w:tabs>
          <w:tab w:leader="none" w:pos="8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give a true and fair view of the state of affairs of each Relevant Borrower, the Guarantor and the Group at the date of those accounts and of its profit for the period to which those accounts relate; and</w:t>
      </w:r>
    </w:p>
    <w:p>
      <w:pPr>
        <w:spacing w:after="0" w:line="75" w:lineRule="exact"/>
        <w:rPr>
          <w:rFonts w:ascii="Arial" w:cs="Arial" w:eastAsia="Arial" w:hAnsi="Arial"/>
          <w:sz w:val="18"/>
          <w:szCs w:val="18"/>
          <w:color w:val="auto"/>
        </w:rPr>
      </w:pPr>
    </w:p>
    <w:p>
      <w:pPr>
        <w:ind w:left="800" w:right="440" w:hanging="792"/>
        <w:spacing w:after="0" w:line="308" w:lineRule="auto"/>
        <w:tabs>
          <w:tab w:leader="none" w:pos="80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fully disclose or provide for all significant liabilities of the Relevant Borrowers, the Guarantor and the Group and, additionally, in the case of information given pursuant to Clause 11.4 (c), each Ship owned by a Relevant Borrower, the Security Parties and the Group.</w:t>
      </w: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Shareholder and creditor notices</w:t>
      </w:r>
    </w:p>
    <w:p>
      <w:pPr>
        <w:spacing w:after="0" w:line="121" w:lineRule="exact"/>
        <w:rPr>
          <w:sz w:val="20"/>
          <w:szCs w:val="20"/>
          <w:color w:val="auto"/>
        </w:rPr>
      </w:pPr>
    </w:p>
    <w:p>
      <w:pPr>
        <w:ind w:left="800" w:right="40"/>
        <w:spacing w:after="0" w:line="277" w:lineRule="auto"/>
        <w:rPr>
          <w:sz w:val="20"/>
          <w:szCs w:val="20"/>
          <w:color w:val="auto"/>
        </w:rPr>
      </w:pPr>
      <w:r>
        <w:rPr>
          <w:rFonts w:ascii="Arial" w:cs="Arial" w:eastAsia="Arial" w:hAnsi="Arial"/>
          <w:sz w:val="18"/>
          <w:szCs w:val="18"/>
          <w:color w:val="auto"/>
        </w:rPr>
        <w:t>The Guarantor will send to the Security Trustee, upon request, copies of all communications which are despatched to the Guarantor’s shareholders or creditors or any class of them.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318" w:name="page319"/>
    <w:bookmarkEnd w:id="318"/>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w:t>
      </w:r>
      <w:r>
        <w:rPr>
          <w:sz w:val="20"/>
          <w:szCs w:val="20"/>
          <w:color w:val="auto"/>
        </w:rPr>
        <w:tab/>
      </w:r>
      <w:r>
        <w:rPr>
          <w:rFonts w:ascii="Arial" w:cs="Arial" w:eastAsia="Arial" w:hAnsi="Arial"/>
          <w:sz w:val="15"/>
          <w:szCs w:val="15"/>
          <w:b w:val="1"/>
          <w:bCs w:val="1"/>
          <w:color w:val="auto"/>
        </w:rPr>
        <w:t>Consents</w:t>
      </w:r>
    </w:p>
    <w:p>
      <w:pPr>
        <w:spacing w:after="0" w:line="121" w:lineRule="exact"/>
        <w:rPr>
          <w:sz w:val="20"/>
          <w:szCs w:val="20"/>
          <w:color w:val="auto"/>
        </w:rPr>
      </w:pPr>
    </w:p>
    <w:p>
      <w:pPr>
        <w:ind w:left="800" w:right="40"/>
        <w:spacing w:after="0" w:line="277" w:lineRule="auto"/>
        <w:rPr>
          <w:sz w:val="20"/>
          <w:szCs w:val="20"/>
          <w:color w:val="auto"/>
        </w:rPr>
      </w:pPr>
      <w:r>
        <w:rPr>
          <w:rFonts w:ascii="Arial" w:cs="Arial" w:eastAsia="Arial" w:hAnsi="Arial"/>
          <w:sz w:val="18"/>
          <w:szCs w:val="18"/>
          <w:color w:val="auto"/>
        </w:rPr>
        <w:t>The Guarantor will maintain in force and promptly obtain or renew, and will promptly send certified copies to the Security Trustee of, all consents required:</w:t>
      </w:r>
    </w:p>
    <w:p>
      <w:pPr>
        <w:spacing w:after="0" w:line="76" w:lineRule="exact"/>
        <w:rPr>
          <w:sz w:val="20"/>
          <w:szCs w:val="20"/>
          <w:color w:val="auto"/>
        </w:rPr>
      </w:pPr>
    </w:p>
    <w:p>
      <w:pPr>
        <w:ind w:left="800" w:hanging="792"/>
        <w:spacing w:after="0"/>
        <w:tabs>
          <w:tab w:leader="none" w:pos="8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for the Guarantor to perform its obligations under the Guarantor’s Documents; and</w:t>
      </w:r>
    </w:p>
    <w:p>
      <w:pPr>
        <w:spacing w:after="0" w:line="130" w:lineRule="exact"/>
        <w:rPr>
          <w:rFonts w:ascii="Arial" w:cs="Arial" w:eastAsia="Arial" w:hAnsi="Arial"/>
          <w:sz w:val="18"/>
          <w:szCs w:val="18"/>
          <w:color w:val="auto"/>
        </w:rPr>
      </w:pPr>
    </w:p>
    <w:p>
      <w:pPr>
        <w:ind w:left="800" w:right="5780" w:hanging="792"/>
        <w:spacing w:after="0" w:line="483" w:lineRule="auto"/>
        <w:tabs>
          <w:tab w:leader="none" w:pos="798" w:val="left"/>
        </w:tabs>
        <w:numPr>
          <w:ilvl w:val="0"/>
          <w:numId w:val="531"/>
        </w:numPr>
        <w:rPr>
          <w:rFonts w:ascii="Arial" w:cs="Arial" w:eastAsia="Arial" w:hAnsi="Arial"/>
          <w:sz w:val="16"/>
          <w:szCs w:val="16"/>
          <w:color w:val="auto"/>
        </w:rPr>
      </w:pPr>
      <w:r>
        <w:rPr>
          <w:rFonts w:ascii="Arial" w:cs="Arial" w:eastAsia="Arial" w:hAnsi="Arial"/>
          <w:sz w:val="16"/>
          <w:szCs w:val="16"/>
          <w:color w:val="auto"/>
        </w:rPr>
        <w:t>for the validity or enforceability of the Guarantor’s Documents, and the Guarantor will comply with the terms of all such consents.</w:t>
      </w:r>
    </w:p>
    <w:p>
      <w:pPr>
        <w:spacing w:after="0" w:line="16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Notification of litigation</w:t>
      </w:r>
    </w:p>
    <w:p>
      <w:pPr>
        <w:spacing w:after="0" w:line="121"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The Guarantor will provide the Security Trustee with details of any legal or administrative action involving the Guarantor as soon as such action is instituted or it becomes apparent to the Guarantor that it is likely to be instituted, unless it is clear that the legal or administrative action cannot be considered material in the context of any Guarantor’s Document.</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Maintenance of Security Interests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w:t>
      </w:r>
    </w:p>
    <w:p>
      <w:pPr>
        <w:spacing w:after="0" w:line="131" w:lineRule="exact"/>
        <w:rPr>
          <w:sz w:val="20"/>
          <w:szCs w:val="20"/>
          <w:color w:val="auto"/>
        </w:rPr>
      </w:pPr>
    </w:p>
    <w:p>
      <w:pPr>
        <w:ind w:left="800" w:right="380" w:hanging="792"/>
        <w:spacing w:after="0" w:line="277" w:lineRule="auto"/>
        <w:tabs>
          <w:tab w:leader="none" w:pos="8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at its own cost, do all that it reasonably can to ensure that any Guarantor’s Document validly creates the obligations and the Security Interests which it purports to create; and</w:t>
      </w:r>
    </w:p>
    <w:p>
      <w:pPr>
        <w:spacing w:after="0" w:line="75" w:lineRule="exact"/>
        <w:rPr>
          <w:rFonts w:ascii="Arial" w:cs="Arial" w:eastAsia="Arial" w:hAnsi="Arial"/>
          <w:sz w:val="18"/>
          <w:szCs w:val="18"/>
          <w:color w:val="auto"/>
        </w:rPr>
      </w:pPr>
    </w:p>
    <w:p>
      <w:pPr>
        <w:ind w:left="800" w:right="20" w:hanging="792"/>
        <w:spacing w:after="0" w:line="279" w:lineRule="auto"/>
        <w:tabs>
          <w:tab w:leader="none" w:pos="80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without limiting the generality of paragraph (a) above, at its own cost, promptly register, file, record or enrol any Guarantor’s Document with any court or authority in all Pertinent Jurisdictions, pay any stamp, registration or similar tax in all Pertinent Jurisdictions in respect of any Guarantor’s Document, give any notice or take any other step which may be or become necessary or desirable for any Guarantor’s Document to be valid, enforceable or admissible in evidence or to ensure or protect the priority of any Security Interest which it creates.</w:t>
      </w:r>
    </w:p>
    <w:p>
      <w:pPr>
        <w:spacing w:after="0" w:line="3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Confirmation of no default</w:t>
      </w:r>
    </w:p>
    <w:p>
      <w:pPr>
        <w:spacing w:after="0" w:line="121" w:lineRule="exact"/>
        <w:rPr>
          <w:sz w:val="20"/>
          <w:szCs w:val="20"/>
          <w:color w:val="auto"/>
        </w:rPr>
      </w:pPr>
    </w:p>
    <w:p>
      <w:pPr>
        <w:ind w:left="800" w:right="180"/>
        <w:spacing w:after="0" w:line="277" w:lineRule="auto"/>
        <w:rPr>
          <w:sz w:val="20"/>
          <w:szCs w:val="20"/>
          <w:color w:val="auto"/>
        </w:rPr>
      </w:pPr>
      <w:r>
        <w:rPr>
          <w:rFonts w:ascii="Arial" w:cs="Arial" w:eastAsia="Arial" w:hAnsi="Arial"/>
          <w:sz w:val="18"/>
          <w:szCs w:val="18"/>
          <w:color w:val="auto"/>
        </w:rPr>
        <w:t>The Guarantor will, within 2 Business Days after service by the Facility Agent of a written request, serve on the Facility Agent a notice which is signed by a director of the Guarantor and which:</w:t>
      </w:r>
    </w:p>
    <w:p>
      <w:pPr>
        <w:spacing w:after="0" w:line="76" w:lineRule="exact"/>
        <w:rPr>
          <w:sz w:val="20"/>
          <w:szCs w:val="20"/>
          <w:color w:val="auto"/>
        </w:rPr>
      </w:pPr>
    </w:p>
    <w:p>
      <w:pPr>
        <w:ind w:left="800" w:hanging="792"/>
        <w:spacing w:after="0"/>
        <w:tabs>
          <w:tab w:leader="none" w:pos="8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states that no Event of Default or Potential Event of Default has occurred; or</w:t>
      </w:r>
    </w:p>
    <w:p>
      <w:pPr>
        <w:spacing w:after="0" w:line="130" w:lineRule="exact"/>
        <w:rPr>
          <w:rFonts w:ascii="Arial" w:cs="Arial" w:eastAsia="Arial" w:hAnsi="Arial"/>
          <w:sz w:val="18"/>
          <w:szCs w:val="18"/>
          <w:color w:val="auto"/>
        </w:rPr>
      </w:pPr>
    </w:p>
    <w:p>
      <w:pPr>
        <w:ind w:left="800" w:right="180" w:hanging="792"/>
        <w:spacing w:after="0" w:line="277" w:lineRule="auto"/>
        <w:tabs>
          <w:tab w:leader="none" w:pos="8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states that no Event of Default or Potential Event of Default has occurred, except for a specified event or matter, of which all material details are given.</w:t>
      </w:r>
    </w:p>
    <w:p>
      <w:pPr>
        <w:spacing w:after="0" w:line="62" w:lineRule="exact"/>
        <w:rPr>
          <w:rFonts w:ascii="Arial" w:cs="Arial" w:eastAsia="Arial" w:hAnsi="Arial"/>
          <w:sz w:val="18"/>
          <w:szCs w:val="18"/>
          <w:color w:val="auto"/>
        </w:rPr>
      </w:pPr>
    </w:p>
    <w:p>
      <w:pPr>
        <w:ind w:left="800" w:right="620"/>
        <w:spacing w:after="0" w:line="286" w:lineRule="auto"/>
        <w:rPr>
          <w:rFonts w:ascii="Arial" w:cs="Arial" w:eastAsia="Arial" w:hAnsi="Arial"/>
          <w:sz w:val="18"/>
          <w:szCs w:val="18"/>
          <w:color w:val="auto"/>
        </w:rPr>
      </w:pPr>
      <w:r>
        <w:rPr>
          <w:rFonts w:ascii="Arial" w:cs="Arial" w:eastAsia="Arial" w:hAnsi="Arial"/>
          <w:sz w:val="17"/>
          <w:szCs w:val="17"/>
          <w:color w:val="auto"/>
        </w:rPr>
        <w:t>The Facility Agent may serve requests under this Clause 11.10 from time to time but only if asked to do so by a Lender or Lenders having Contributions exceeding 10 per cent. of the Loan or (if the Loan has not been made) Commitments exceeding 10 per cent of the Total Commitments; and this Clause 11.10 does not affect the Guarantor’s obligations under Clause 11.11.</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Notification of default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 notify the Security Trustee as soon as the Guarantor becomes aware of :</w:t>
      </w:r>
    </w:p>
    <w:p>
      <w:pPr>
        <w:spacing w:after="0" w:line="131" w:lineRule="exact"/>
        <w:rPr>
          <w:sz w:val="20"/>
          <w:szCs w:val="20"/>
          <w:color w:val="auto"/>
        </w:rPr>
      </w:pPr>
    </w:p>
    <w:p>
      <w:pPr>
        <w:ind w:left="800" w:right="220" w:hanging="792"/>
        <w:spacing w:after="0" w:line="277" w:lineRule="auto"/>
        <w:tabs>
          <w:tab w:leader="none" w:pos="8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occurrence of an Event of Default or Potential Event of Default (and the steps, if any, being taken to remedy such Potential Event of Default and/or Event of Default); or</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may have occurred,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319" w:name="page320"/>
    <w:bookmarkEnd w:id="319"/>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will thereafter keep the Security Trustee fully up-to-date with all developments.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Maintenance of status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Guarantor will maintain its separate existence as a limited partnership and remain in good standing under the laws of the Marshall Islands.</w:t>
      </w:r>
    </w:p>
    <w:p>
      <w:pPr>
        <w:spacing w:after="0" w:line="3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b w:val="1"/>
          <w:bCs w:val="1"/>
          <w:color w:val="auto"/>
        </w:rPr>
        <w:t>No petition for insolvency</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Guarantor will procure that none of its material creditors petition for the Guarantor’s insolvency nor take any related proceedings.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5"/>
          <w:szCs w:val="15"/>
          <w:b w:val="1"/>
          <w:bCs w:val="1"/>
          <w:color w:val="auto"/>
        </w:rPr>
        <w:t>Separateness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w:t>
      </w:r>
    </w:p>
    <w:p>
      <w:pPr>
        <w:spacing w:after="0" w:line="131" w:lineRule="exact"/>
        <w:rPr>
          <w:sz w:val="20"/>
          <w:szCs w:val="20"/>
          <w:color w:val="auto"/>
        </w:rPr>
      </w:pPr>
    </w:p>
    <w:p>
      <w:pPr>
        <w:ind w:left="800" w:hanging="792"/>
        <w:spacing w:after="0"/>
        <w:tabs>
          <w:tab w:leader="none" w:pos="8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keep its own separate books and records;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maintain its own separate accounts;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conduct business in its own name;</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observe all other formalities required by its constitutional documents;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prepare its own separate financial statements;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pay its liabilities out of its own funds; and</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hold itself out as a separate legal entity.</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No VAT group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shall not be a member of a VAT (value added tax) group.</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800" w:right="60"/>
        <w:spacing w:after="0" w:line="312" w:lineRule="auto"/>
        <w:rPr>
          <w:sz w:val="20"/>
          <w:szCs w:val="20"/>
          <w:color w:val="auto"/>
        </w:rPr>
      </w:pPr>
      <w:r>
        <w:rPr>
          <w:rFonts w:ascii="Arial" w:cs="Arial" w:eastAsia="Arial" w:hAnsi="Arial"/>
          <w:sz w:val="16"/>
          <w:szCs w:val="16"/>
          <w:color w:val="auto"/>
        </w:rPr>
        <w:t>The Guarantor shall ensure that no person, other than any financial institution, private equity firm or other investor maintaining a passive investment interest in the Guarantor, owns a number of common units in the Guarantor which is greater than the number of common units owned at any relevant time by the present major beneficial owners of the Guarantor, as disclosed to the Lenders on or before the date of this Guarantee.</w:t>
      </w: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“Know your customer” checks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800" w:right="300" w:hanging="792"/>
        <w:spacing w:after="0" w:line="277" w:lineRule="auto"/>
        <w:tabs>
          <w:tab w:leader="none" w:pos="8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Guarantee;</w:t>
      </w:r>
    </w:p>
    <w:p>
      <w:pPr>
        <w:spacing w:after="0" w:line="75" w:lineRule="exact"/>
        <w:rPr>
          <w:rFonts w:ascii="Arial" w:cs="Arial" w:eastAsia="Arial" w:hAnsi="Arial"/>
          <w:sz w:val="18"/>
          <w:szCs w:val="18"/>
          <w:color w:val="auto"/>
        </w:rPr>
      </w:pPr>
    </w:p>
    <w:p>
      <w:pPr>
        <w:ind w:left="800" w:right="100" w:hanging="792"/>
        <w:spacing w:after="0" w:line="277" w:lineRule="auto"/>
        <w:tabs>
          <w:tab w:leader="none" w:pos="8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change in the status of the Guarantor or any Security Party after the date of the Loan Agreement (including a situation where a shareholder’s share in a Relevant Borrower or any Security Party rises above 25% of the total number of shares); or</w:t>
      </w:r>
    </w:p>
    <w:p>
      <w:pPr>
        <w:spacing w:after="0" w:line="75"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Guarantee to a party that is not a Lender prior to such assignment or transfer,</w:t>
      </w:r>
    </w:p>
    <w:p>
      <w:pPr>
        <w:spacing w:after="0" w:line="62" w:lineRule="exact"/>
        <w:rPr>
          <w:rFonts w:ascii="Arial" w:cs="Arial" w:eastAsia="Arial" w:hAnsi="Arial"/>
          <w:sz w:val="18"/>
          <w:szCs w:val="18"/>
          <w:color w:val="auto"/>
        </w:rPr>
      </w:pPr>
    </w:p>
    <w:p>
      <w:pPr>
        <w:ind w:left="800" w:right="100"/>
        <w:spacing w:after="0" w:line="342" w:lineRule="auto"/>
        <w:rPr>
          <w:rFonts w:ascii="Arial" w:cs="Arial" w:eastAsia="Arial" w:hAnsi="Arial"/>
          <w:sz w:val="18"/>
          <w:szCs w:val="18"/>
          <w:color w:val="auto"/>
        </w:rPr>
      </w:pPr>
      <w:r>
        <w:rPr>
          <w:rFonts w:ascii="Arial" w:cs="Arial" w:eastAsia="Arial" w:hAnsi="Arial"/>
          <w:sz w:val="16"/>
          <w:szCs w:val="16"/>
          <w:color w:val="auto"/>
        </w:rPr>
        <w:t>obliges the Facility Agent or any Lender (or, in the case of paragraph (c), any prospective new Lender) to comply with “know your customer” or similar identification procedures in circumstances where the necessary information is not already available to it, the Guarantor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74" w:right="339" w:bottom="1440" w:gutter="0" w:footer="0" w:header="0"/>
        </w:sectPr>
      </w:pPr>
    </w:p>
    <w:bookmarkStart w:id="320" w:name="page321"/>
    <w:bookmarkEnd w:id="320"/>
    <w:p>
      <w:pPr>
        <w:ind w:left="80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promptly upon the request of the Facility Agent or the Lender concerned supply, or procure the supply of, such documentation and other evidence as is reasonably requested by the Facility Agent (for itself or on behalf of any Lender) or the Lender concerned (for itself or, in the case of the event described in paragraph (c), on behalf of any prospective new Lender) in order for the Facility Agent, the Lender concerned or, in the case of the event described in paragraph (c),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9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5"/>
          <w:szCs w:val="15"/>
          <w:b w:val="1"/>
          <w:bCs w:val="1"/>
          <w:color w:val="auto"/>
        </w:rPr>
        <w:t>Sanctions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 and shall procure that each member of the Group:</w:t>
      </w:r>
    </w:p>
    <w:p>
      <w:pPr>
        <w:spacing w:after="0" w:line="131" w:lineRule="exact"/>
        <w:rPr>
          <w:sz w:val="20"/>
          <w:szCs w:val="20"/>
          <w:color w:val="auto"/>
        </w:rPr>
      </w:pPr>
    </w:p>
    <w:p>
      <w:pPr>
        <w:ind w:left="800" w:hanging="792"/>
        <w:spacing w:after="0"/>
        <w:tabs>
          <w:tab w:leader="none" w:pos="8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will comply in all respects with Sanctions;</w:t>
      </w:r>
    </w:p>
    <w:p>
      <w:pPr>
        <w:spacing w:after="0" w:line="130" w:lineRule="exact"/>
        <w:rPr>
          <w:rFonts w:ascii="Arial" w:cs="Arial" w:eastAsia="Arial" w:hAnsi="Arial"/>
          <w:sz w:val="18"/>
          <w:szCs w:val="18"/>
          <w:color w:val="auto"/>
        </w:rPr>
      </w:pPr>
    </w:p>
    <w:p>
      <w:pPr>
        <w:ind w:left="800" w:right="20" w:hanging="792"/>
        <w:spacing w:after="0" w:line="257" w:lineRule="auto"/>
        <w:tabs>
          <w:tab w:leader="none" w:pos="8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will, not directly or indirectly, use the proceeds of the Loan, or lend, contribute or otherwise make available such proceeds to any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transactions contemplated by the Loan Agreement, this Guarantee and any other Finance Document, whether as underwriter, advisor, investor, or otherwise);</w:t>
      </w:r>
    </w:p>
    <w:p>
      <w:pPr>
        <w:spacing w:after="0" w:line="93" w:lineRule="exact"/>
        <w:rPr>
          <w:rFonts w:ascii="Arial" w:cs="Arial" w:eastAsia="Arial" w:hAnsi="Arial"/>
          <w:sz w:val="18"/>
          <w:szCs w:val="18"/>
          <w:color w:val="auto"/>
        </w:rPr>
      </w:pPr>
    </w:p>
    <w:p>
      <w:pPr>
        <w:ind w:left="800" w:right="420" w:hanging="792"/>
        <w:spacing w:after="0" w:line="342" w:lineRule="auto"/>
        <w:tabs>
          <w:tab w:leader="none" w:pos="80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shall not fund all or part of any payment under a Finance Document out of proceeds derived from business or transactions with a Designated Person or from any action which would be prohibited by Sanctions or would otherwise cause any person to be in breach of Sanctions; and</w:t>
      </w:r>
    </w:p>
    <w:p>
      <w:pPr>
        <w:spacing w:after="0" w:line="29" w:lineRule="exact"/>
        <w:rPr>
          <w:rFonts w:ascii="Arial" w:cs="Arial" w:eastAsia="Arial" w:hAnsi="Arial"/>
          <w:sz w:val="16"/>
          <w:szCs w:val="16"/>
          <w:color w:val="auto"/>
        </w:rPr>
      </w:pPr>
    </w:p>
    <w:p>
      <w:pPr>
        <w:ind w:left="800" w:hanging="792"/>
        <w:spacing w:after="0"/>
        <w:tabs>
          <w:tab w:leader="none" w:pos="8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shall not, and no Borrower, no Security Party, nor any member of the Group shall, be a Designated Person.</w:t>
      </w:r>
    </w:p>
    <w:p>
      <w:pPr>
        <w:spacing w:after="0" w:line="370" w:lineRule="exact"/>
        <w:rPr>
          <w:sz w:val="20"/>
          <w:szCs w:val="20"/>
          <w:color w:val="auto"/>
        </w:rPr>
      </w:pPr>
    </w:p>
    <w:p>
      <w:pPr>
        <w:ind w:left="800" w:hanging="792"/>
        <w:spacing w:after="0"/>
        <w:tabs>
          <w:tab w:leader="none" w:pos="800"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w:t>
      </w:r>
      <w:r>
        <w:rPr>
          <w:rFonts w:ascii="Arial" w:cs="Arial" w:eastAsia="Arial" w:hAnsi="Arial"/>
          <w:sz w:val="16"/>
          <w:szCs w:val="16"/>
          <w:b w:val="1"/>
          <w:bCs w:val="1"/>
          <w:color w:val="auto"/>
        </w:rPr>
        <w:t>General</w:t>
      </w:r>
    </w:p>
    <w:p>
      <w:pPr>
        <w:spacing w:after="0" w:line="121"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The Guarantor also undertakes with the Security Trustee to comply with the following provisions of this Clause 12 at all times during the Security Period except as the Facility Agent may, with the authority of all the Lenders, otherwise permit (in the case of Clause 12.2(f), such permission not to be unreasonably withheld, delayed or conditioned).</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Negative undertakings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 not:</w:t>
      </w:r>
    </w:p>
    <w:p>
      <w:pPr>
        <w:spacing w:after="0" w:line="131" w:lineRule="exact"/>
        <w:rPr>
          <w:sz w:val="20"/>
          <w:szCs w:val="20"/>
          <w:color w:val="auto"/>
        </w:rPr>
      </w:pPr>
    </w:p>
    <w:p>
      <w:pPr>
        <w:ind w:left="800" w:right="460" w:hanging="792"/>
        <w:spacing w:after="0" w:line="277" w:lineRule="auto"/>
        <w:tabs>
          <w:tab w:leader="none" w:pos="8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change the nature of its business (being that of owning, shipowning or holding companies, chartering (in and out) and operating, through its wholly-owned subsidiaries, Fleet Vessels); or</w:t>
      </w:r>
    </w:p>
    <w:p>
      <w:pPr>
        <w:spacing w:after="0" w:line="75" w:lineRule="exact"/>
        <w:rPr>
          <w:rFonts w:ascii="Arial" w:cs="Arial" w:eastAsia="Arial" w:hAnsi="Arial"/>
          <w:sz w:val="18"/>
          <w:szCs w:val="18"/>
          <w:color w:val="auto"/>
        </w:rPr>
      </w:pPr>
    </w:p>
    <w:p>
      <w:pPr>
        <w:ind w:left="800" w:right="40" w:hanging="792"/>
        <w:spacing w:after="0" w:line="286" w:lineRule="auto"/>
        <w:tabs>
          <w:tab w:leader="none" w:pos="80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pay any dividend or make any other form of distribution or effect any form of redemption, purchase or return of share capital if an Event of Default has occurred and is continuing at the relevant time or an Event of Default will result from the payment of a dividend or the making of any other form of distribution. In all other cases the Guarantor will be free to distribute dividends or make other distributions; or</w:t>
      </w:r>
    </w:p>
    <w:p>
      <w:pPr>
        <w:spacing w:after="0" w:line="70" w:lineRule="exact"/>
        <w:rPr>
          <w:rFonts w:ascii="Arial" w:cs="Arial" w:eastAsia="Arial" w:hAnsi="Arial"/>
          <w:sz w:val="17"/>
          <w:szCs w:val="17"/>
          <w:color w:val="auto"/>
        </w:rPr>
      </w:pPr>
    </w:p>
    <w:p>
      <w:pPr>
        <w:ind w:left="800" w:hanging="792"/>
        <w:spacing w:after="0"/>
        <w:tabs>
          <w:tab w:leader="none" w:pos="8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the Guarantor’s or any other Security Party’s share or loan capital; or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321" w:name="page322"/>
    <w:bookmarkEnd w:id="321"/>
    <w:p>
      <w:pPr>
        <w:ind w:left="1700" w:hanging="895"/>
        <w:spacing w:after="0"/>
        <w:tabs>
          <w:tab w:leader="none" w:pos="17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company in or with which such a person is directly or indirectly interested or connected,</w:t>
      </w:r>
    </w:p>
    <w:p>
      <w:pPr>
        <w:spacing w:after="0" w:line="117"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 enter into any transaction with or involving such a person or company on terms which are, in any respect, less favourable to the Guarantor than those which it could obtain in a bargain made at arms’ length; or</w:t>
      </w:r>
    </w:p>
    <w:p>
      <w:pPr>
        <w:spacing w:after="0" w:line="76" w:lineRule="exact"/>
        <w:rPr>
          <w:sz w:val="20"/>
          <w:szCs w:val="20"/>
          <w:color w:val="auto"/>
        </w:rPr>
      </w:pPr>
    </w:p>
    <w:p>
      <w:pPr>
        <w:ind w:left="800" w:hanging="792"/>
        <w:spacing w:after="0"/>
        <w:tabs>
          <w:tab w:leader="none" w:pos="8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issue, allot or grant any person a right to any shares in its capital or repurchase or reduce its issued share capital; 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enter into any form of amalgamation, merger or de-merger or any form of reconstruction or reorganisation; 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change its constitutional documents in a material respect; or</w:t>
      </w:r>
    </w:p>
    <w:p>
      <w:pPr>
        <w:spacing w:after="0" w:line="130" w:lineRule="exact"/>
        <w:rPr>
          <w:rFonts w:ascii="Arial" w:cs="Arial" w:eastAsia="Arial" w:hAnsi="Arial"/>
          <w:sz w:val="18"/>
          <w:szCs w:val="18"/>
          <w:color w:val="auto"/>
        </w:rPr>
      </w:pPr>
    </w:p>
    <w:p>
      <w:pPr>
        <w:jc w:val="both"/>
        <w:ind w:left="800" w:right="20" w:hanging="792"/>
        <w:spacing w:after="0" w:line="264" w:lineRule="auto"/>
        <w:tabs>
          <w:tab w:leader="none" w:pos="8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pledge, assign, charge, dispose of, nor create or permit any Security Interest or other third party right (nor agree to assign, charge, pledge, dispose of or create or permit any Security Interest or other third party right) on or over the shares in the Relevant Borrower(s) other than in favour of the Security Trustee.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Financial Covenants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shall ensure that at all times:</w:t>
      </w:r>
    </w:p>
    <w:p>
      <w:pPr>
        <w:spacing w:after="0" w:line="131" w:lineRule="exact"/>
        <w:rPr>
          <w:sz w:val="20"/>
          <w:szCs w:val="20"/>
          <w:color w:val="auto"/>
        </w:rPr>
      </w:pPr>
    </w:p>
    <w:p>
      <w:pPr>
        <w:ind w:left="800" w:hanging="792"/>
        <w:spacing w:after="0"/>
        <w:tabs>
          <w:tab w:leader="none" w:pos="80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Leverage Ratio shall not exceed 72.5 per cent.;</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ratio of EBITDA to Net Interest Expense, on a trailing 12-month basis, shall be no less than 2:1; and</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Liquid Assets of the Group shall be in an amount of not less than $500,000 per Fleet Vessel.</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Compliance Check</w:t>
      </w:r>
    </w:p>
    <w:p>
      <w:pPr>
        <w:spacing w:after="0" w:line="121" w:lineRule="exact"/>
        <w:rPr>
          <w:sz w:val="20"/>
          <w:szCs w:val="20"/>
          <w:color w:val="auto"/>
        </w:rPr>
      </w:pPr>
    </w:p>
    <w:p>
      <w:pPr>
        <w:ind w:left="800"/>
        <w:spacing w:after="0" w:line="297" w:lineRule="auto"/>
        <w:rPr>
          <w:sz w:val="20"/>
          <w:szCs w:val="20"/>
          <w:color w:val="auto"/>
        </w:rPr>
      </w:pPr>
      <w:r>
        <w:rPr>
          <w:rFonts w:ascii="Arial" w:cs="Arial" w:eastAsia="Arial" w:hAnsi="Arial"/>
          <w:sz w:val="16"/>
          <w:szCs w:val="16"/>
          <w:color w:val="auto"/>
        </w:rPr>
        <w:t>Compliance with the undertakings contained in Clause 12.3 shall be tested semi-annually and determined by reference to the unaudited consolidated accounts of the Group for the first 6-month period in each financial year of the Guarantor delivered to the Facility Agent pursuant to Clause 11.4(b)(ii) and for the second 6-month period in each financial year of the Guarantor, by reference to the audited consolidated accounts of the Guarantor for that Financial Year delivered to the Facility Agent pursuant to Clause 11.4(a)(ii). At the same time as it delivers its consolidated accounts, the Guarantor shall deliver to the Facility Agent a Compliance Certificate, signed by the chief financial officer of the Guarantor.</w:t>
      </w:r>
    </w:p>
    <w:p>
      <w:pPr>
        <w:spacing w:after="0" w:line="3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5"/>
          <w:szCs w:val="15"/>
          <w:b w:val="1"/>
          <w:bCs w:val="1"/>
          <w:color w:val="auto"/>
        </w:rPr>
        <w:t>Change in accounting expressions and policies</w:t>
      </w:r>
    </w:p>
    <w:p>
      <w:pPr>
        <w:spacing w:after="0" w:line="121" w:lineRule="exact"/>
        <w:rPr>
          <w:sz w:val="20"/>
          <w:szCs w:val="20"/>
          <w:color w:val="auto"/>
        </w:rPr>
      </w:pPr>
    </w:p>
    <w:p>
      <w:pPr>
        <w:ind w:left="800" w:right="80"/>
        <w:spacing w:after="0" w:line="257" w:lineRule="auto"/>
        <w:rPr>
          <w:sz w:val="20"/>
          <w:szCs w:val="20"/>
          <w:color w:val="auto"/>
        </w:rPr>
      </w:pPr>
      <w:r>
        <w:rPr>
          <w:rFonts w:ascii="Arial" w:cs="Arial" w:eastAsia="Arial" w:hAnsi="Arial"/>
          <w:sz w:val="18"/>
          <w:szCs w:val="18"/>
          <w:color w:val="auto"/>
        </w:rPr>
        <w:t>If, by reason of change in format or US GAAP or other relevant accounting policies, the expressions appearing in any accounts and financial statements referred to in Clause 11.4 alter from those in the accounts and financial statements for the Group for the year ending on 31 December 2015, the relevant definitions contained in Clause 1.1 and the provisions of Clause 12.3 shall be deemed modified in such manner as the Facility Agent, acting with the authorisation of all the Lenders, shall require to take account of such different expressions but otherwise to maintain in all respects the substance of those provisions.</w:t>
      </w:r>
    </w:p>
    <w:p>
      <w:pPr>
        <w:spacing w:after="0" w:line="3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Guarantor’s financial covenants</w:t>
      </w:r>
    </w:p>
    <w:p>
      <w:pPr>
        <w:spacing w:after="0" w:line="121" w:lineRule="exact"/>
        <w:rPr>
          <w:sz w:val="20"/>
          <w:szCs w:val="20"/>
          <w:color w:val="auto"/>
        </w:rPr>
      </w:pPr>
    </w:p>
    <w:p>
      <w:pPr>
        <w:ind w:left="800" w:right="60"/>
        <w:spacing w:after="0" w:line="308" w:lineRule="auto"/>
        <w:rPr>
          <w:sz w:val="20"/>
          <w:szCs w:val="20"/>
          <w:color w:val="auto"/>
        </w:rPr>
      </w:pPr>
      <w:r>
        <w:rPr>
          <w:rFonts w:ascii="Arial" w:cs="Arial" w:eastAsia="Arial" w:hAnsi="Arial"/>
          <w:sz w:val="17"/>
          <w:szCs w:val="17"/>
          <w:color w:val="auto"/>
        </w:rPr>
        <w:t>If, in the reasonable opinion of the Facility Agent (acting on the instructions of the Lenders), the Guarantor, in the context of a financing made or to be made available to a member of the Group or otherwise, agrees with any third party financial covenants which:</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274" w:right="359" w:bottom="1440" w:gutter="0" w:footer="0" w:header="0"/>
        </w:sectPr>
      </w:pPr>
    </w:p>
    <w:bookmarkStart w:id="322" w:name="page323"/>
    <w:bookmarkEnd w:id="322"/>
    <w:p>
      <w:pPr>
        <w:ind w:left="800" w:hanging="792"/>
        <w:spacing w:after="0"/>
        <w:tabs>
          <w:tab w:leader="none" w:pos="8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more favourable than those applicable to the Finance Parties pursuant to the Finance Documents;</w:t>
      </w:r>
    </w:p>
    <w:p>
      <w:pPr>
        <w:spacing w:after="0" w:line="130" w:lineRule="exact"/>
        <w:rPr>
          <w:rFonts w:ascii="Arial" w:cs="Arial" w:eastAsia="Arial" w:hAnsi="Arial"/>
          <w:sz w:val="18"/>
          <w:szCs w:val="18"/>
          <w:color w:val="auto"/>
        </w:rPr>
      </w:pPr>
    </w:p>
    <w:p>
      <w:pPr>
        <w:ind w:left="800" w:right="100" w:hanging="792"/>
        <w:spacing w:after="0" w:line="277" w:lineRule="auto"/>
        <w:tabs>
          <w:tab w:leader="none" w:pos="8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place that third party in a more favourable position than that applicable to the Creditor Parties pursuant to this Guarantee or any other Guarantor’s Document; and</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are more onerous than those imposed on the Guarantor pursuant to this Guarantee or any other Guarantor’s Document,</w:t>
      </w:r>
    </w:p>
    <w:p>
      <w:pPr>
        <w:spacing w:after="0" w:line="117" w:lineRule="exact"/>
        <w:rPr>
          <w:rFonts w:ascii="Arial" w:cs="Arial" w:eastAsia="Arial" w:hAnsi="Arial"/>
          <w:sz w:val="18"/>
          <w:szCs w:val="18"/>
          <w:color w:val="auto"/>
        </w:rPr>
      </w:pPr>
    </w:p>
    <w:p>
      <w:pPr>
        <w:ind w:left="800"/>
        <w:spacing w:after="0" w:line="255" w:lineRule="auto"/>
        <w:rPr>
          <w:rFonts w:ascii="Arial" w:cs="Arial" w:eastAsia="Arial" w:hAnsi="Arial"/>
          <w:sz w:val="18"/>
          <w:szCs w:val="18"/>
          <w:color w:val="auto"/>
        </w:rPr>
      </w:pPr>
      <w:r>
        <w:rPr>
          <w:rFonts w:ascii="Arial" w:cs="Arial" w:eastAsia="Arial" w:hAnsi="Arial"/>
          <w:sz w:val="18"/>
          <w:szCs w:val="18"/>
          <w:color w:val="auto"/>
        </w:rPr>
        <w:t>the Guarantor shall, or shall procure that any Security Party or any other third party shall, give the Creditor Parties the benefit of such financial covenants which, in the opinion of the Finance Parties, would place them in the same position as that applicable to the other lender or lenders at the relevant time by entering into a supplemental agreement to this Guarantee and any of the other Guarantor’s Documents by which the applicable covenants and undertakings are amended and supplemented to place them in the same position as that applicable to the other lender or lenders at the relevant time (with such supplemental agreement being entered into as soon as practicable after the imposition of such financial covenants on the Guarantor by the third party).</w:t>
      </w:r>
    </w:p>
    <w:p>
      <w:pPr>
        <w:spacing w:after="0" w:line="33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5"/>
          <w:szCs w:val="15"/>
          <w:b w:val="1"/>
          <w:bCs w:val="1"/>
          <w:color w:val="auto"/>
        </w:rPr>
        <w:t>Valuation of Fleet Vessels</w:t>
      </w:r>
    </w:p>
    <w:p>
      <w:pPr>
        <w:spacing w:after="0" w:line="121"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color w:val="auto"/>
        </w:rPr>
        <w:t>The market value of a Fleet Vessel at any date is that shown by taking the arithmetic means of two valuations requested by the Guarantor to be issued by two Approved Brokers appointed by the Guarantor, each valuation to be prepared:</w:t>
      </w:r>
    </w:p>
    <w:p>
      <w:pPr>
        <w:spacing w:after="0" w:line="76" w:lineRule="exact"/>
        <w:rPr>
          <w:sz w:val="20"/>
          <w:szCs w:val="20"/>
          <w:color w:val="auto"/>
        </w:rPr>
      </w:pPr>
    </w:p>
    <w:p>
      <w:pPr>
        <w:ind w:left="800" w:hanging="792"/>
        <w:spacing w:after="0"/>
        <w:tabs>
          <w:tab w:leader="none" w:pos="8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as at a date not more than 15 days prior to the relevant Compliance Date;</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with or without physical inspection of that Fleet Vessel (as the Facility Agent may require);</w:t>
      </w:r>
    </w:p>
    <w:p>
      <w:pPr>
        <w:spacing w:after="0" w:line="130"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 and</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after deducting the estimated amount of the usual and reasonable expenses which would be incurred in connection with the sale.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Maintenance of ownership of Relevant Borrowers</w:t>
      </w:r>
    </w:p>
    <w:p>
      <w:pPr>
        <w:spacing w:after="0" w:line="121" w:lineRule="exact"/>
        <w:rPr>
          <w:sz w:val="20"/>
          <w:szCs w:val="20"/>
          <w:color w:val="auto"/>
        </w:rPr>
      </w:pPr>
    </w:p>
    <w:p>
      <w:pPr>
        <w:ind w:left="800" w:right="540"/>
        <w:spacing w:after="0" w:line="277" w:lineRule="auto"/>
        <w:rPr>
          <w:sz w:val="20"/>
          <w:szCs w:val="20"/>
          <w:color w:val="auto"/>
        </w:rPr>
      </w:pPr>
      <w:r>
        <w:rPr>
          <w:rFonts w:ascii="Arial" w:cs="Arial" w:eastAsia="Arial" w:hAnsi="Arial"/>
          <w:sz w:val="18"/>
          <w:szCs w:val="18"/>
          <w:color w:val="auto"/>
        </w:rPr>
        <w:t>The Guarantor shall remain the ultimate legal owner of the entire issued and allotted share capital of each Relevant Borrower (other than an Affected Borrower) free from any Security Interest.</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JUDGMENTS AND CURRENCY INDEMNITY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Judgments relating to Loan Agreement and Master Agreements</w:t>
      </w:r>
    </w:p>
    <w:p>
      <w:pPr>
        <w:spacing w:after="0" w:line="121" w:lineRule="exact"/>
        <w:rPr>
          <w:sz w:val="20"/>
          <w:szCs w:val="20"/>
          <w:color w:val="auto"/>
        </w:rPr>
      </w:pPr>
    </w:p>
    <w:p>
      <w:pPr>
        <w:ind w:left="800" w:right="100"/>
        <w:spacing w:after="0" w:line="312" w:lineRule="auto"/>
        <w:rPr>
          <w:sz w:val="20"/>
          <w:szCs w:val="20"/>
          <w:color w:val="auto"/>
        </w:rPr>
      </w:pPr>
      <w:r>
        <w:rPr>
          <w:rFonts w:ascii="Arial" w:cs="Arial" w:eastAsia="Arial" w:hAnsi="Arial"/>
          <w:sz w:val="16"/>
          <w:szCs w:val="16"/>
          <w:color w:val="auto"/>
        </w:rPr>
        <w:t>This Guarantee shall cover any amount payable by the Relevant Borrowers under or in connection with any judgment relating to the Guaranteed Advances and any amounts payable under the Loan Agreement, the Master Agreements and any other Finance Document in connection with, or attributable to, the Guaranteed Advances and to the period during which any Relevant Borrower is a member of the same Group as the Guarantor.</w:t>
      </w: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Currency indemnity</w:t>
      </w:r>
    </w:p>
    <w:p>
      <w:pPr>
        <w:spacing w:after="0" w:line="121" w:lineRule="exact"/>
        <w:rPr>
          <w:sz w:val="20"/>
          <w:szCs w:val="20"/>
          <w:color w:val="auto"/>
        </w:rPr>
      </w:pPr>
    </w:p>
    <w:p>
      <w:pPr>
        <w:jc w:val="center"/>
        <w:ind w:left="680" w:right="360"/>
        <w:spacing w:after="0" w:line="449" w:lineRule="auto"/>
        <w:rPr>
          <w:sz w:val="20"/>
          <w:szCs w:val="20"/>
          <w:color w:val="auto"/>
        </w:rPr>
      </w:pPr>
      <w:r>
        <w:rPr>
          <w:rFonts w:ascii="Arial" w:cs="Arial" w:eastAsia="Arial" w:hAnsi="Arial"/>
          <w:sz w:val="18"/>
          <w:szCs w:val="18"/>
          <w:color w:val="auto"/>
        </w:rPr>
        <w:t>In addition, clause 21.6 (</w:t>
      </w:r>
      <w:r>
        <w:rPr>
          <w:rFonts w:ascii="Arial" w:cs="Arial" w:eastAsia="Arial" w:hAnsi="Arial"/>
          <w:sz w:val="18"/>
          <w:szCs w:val="18"/>
          <w:i w:val="1"/>
          <w:iCs w:val="1"/>
          <w:color w:val="auto"/>
        </w:rPr>
        <w:t>currency indemnity</w:t>
      </w:r>
      <w:r>
        <w:rPr>
          <w:rFonts w:ascii="Arial" w:cs="Arial" w:eastAsia="Arial" w:hAnsi="Arial"/>
          <w:sz w:val="18"/>
          <w:szCs w:val="18"/>
          <w:color w:val="auto"/>
        </w:rPr>
        <w:t>) of the Loan Agreement shall apply, with any necessary adaptations, in relation to this Guarantee. 15</w:t>
      </w:r>
    </w:p>
    <w:p>
      <w:pPr>
        <w:sectPr>
          <w:pgSz w:w="11900" w:h="16838" w:orient="portrait"/>
          <w:cols w:equalWidth="0" w:num="1">
            <w:col w:w="11400"/>
          </w:cols>
          <w:pgMar w:left="240" w:top="273" w:right="259" w:bottom="1440" w:gutter="0" w:footer="0" w:header="0"/>
        </w:sectPr>
      </w:pPr>
    </w:p>
    <w:bookmarkStart w:id="323" w:name="page324"/>
    <w:bookmarkEnd w:id="323"/>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r>
        <w:rPr>
          <w:sz w:val="20"/>
          <w:szCs w:val="20"/>
          <w:color w:val="auto"/>
        </w:rPr>
        <w:tab/>
      </w:r>
      <w:r>
        <w:rPr>
          <w:rFonts w:ascii="Arial" w:cs="Arial" w:eastAsia="Arial" w:hAnsi="Arial"/>
          <w:sz w:val="18"/>
          <w:szCs w:val="18"/>
          <w:b w:val="1"/>
          <w:bCs w:val="1"/>
          <w:color w:val="auto"/>
        </w:rPr>
        <w:t>SET OFF</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Application of credit balances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Creditor Party may with prior notice to the Guarantor:</w:t>
      </w:r>
    </w:p>
    <w:p>
      <w:pPr>
        <w:spacing w:after="0" w:line="131" w:lineRule="exact"/>
        <w:rPr>
          <w:sz w:val="20"/>
          <w:szCs w:val="20"/>
          <w:color w:val="auto"/>
        </w:rPr>
      </w:pPr>
    </w:p>
    <w:p>
      <w:pPr>
        <w:ind w:left="800" w:right="40" w:hanging="792"/>
        <w:spacing w:after="0" w:line="264" w:lineRule="auto"/>
        <w:tabs>
          <w:tab w:leader="none" w:pos="80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the Guarantor at any office in any country of that Creditor Party in or towards satisfaction of any sum then due from the Guarantor to that Creditor Party under this or any of the other Finance Documents; and</w:t>
      </w:r>
    </w:p>
    <w:p>
      <w:pPr>
        <w:spacing w:after="0" w:line="86" w:lineRule="exact"/>
        <w:rPr>
          <w:rFonts w:ascii="Arial" w:cs="Arial" w:eastAsia="Arial" w:hAnsi="Arial"/>
          <w:sz w:val="18"/>
          <w:szCs w:val="18"/>
          <w:color w:val="auto"/>
        </w:rPr>
      </w:pPr>
    </w:p>
    <w:p>
      <w:pPr>
        <w:ind w:left="800" w:hanging="792"/>
        <w:spacing w:after="0"/>
        <w:tabs>
          <w:tab w:leader="none" w:pos="80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the Guarantor;</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130" w:lineRule="exact"/>
        <w:rPr>
          <w:rFonts w:ascii="Arial" w:cs="Arial" w:eastAsia="Arial" w:hAnsi="Arial"/>
          <w:sz w:val="18"/>
          <w:szCs w:val="18"/>
          <w:color w:val="auto"/>
        </w:rPr>
      </w:pPr>
    </w:p>
    <w:p>
      <w:pPr>
        <w:ind w:left="1700" w:right="400" w:hanging="895"/>
        <w:spacing w:after="0" w:line="277" w:lineRule="auto"/>
        <w:tabs>
          <w:tab w:leader="none" w:pos="170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enter into any other transaction or make any entry with regard to the credit balance which the Creditor Party concerned considers appropriate.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Existing rights unaffected</w:t>
      </w:r>
    </w:p>
    <w:p>
      <w:pPr>
        <w:spacing w:after="0" w:line="121" w:lineRule="exact"/>
        <w:rPr>
          <w:sz w:val="20"/>
          <w:szCs w:val="20"/>
          <w:color w:val="auto"/>
        </w:rPr>
      </w:pPr>
    </w:p>
    <w:p>
      <w:pPr>
        <w:jc w:val="both"/>
        <w:ind w:left="800" w:right="20"/>
        <w:spacing w:after="0" w:line="264" w:lineRule="auto"/>
        <w:rPr>
          <w:sz w:val="20"/>
          <w:szCs w:val="20"/>
          <w:color w:val="auto"/>
        </w:rPr>
      </w:pPr>
      <w:r>
        <w:rPr>
          <w:rFonts w:ascii="Arial" w:cs="Arial" w:eastAsia="Arial" w:hAnsi="Arial"/>
          <w:sz w:val="18"/>
          <w:szCs w:val="18"/>
          <w:color w:val="auto"/>
        </w:rPr>
        <w:t>No Creditor Party shall be obliged to exercise any of its rights under Clause 14.1; and those rights shall be without prejudice and in addition to any right of set off, combination of accounts, charge, lien or other right or remedy to which a Creditor Party is entitled (whether under the general law or any document).</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800" w:right="180"/>
        <w:spacing w:after="0" w:line="264" w:lineRule="auto"/>
        <w:rPr>
          <w:sz w:val="20"/>
          <w:szCs w:val="20"/>
          <w:color w:val="auto"/>
        </w:rPr>
      </w:pPr>
      <w:r>
        <w:rPr>
          <w:rFonts w:ascii="Arial" w:cs="Arial" w:eastAsia="Arial" w:hAnsi="Arial"/>
          <w:sz w:val="18"/>
          <w:szCs w:val="18"/>
          <w:color w:val="auto"/>
        </w:rPr>
        <w:t>For the purposes of this Clause 14, a sum payable by the Guarantor to the Facility Agent or the Security Trustee for distribution to, or for the account of, a Lender shall be treated as a sum due to that Lender; and each Lender’s proportion of a sum so payable for distribution to, or for the account of, the Lenders shall be treated as a sum due to that Lender.</w:t>
      </w:r>
    </w:p>
    <w:p>
      <w:pPr>
        <w:spacing w:after="0" w:line="326" w:lineRule="exact"/>
        <w:rPr>
          <w:sz w:val="20"/>
          <w:szCs w:val="20"/>
          <w:color w:val="auto"/>
        </w:rPr>
      </w:pPr>
    </w:p>
    <w:p>
      <w:pPr>
        <w:ind w:left="800" w:hanging="792"/>
        <w:spacing w:after="0"/>
        <w:tabs>
          <w:tab w:leader="none" w:pos="800"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15.1</w:t>
      </w:r>
      <w:r>
        <w:rPr>
          <w:rFonts w:ascii="Arial" w:cs="Arial" w:eastAsia="Arial" w:hAnsi="Arial"/>
          <w:sz w:val="16"/>
          <w:szCs w:val="16"/>
          <w:b w:val="1"/>
          <w:bCs w:val="1"/>
          <w:color w:val="auto"/>
        </w:rPr>
        <w:t>Continuing guarantee</w:t>
      </w:r>
    </w:p>
    <w:p>
      <w:pPr>
        <w:spacing w:after="0" w:line="121" w:lineRule="exact"/>
        <w:rPr>
          <w:sz w:val="20"/>
          <w:szCs w:val="20"/>
          <w:color w:val="auto"/>
        </w:rPr>
      </w:pPr>
    </w:p>
    <w:p>
      <w:pPr>
        <w:ind w:left="800" w:right="600"/>
        <w:spacing w:after="0" w:line="277" w:lineRule="auto"/>
        <w:rPr>
          <w:sz w:val="20"/>
          <w:szCs w:val="20"/>
          <w:color w:val="auto"/>
        </w:rPr>
      </w:pPr>
      <w:r>
        <w:rPr>
          <w:rFonts w:ascii="Arial" w:cs="Arial" w:eastAsia="Arial" w:hAnsi="Arial"/>
          <w:sz w:val="18"/>
          <w:szCs w:val="18"/>
          <w:color w:val="auto"/>
        </w:rPr>
        <w:t>This Guarantee shall remain in force as a continuing security at all times during the Security Period in respect of the period during which a Relevant Borrower is a member of the Group.</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Rights cumulative, non-exclusive</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The Security Trustee’s rights under and in connection with this Guarantee are cumulative, may be exercised as often as appears expedient and shall not be taken to exclude or limit any right or remedy conferred by law.</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No impairment of rights under Guarantee</w:t>
      </w:r>
    </w:p>
    <w:p>
      <w:pPr>
        <w:spacing w:after="0" w:line="121"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If the Security Trustee omits to exercise, delays in exercising or invalidly exercises any of its rights under this Guarantee, that shall not impair that or any other right of the Security Trustee under this Guarantee.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Severability of provisions</w:t>
      </w:r>
    </w:p>
    <w:p>
      <w:pPr>
        <w:spacing w:after="0" w:line="121" w:lineRule="exact"/>
        <w:rPr>
          <w:sz w:val="20"/>
          <w:szCs w:val="20"/>
          <w:color w:val="auto"/>
        </w:rPr>
      </w:pPr>
    </w:p>
    <w:p>
      <w:pPr>
        <w:ind w:left="800" w:right="280"/>
        <w:spacing w:after="0" w:line="277" w:lineRule="auto"/>
        <w:rPr>
          <w:sz w:val="20"/>
          <w:szCs w:val="20"/>
          <w:color w:val="auto"/>
        </w:rPr>
      </w:pPr>
      <w:r>
        <w:rPr>
          <w:rFonts w:ascii="Arial" w:cs="Arial" w:eastAsia="Arial" w:hAnsi="Arial"/>
          <w:sz w:val="18"/>
          <w:szCs w:val="18"/>
          <w:color w:val="auto"/>
        </w:rPr>
        <w:t>If any provision of this Guarantee is or subsequently becomes void, illegal, unenforceable or otherwise invalid, that shall not affect the validity, legality or enforceability of its other provisions.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69" w:right="259" w:bottom="1440" w:gutter="0" w:footer="0" w:header="0"/>
        </w:sectPr>
      </w:pPr>
    </w:p>
    <w:bookmarkStart w:id="324" w:name="page325"/>
    <w:bookmarkEnd w:id="324"/>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15.5</w:t>
      </w:r>
      <w:r>
        <w:rPr>
          <w:sz w:val="20"/>
          <w:szCs w:val="20"/>
          <w:color w:val="auto"/>
        </w:rPr>
        <w:tab/>
      </w:r>
      <w:r>
        <w:rPr>
          <w:rFonts w:ascii="Arial" w:cs="Arial" w:eastAsia="Arial" w:hAnsi="Arial"/>
          <w:sz w:val="16"/>
          <w:szCs w:val="16"/>
          <w:b w:val="1"/>
          <w:bCs w:val="1"/>
          <w:color w:val="auto"/>
        </w:rPr>
        <w:t>Guarantee not affected by other security</w:t>
      </w:r>
    </w:p>
    <w:p>
      <w:pPr>
        <w:spacing w:after="0" w:line="121" w:lineRule="exact"/>
        <w:rPr>
          <w:sz w:val="20"/>
          <w:szCs w:val="20"/>
          <w:color w:val="auto"/>
        </w:rPr>
      </w:pPr>
    </w:p>
    <w:p>
      <w:pPr>
        <w:ind w:left="800" w:right="360"/>
        <w:spacing w:after="0" w:line="264" w:lineRule="auto"/>
        <w:rPr>
          <w:sz w:val="20"/>
          <w:szCs w:val="20"/>
          <w:color w:val="auto"/>
        </w:rPr>
      </w:pPr>
      <w:r>
        <w:rPr>
          <w:rFonts w:ascii="Arial" w:cs="Arial" w:eastAsia="Arial" w:hAnsi="Arial"/>
          <w:sz w:val="18"/>
          <w:szCs w:val="18"/>
          <w:color w:val="auto"/>
        </w:rPr>
        <w:t>This Guarantee shall not impair, nor be impaired by, any other guarantee, any Security Interest or any right of set-off or netting or to combine accounts which the Security Trustee or any other Creditor Party may now or later hold in connection with the Loan Agreement, a Master Agreement or any other Finance Document.</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Guarantor bound by Finance Documents</w:t>
      </w:r>
    </w:p>
    <w:p>
      <w:pPr>
        <w:spacing w:after="0" w:line="121"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color w:val="auto"/>
        </w:rPr>
        <w:t>The Guarantor agrees with the Security Trustee to be bound by all provisions of each Finance Document which are applicable to the Borrowers in the same way as if those provisions had been set out (with any necessary modifications) in this Guarantee.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Applicability of provisions of Guarantee to other Security Interests</w:t>
      </w:r>
    </w:p>
    <w:p>
      <w:pPr>
        <w:spacing w:after="0" w:line="121" w:lineRule="exact"/>
        <w:rPr>
          <w:sz w:val="20"/>
          <w:szCs w:val="20"/>
          <w:color w:val="auto"/>
        </w:rPr>
      </w:pPr>
    </w:p>
    <w:p>
      <w:pPr>
        <w:ind w:left="800" w:right="60"/>
        <w:spacing w:after="0" w:line="259" w:lineRule="auto"/>
        <w:rPr>
          <w:sz w:val="20"/>
          <w:szCs w:val="20"/>
          <w:color w:val="auto"/>
        </w:rPr>
      </w:pPr>
      <w:r>
        <w:rPr>
          <w:rFonts w:ascii="Arial" w:cs="Arial" w:eastAsia="Arial" w:hAnsi="Arial"/>
          <w:sz w:val="18"/>
          <w:szCs w:val="18"/>
          <w:color w:val="auto"/>
        </w:rPr>
        <w:t>Any Security Interest which the Guarantor creates (whether at the time at which it signs this Guarantee or at any later time) to secure any liability under this Guarantee shall be a principal and independent security, and Clauses 3 and 18 shall, with any necessary modifications, apply to it, notwithstanding that the document creating the Security Interest neither describes it as a principal or independent security nor includes provisions similar to Clauses 3 and 18.</w:t>
      </w:r>
    </w:p>
    <w:p>
      <w:pPr>
        <w:spacing w:after="0" w:line="3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Applicability of provisions of Guarantee to other rights</w:t>
      </w:r>
    </w:p>
    <w:p>
      <w:pPr>
        <w:spacing w:after="0" w:line="121"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color w:val="auto"/>
        </w:rPr>
        <w:t>Clauses 3 and 18 shall also apply to any right of set-off or netting or to combine accounts which the Guarantor creates by an agreement entered into at the time of this Guarantee or at any later time (notwithstanding that the agreement does not include provisions similar to Clauses 3 and 18), being an agreement referring to this Guarantee.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b w:val="1"/>
          <w:bCs w:val="1"/>
          <w:color w:val="auto"/>
        </w:rPr>
        <w:t>Guarantor’s approval of Loan Agreement, Master Agreements and the other Finance Documents</w:t>
      </w:r>
    </w:p>
    <w:p>
      <w:pPr>
        <w:spacing w:after="0" w:line="121" w:lineRule="exact"/>
        <w:rPr>
          <w:sz w:val="20"/>
          <w:szCs w:val="20"/>
          <w:color w:val="auto"/>
        </w:rPr>
      </w:pPr>
    </w:p>
    <w:p>
      <w:pPr>
        <w:ind w:left="800" w:right="340"/>
        <w:spacing w:after="0" w:line="277" w:lineRule="auto"/>
        <w:rPr>
          <w:sz w:val="20"/>
          <w:szCs w:val="20"/>
          <w:color w:val="auto"/>
        </w:rPr>
      </w:pPr>
      <w:r>
        <w:rPr>
          <w:rFonts w:ascii="Arial" w:cs="Arial" w:eastAsia="Arial" w:hAnsi="Arial"/>
          <w:sz w:val="18"/>
          <w:szCs w:val="18"/>
          <w:color w:val="auto"/>
        </w:rPr>
        <w:t>The Guarantor has read the Loan Agreement, each Master Agreement and the other Finance Documents and understands and approves all the terms and conditions of the Loan Agreement, the Master Agreements and the other Finance Documents.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15.10</w:t>
      </w:r>
      <w:r>
        <w:rPr>
          <w:sz w:val="20"/>
          <w:szCs w:val="20"/>
          <w:color w:val="auto"/>
        </w:rPr>
        <w:tab/>
      </w:r>
      <w:r>
        <w:rPr>
          <w:rFonts w:ascii="Arial" w:cs="Arial" w:eastAsia="Arial" w:hAnsi="Arial"/>
          <w:sz w:val="17"/>
          <w:szCs w:val="17"/>
          <w:b w:val="1"/>
          <w:bCs w:val="1"/>
          <w:color w:val="auto"/>
        </w:rPr>
        <w:t>Third party rights</w:t>
      </w:r>
    </w:p>
    <w:p>
      <w:pPr>
        <w:spacing w:after="0" w:line="121"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color w:val="auto"/>
        </w:rPr>
        <w:t>A person (other than a Creditor Party) who is not a party to this Guarantee has no right under the Contracts (Rights of Third Parties) Act 1999 to enforce or to enjoy the benefit of any term of this Guarantee.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ASSIGNMENT</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5"/>
          <w:szCs w:val="15"/>
          <w:b w:val="1"/>
          <w:bCs w:val="1"/>
          <w:color w:val="auto"/>
        </w:rPr>
        <w:t>Assignment by Security Trustee</w:t>
      </w:r>
    </w:p>
    <w:p>
      <w:pPr>
        <w:spacing w:after="0" w:line="121"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color w:val="auto"/>
        </w:rPr>
        <w:t>The Security Trustee may assign its rights under and in connection with this Guarantee with prior notice to the Guarantor to the same extent as it may assign its rights under the Loan Agreement.</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NOTICES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Notices to Guarantor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Any notice or demand to the Guarantor under or in connection with this Guarantee shall be given by letter or fax at: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 Iassonos Street</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185 37 Piraeus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Greece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0" w:right="319" w:bottom="1440" w:gutter="0" w:footer="0" w:header="0"/>
        </w:sectPr>
      </w:pPr>
    </w:p>
    <w:bookmarkStart w:id="325" w:name="page326"/>
    <w:bookmarkEnd w:id="325"/>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Fax No: +30 210 4285 679</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Attn: Capital Product Partners L.P./the Chief Financial Officer</w:t>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 to such other address which the Guarantor may notify to the Security Trustee.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Application of certain provisions of Loan Agreement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Clauses 28.3, 28.4 and 28.5 of the Loan Agreement apply to any notice or demand under or in connection with this Guarantee.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Validity of demands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demand under this Guarantee shall be valid notwithstanding that it is served:</w:t>
      </w:r>
    </w:p>
    <w:p>
      <w:pPr>
        <w:spacing w:after="0" w:line="131" w:lineRule="exact"/>
        <w:rPr>
          <w:sz w:val="20"/>
          <w:szCs w:val="20"/>
          <w:color w:val="auto"/>
        </w:rPr>
      </w:pPr>
    </w:p>
    <w:p>
      <w:pPr>
        <w:ind w:left="800" w:right="160" w:hanging="792"/>
        <w:spacing w:after="0" w:line="277" w:lineRule="auto"/>
        <w:tabs>
          <w:tab w:leader="none" w:pos="8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on the date on which the amount to which it relates is payable by the Relevant Borrowers under the Loan Agreement, the Master Agreements or any of the other Finance Documents; and</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at the same time as the service of a notice under clause 19.2 (actions following an event of default) of the Loan Agreement,</w:t>
      </w:r>
    </w:p>
    <w:p>
      <w:pPr>
        <w:spacing w:after="0" w:line="117" w:lineRule="exact"/>
        <w:rPr>
          <w:rFonts w:ascii="Arial" w:cs="Arial" w:eastAsia="Arial" w:hAnsi="Arial"/>
          <w:sz w:val="18"/>
          <w:szCs w:val="18"/>
          <w:color w:val="auto"/>
        </w:rPr>
      </w:pPr>
    </w:p>
    <w:p>
      <w:pPr>
        <w:ind w:left="800" w:right="320"/>
        <w:spacing w:after="0" w:line="277" w:lineRule="auto"/>
        <w:rPr>
          <w:rFonts w:ascii="Arial" w:cs="Arial" w:eastAsia="Arial" w:hAnsi="Arial"/>
          <w:sz w:val="18"/>
          <w:szCs w:val="18"/>
          <w:color w:val="auto"/>
        </w:rPr>
      </w:pPr>
      <w:r>
        <w:rPr>
          <w:rFonts w:ascii="Arial" w:cs="Arial" w:eastAsia="Arial" w:hAnsi="Arial"/>
          <w:sz w:val="18"/>
          <w:szCs w:val="18"/>
          <w:color w:val="auto"/>
        </w:rPr>
        <w:t>and a demand under this Guarantee may refer to all amounts payable under or in connection with any Finance Document without specifying a particular sum or aggregate sum.</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5"/>
          <w:szCs w:val="15"/>
          <w:b w:val="1"/>
          <w:bCs w:val="1"/>
          <w:color w:val="auto"/>
        </w:rPr>
        <w:t>Notices to Security Trustee</w:t>
      </w:r>
    </w:p>
    <w:p>
      <w:pPr>
        <w:spacing w:after="0" w:line="121"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Any notice to the Security Trustee under or in connection with this Guarantee shall be sent to the same address and in the same manner as notices to the Security Trustee under the Loan Agreement.</w:t>
      </w:r>
    </w:p>
    <w:p>
      <w:pPr>
        <w:spacing w:after="0" w:line="315" w:lineRule="exact"/>
        <w:rPr>
          <w:sz w:val="20"/>
          <w:szCs w:val="20"/>
          <w:color w:val="auto"/>
        </w:rPr>
      </w:pPr>
    </w:p>
    <w:p>
      <w:pPr>
        <w:ind w:left="800" w:hanging="792"/>
        <w:spacing w:after="0"/>
        <w:tabs>
          <w:tab w:leader="none" w:pos="800"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 OF LOAN AGREEMENT</w:t>
      </w:r>
    </w:p>
    <w:p>
      <w:pPr>
        <w:spacing w:after="0" w:line="130" w:lineRule="exact"/>
        <w:rPr>
          <w:rFonts w:ascii="Arial" w:cs="Arial" w:eastAsia="Arial" w:hAnsi="Arial"/>
          <w:sz w:val="18"/>
          <w:szCs w:val="18"/>
          <w:b w:val="1"/>
          <w:bCs w:val="1"/>
          <w:color w:val="auto"/>
        </w:rPr>
      </w:pPr>
    </w:p>
    <w:p>
      <w:pPr>
        <w:ind w:left="800" w:right="8260" w:hanging="799"/>
        <w:spacing w:after="0" w:line="38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18.1Invalidity of Loan Agreement </w:t>
      </w:r>
      <w:r>
        <w:rPr>
          <w:rFonts w:ascii="Arial" w:cs="Arial" w:eastAsia="Arial" w:hAnsi="Arial"/>
          <w:sz w:val="18"/>
          <w:szCs w:val="18"/>
          <w:color w:val="auto"/>
        </w:rPr>
        <w:t>In the event of:</w:t>
      </w:r>
    </w:p>
    <w:p>
      <w:pPr>
        <w:spacing w:after="0" w:line="2" w:lineRule="exact"/>
        <w:rPr>
          <w:sz w:val="20"/>
          <w:szCs w:val="20"/>
          <w:color w:val="auto"/>
        </w:rPr>
      </w:pPr>
    </w:p>
    <w:p>
      <w:pPr>
        <w:ind w:left="800" w:hanging="792"/>
        <w:spacing w:after="0" w:line="277" w:lineRule="auto"/>
        <w:tabs>
          <w:tab w:leader="none" w:pos="8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Loan Agreement now being or later becoming, with immediate or retrospective effect, void, illegal, unenforceable or otherwise invalid for any other reason whatsoever, whether of a similar kind or not; or</w:t>
      </w:r>
    </w:p>
    <w:p>
      <w:pPr>
        <w:spacing w:after="0" w:line="75" w:lineRule="exact"/>
        <w:rPr>
          <w:rFonts w:ascii="Arial" w:cs="Arial" w:eastAsia="Arial" w:hAnsi="Arial"/>
          <w:sz w:val="18"/>
          <w:szCs w:val="18"/>
          <w:color w:val="auto"/>
        </w:rPr>
      </w:pPr>
    </w:p>
    <w:p>
      <w:pPr>
        <w:ind w:left="800" w:right="100" w:hanging="792"/>
        <w:spacing w:after="0" w:line="264" w:lineRule="auto"/>
        <w:tabs>
          <w:tab w:leader="none" w:pos="8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without limiting the scope of paragraph (a), a bankruptcy of any Borrower, the introduction of any law or any other matter resulting in any Borrower being discharged from liability under the Loan Agreement, or the Loan Agreement ceasing to operate (for example, by interest ceasing to accrue),</w:t>
      </w:r>
    </w:p>
    <w:p>
      <w:pPr>
        <w:spacing w:after="0" w:line="73" w:lineRule="exact"/>
        <w:rPr>
          <w:rFonts w:ascii="Arial" w:cs="Arial" w:eastAsia="Arial" w:hAnsi="Arial"/>
          <w:sz w:val="18"/>
          <w:szCs w:val="18"/>
          <w:color w:val="auto"/>
        </w:rPr>
      </w:pPr>
    </w:p>
    <w:p>
      <w:pPr>
        <w:ind w:left="800" w:right="20"/>
        <w:spacing w:after="0" w:line="255" w:lineRule="auto"/>
        <w:rPr>
          <w:rFonts w:ascii="Arial" w:cs="Arial" w:eastAsia="Arial" w:hAnsi="Arial"/>
          <w:sz w:val="18"/>
          <w:szCs w:val="18"/>
          <w:color w:val="auto"/>
        </w:rPr>
      </w:pPr>
      <w:r>
        <w:rPr>
          <w:rFonts w:ascii="Arial" w:cs="Arial" w:eastAsia="Arial" w:hAnsi="Arial"/>
          <w:sz w:val="18"/>
          <w:szCs w:val="18"/>
          <w:color w:val="auto"/>
        </w:rPr>
        <w:t>this Guarantee shall cover any amount which would have been or become payable under or in connection with the Guaranteed Advances pursuant to the Loan Agreement if the Loan Agreement had been and remained entirely valid, legal and enforceable, or that Borrower had not suffered bankruptcy, or any combination of such events or circumstances, as the case may be, and that Borrower had remained fully liable under it for liabilities whether invalidly incurred or validly incurred but subsequently retrospectively invalidated; and references in this Guarantee to amounts payable by that Borrower under or in connection with the Loan Agreement shall include references to any amount which would have so been or become payable as aforesaid.</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326" w:name="page327"/>
    <w:bookmarkEnd w:id="326"/>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18.2</w:t>
      </w:r>
      <w:r>
        <w:rPr>
          <w:sz w:val="20"/>
          <w:szCs w:val="20"/>
          <w:color w:val="auto"/>
        </w:rPr>
        <w:tab/>
      </w:r>
      <w:r>
        <w:rPr>
          <w:rFonts w:ascii="Arial" w:cs="Arial" w:eastAsia="Arial" w:hAnsi="Arial"/>
          <w:sz w:val="16"/>
          <w:szCs w:val="16"/>
          <w:b w:val="1"/>
          <w:bCs w:val="1"/>
          <w:color w:val="auto"/>
        </w:rPr>
        <w:t>Invalidity of Finance Documents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Clause 18.1 also applies to each of the Finance Documents to which each Relevant Borrower is a party.</w:t>
      </w:r>
    </w:p>
    <w:p>
      <w:pPr>
        <w:spacing w:after="0" w:line="370" w:lineRule="exact"/>
        <w:rPr>
          <w:sz w:val="20"/>
          <w:szCs w:val="20"/>
          <w:color w:val="auto"/>
        </w:rPr>
      </w:pPr>
    </w:p>
    <w:p>
      <w:pPr>
        <w:ind w:left="800" w:hanging="792"/>
        <w:spacing w:after="0"/>
        <w:tabs>
          <w:tab w:leader="none" w:pos="800"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19.1</w:t>
      </w:r>
      <w:r>
        <w:rPr>
          <w:rFonts w:ascii="Arial" w:cs="Arial" w:eastAsia="Arial" w:hAnsi="Arial"/>
          <w:sz w:val="16"/>
          <w:szCs w:val="16"/>
          <w:b w:val="1"/>
          <w:bCs w:val="1"/>
          <w:color w:val="auto"/>
        </w:rPr>
        <w:t>English law</w:t>
      </w:r>
    </w:p>
    <w:p>
      <w:pPr>
        <w:spacing w:after="0" w:line="121" w:lineRule="exact"/>
        <w:rPr>
          <w:sz w:val="20"/>
          <w:szCs w:val="20"/>
          <w:color w:val="auto"/>
        </w:rPr>
      </w:pPr>
    </w:p>
    <w:p>
      <w:pPr>
        <w:ind w:left="800" w:right="80"/>
        <w:spacing w:after="0" w:line="277" w:lineRule="auto"/>
        <w:rPr>
          <w:sz w:val="20"/>
          <w:szCs w:val="20"/>
          <w:color w:val="auto"/>
        </w:rPr>
      </w:pPr>
      <w:r>
        <w:rPr>
          <w:rFonts w:ascii="Arial" w:cs="Arial" w:eastAsia="Arial" w:hAnsi="Arial"/>
          <w:sz w:val="18"/>
          <w:szCs w:val="18"/>
          <w:color w:val="auto"/>
        </w:rPr>
        <w:t>This Guarantee and any non-contractual obligations arising out of or in connection with it shall be governed by, and construed in accordance with, English law.</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Exclusive English jurisdiction</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Subject to Clause 19.3, the courts of England shall have exclusive jurisdiction to settle any Dispute.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Choice of forum for the exclusive benefit of the Security Trustee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Clause 19.2 is for the exclusive benefit of the Security Trustee, which reserves the rights:</w:t>
      </w:r>
    </w:p>
    <w:p>
      <w:pPr>
        <w:spacing w:after="0" w:line="131" w:lineRule="exact"/>
        <w:rPr>
          <w:sz w:val="20"/>
          <w:szCs w:val="20"/>
          <w:color w:val="auto"/>
        </w:rPr>
      </w:pPr>
    </w:p>
    <w:p>
      <w:pPr>
        <w:ind w:left="800" w:right="240" w:hanging="792"/>
        <w:spacing w:after="0" w:line="277" w:lineRule="auto"/>
        <w:tabs>
          <w:tab w:leader="none" w:pos="8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to commence proceedings in relation to any Dispute in the courts of any country other than England and which have or claim jurisdiction to that Dispute; and</w:t>
      </w:r>
    </w:p>
    <w:p>
      <w:pPr>
        <w:spacing w:after="0" w:line="75"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6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Guarantor shall not commence any proceedings in any country other than England in relation to a Dispute.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5"/>
          <w:szCs w:val="15"/>
          <w:b w:val="1"/>
          <w:bCs w:val="1"/>
          <w:color w:val="auto"/>
        </w:rPr>
        <w:t>Process agent</w:t>
      </w:r>
    </w:p>
    <w:p>
      <w:pPr>
        <w:spacing w:after="0" w:line="121" w:lineRule="exact"/>
        <w:rPr>
          <w:sz w:val="20"/>
          <w:szCs w:val="20"/>
          <w:color w:val="auto"/>
        </w:rPr>
      </w:pPr>
    </w:p>
    <w:p>
      <w:pPr>
        <w:ind w:left="800" w:right="20"/>
        <w:spacing w:after="0" w:line="264" w:lineRule="auto"/>
        <w:rPr>
          <w:sz w:val="20"/>
          <w:szCs w:val="20"/>
          <w:color w:val="auto"/>
        </w:rPr>
      </w:pPr>
      <w:r>
        <w:rPr>
          <w:rFonts w:ascii="Arial" w:cs="Arial" w:eastAsia="Arial" w:hAnsi="Arial"/>
          <w:sz w:val="18"/>
          <w:szCs w:val="18"/>
          <w:color w:val="auto"/>
        </w:rPr>
        <w:t>The Guarantor irrevocably appoints Curzon Maritime Ltd. at their office for the time being, presently at St. Clare House, 30-33 Minories, London EC3N 1DJ, England, to act as its agent to receive and accept on its behalf any process or other document relating to any proceedings in the English courts which are connected with a Dispute.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Creditor Parties’ rights unaffected</w:t>
      </w:r>
    </w:p>
    <w:p>
      <w:pPr>
        <w:spacing w:after="0" w:line="121" w:lineRule="exact"/>
        <w:rPr>
          <w:sz w:val="20"/>
          <w:szCs w:val="20"/>
          <w:color w:val="auto"/>
        </w:rPr>
      </w:pPr>
    </w:p>
    <w:p>
      <w:pPr>
        <w:ind w:left="800" w:right="500"/>
        <w:spacing w:after="0" w:line="264" w:lineRule="auto"/>
        <w:rPr>
          <w:sz w:val="20"/>
          <w:szCs w:val="20"/>
          <w:color w:val="auto"/>
        </w:rPr>
      </w:pPr>
      <w:r>
        <w:rPr>
          <w:rFonts w:ascii="Arial" w:cs="Arial" w:eastAsia="Arial" w:hAnsi="Arial"/>
          <w:sz w:val="18"/>
          <w:szCs w:val="18"/>
          <w:color w:val="auto"/>
        </w:rPr>
        <w:t>Nothing in this Clause 19 shall exclude or limit any right which any Creditor Party may have (whether under the law of any country, an international convention or otherwise) with regard to the bringing of proceedings, the service of process, the recognition or enforcement of a judgment or any similar or related matter in any jurisdiction.</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Meaning of “proceedings” and “Dispute”</w:t>
      </w:r>
    </w:p>
    <w:p>
      <w:pPr>
        <w:spacing w:after="0" w:line="117" w:lineRule="exact"/>
        <w:rPr>
          <w:sz w:val="20"/>
          <w:szCs w:val="20"/>
          <w:color w:val="auto"/>
        </w:rPr>
      </w:pPr>
    </w:p>
    <w:p>
      <w:pPr>
        <w:ind w:left="800" w:right="60"/>
        <w:spacing w:after="0" w:line="266" w:lineRule="auto"/>
        <w:rPr>
          <w:sz w:val="20"/>
          <w:szCs w:val="20"/>
          <w:color w:val="auto"/>
        </w:rPr>
      </w:pPr>
      <w:r>
        <w:rPr>
          <w:rFonts w:ascii="Arial" w:cs="Arial" w:eastAsia="Arial" w:hAnsi="Arial"/>
          <w:sz w:val="18"/>
          <w:szCs w:val="18"/>
          <w:color w:val="auto"/>
        </w:rPr>
        <w:t>In this Clause 19, “</w:t>
      </w:r>
      <w:r>
        <w:rPr>
          <w:rFonts w:ascii="Arial" w:cs="Arial" w:eastAsia="Arial" w:hAnsi="Arial"/>
          <w:sz w:val="18"/>
          <w:szCs w:val="18"/>
          <w:b w:val="1"/>
          <w:bCs w:val="1"/>
          <w:color w:val="auto"/>
        </w:rPr>
        <w:t>proceedings</w:t>
      </w:r>
      <w:r>
        <w:rPr>
          <w:rFonts w:ascii="Arial" w:cs="Arial" w:eastAsia="Arial" w:hAnsi="Arial"/>
          <w:sz w:val="18"/>
          <w:szCs w:val="18"/>
          <w:color w:val="auto"/>
        </w:rPr>
        <w:t>” means proceedings of any kind, including an application for a provisional or protective measure and a “</w:t>
      </w:r>
      <w:r>
        <w:rPr>
          <w:rFonts w:ascii="Arial" w:cs="Arial" w:eastAsia="Arial" w:hAnsi="Arial"/>
          <w:sz w:val="18"/>
          <w:szCs w:val="18"/>
          <w:b w:val="1"/>
          <w:bCs w:val="1"/>
          <w:color w:val="auto"/>
        </w:rPr>
        <w:t>Dispute</w:t>
      </w:r>
      <w:r>
        <w:rPr>
          <w:rFonts w:ascii="Arial" w:cs="Arial" w:eastAsia="Arial" w:hAnsi="Arial"/>
          <w:sz w:val="18"/>
          <w:szCs w:val="18"/>
          <w:color w:val="auto"/>
        </w:rPr>
        <w:t>” means any dispute arising out of or in connection with this Guarantee (including a dispute relating to the existence, validity or termination of this Guarantee) or any non-contractual obligation arising out of or in connection with this Guarantee.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GUARANTEE </w:t>
      </w:r>
      <w:r>
        <w:rPr>
          <w:rFonts w:ascii="Arial" w:cs="Arial" w:eastAsia="Arial" w:hAnsi="Arial"/>
          <w:sz w:val="18"/>
          <w:szCs w:val="18"/>
          <w:color w:val="auto"/>
        </w:rPr>
        <w:t>has been entered into on the date stated at the beginning of this Guarantee.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Crédit Agricole Corporate and Investment Bank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place des Etats-Unis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CS 70052,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refer to:</w:t>
      </w:r>
    </w:p>
    <w:p>
      <w:pPr>
        <w:spacing w:after="0" w:line="131" w:lineRule="exact"/>
        <w:rPr>
          <w:sz w:val="20"/>
          <w:szCs w:val="20"/>
          <w:color w:val="auto"/>
        </w:rPr>
      </w:pPr>
    </w:p>
    <w:p>
      <w:pPr>
        <w:ind w:left="460" w:right="120" w:hanging="452"/>
        <w:spacing w:after="0" w:line="276" w:lineRule="auto"/>
        <w:tabs>
          <w:tab w:leader="none" w:pos="46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a loan agreement dated [●] 20172018 and made between (i) Asterias Crude Carrier S.A. and Scorpio Crude Carrier S.A. as joint and several borrowers (together, the “</w:t>
      </w:r>
      <w:r>
        <w:rPr>
          <w:rFonts w:ascii="Arial" w:cs="Arial" w:eastAsia="Arial" w:hAnsi="Arial"/>
          <w:sz w:val="17"/>
          <w:szCs w:val="17"/>
          <w:b w:val="1"/>
          <w:bCs w:val="1"/>
          <w:color w:val="auto"/>
        </w:rPr>
        <w:t>Borrowers</w:t>
      </w:r>
      <w:r>
        <w:rPr>
          <w:rFonts w:ascii="Arial" w:cs="Arial" w:eastAsia="Arial" w:hAnsi="Arial"/>
          <w:sz w:val="17"/>
          <w:szCs w:val="17"/>
          <w:color w:val="auto"/>
        </w:rPr>
        <w:t>” and each a “</w:t>
      </w:r>
      <w:r>
        <w:rPr>
          <w:rFonts w:ascii="Arial" w:cs="Arial" w:eastAsia="Arial" w:hAnsi="Arial"/>
          <w:sz w:val="17"/>
          <w:szCs w:val="17"/>
          <w:b w:val="1"/>
          <w:bCs w:val="1"/>
          <w:color w:val="auto"/>
        </w:rPr>
        <w:t>Borrower</w:t>
      </w:r>
      <w:r>
        <w:rPr>
          <w:rFonts w:ascii="Arial" w:cs="Arial" w:eastAsia="Arial" w:hAnsi="Arial"/>
          <w:sz w:val="17"/>
          <w:szCs w:val="17"/>
          <w:color w:val="auto"/>
        </w:rPr>
        <w:t>”), (ii) the banks and financial institutions listed therein as lenders (together, the “</w:t>
      </w:r>
      <w:r>
        <w:rPr>
          <w:rFonts w:ascii="Arial" w:cs="Arial" w:eastAsia="Arial" w:hAnsi="Arial"/>
          <w:sz w:val="17"/>
          <w:szCs w:val="17"/>
          <w:b w:val="1"/>
          <w:bCs w:val="1"/>
          <w:color w:val="auto"/>
        </w:rPr>
        <w:t>Lenders</w:t>
      </w:r>
      <w:r>
        <w:rPr>
          <w:rFonts w:ascii="Arial" w:cs="Arial" w:eastAsia="Arial" w:hAnsi="Arial"/>
          <w:sz w:val="17"/>
          <w:szCs w:val="17"/>
          <w:color w:val="auto"/>
        </w:rPr>
        <w:t>”), (iii) Crédit Agricole Corporate and Investment Bank (“</w:t>
      </w:r>
      <w:r>
        <w:rPr>
          <w:rFonts w:ascii="Arial" w:cs="Arial" w:eastAsia="Arial" w:hAnsi="Arial"/>
          <w:sz w:val="17"/>
          <w:szCs w:val="17"/>
          <w:b w:val="1"/>
          <w:bCs w:val="1"/>
          <w:color w:val="auto"/>
        </w:rPr>
        <w:t>CACIB</w:t>
      </w:r>
      <w:r>
        <w:rPr>
          <w:rFonts w:ascii="Arial" w:cs="Arial" w:eastAsia="Arial" w:hAnsi="Arial"/>
          <w:sz w:val="17"/>
          <w:szCs w:val="17"/>
          <w:color w:val="auto"/>
        </w:rPr>
        <w:t>”) as facility agent and account bank, (iv) ING Bank N.V. as swap bank, (v) yourselves as Security Trustee and (vi) CACIB and ING Bank N.V. as mandated lead arrangers and bookrunners, it was agreed that the Lenders would make available to the Borrowers a secured pre and post-delivery term loan facility of up to US$70,200,000; and</w:t>
      </w:r>
    </w:p>
    <w:p>
      <w:pPr>
        <w:spacing w:after="0" w:line="73" w:lineRule="exact"/>
        <w:rPr>
          <w:rFonts w:ascii="Arial" w:cs="Arial" w:eastAsia="Arial" w:hAnsi="Arial"/>
          <w:sz w:val="17"/>
          <w:szCs w:val="17"/>
          <w:color w:val="auto"/>
        </w:rPr>
      </w:pPr>
    </w:p>
    <w:p>
      <w:pPr>
        <w:ind w:left="460" w:hanging="452"/>
        <w:spacing w:after="0"/>
        <w:tabs>
          <w:tab w:leader="none" w:pos="4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 guarantee dated [●] 2017 (the “</w:t>
      </w:r>
      <w:r>
        <w:rPr>
          <w:rFonts w:ascii="Arial" w:cs="Arial" w:eastAsia="Arial" w:hAnsi="Arial"/>
          <w:sz w:val="18"/>
          <w:szCs w:val="18"/>
          <w:b w:val="1"/>
          <w:bCs w:val="1"/>
          <w:color w:val="auto"/>
        </w:rPr>
        <w:t>Guarantee</w:t>
      </w:r>
      <w:r>
        <w:rPr>
          <w:rFonts w:ascii="Arial" w:cs="Arial" w:eastAsia="Arial" w:hAnsi="Arial"/>
          <w:sz w:val="18"/>
          <w:szCs w:val="18"/>
          <w:color w:val="auto"/>
        </w:rPr>
        <w:t>”) made between (1) ourselves as guarantor and (2) yourselves as security trustee.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Words and expressions defined in the Loan Agreement and the Guarantee shall have the same meaning when used in this compliance certificate.</w:t>
      </w:r>
    </w:p>
    <w:p>
      <w:pPr>
        <w:spacing w:after="0" w:line="23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enclose with this certificate a copy of the [unaudited consolidated accounts for the Group for the 6-month period ended [●]]/[the audited consolidated annual accounts of the Group for the year ended [●]]. The accounts (i) have been prepared in accordance with all applicable laws and US GAAP consistently applied, (ii) give a true and fair view of the state of affairs of the Relevant Borrowers (as such term is defined in the Guarantee), ourselves and the Group at the date of the accounts and of its profit for the period to which the accounts relate and (iii) fully disclose or provide for all significant liabilities of the Relevant Borrowers, ourselves and the Group.</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Guarantor represents that no Event of Default or Potential Event of Default has occurred or is continuing as at the date of this certificate [except for the following matter or event [</w:t>
      </w:r>
      <w:r>
        <w:rPr>
          <w:rFonts w:ascii="Arial" w:cs="Arial" w:eastAsia="Arial" w:hAnsi="Arial"/>
          <w:sz w:val="17"/>
          <w:szCs w:val="17"/>
          <w:i w:val="1"/>
          <w:iCs w:val="1"/>
          <w:color w:val="auto"/>
        </w:rPr>
        <w:t>set out all material details of matter or event</w:t>
      </w:r>
      <w:r>
        <w:rPr>
          <w:rFonts w:ascii="Arial" w:cs="Arial" w:eastAsia="Arial" w:hAnsi="Arial"/>
          <w:sz w:val="17"/>
          <w:szCs w:val="17"/>
          <w:color w:val="auto"/>
        </w:rPr>
        <w:t>]]. In addition as of [●], the Guarantor confirms compliance with the financial covenants set out in clause 12.3 of the Guarantee for the 6 months ending as at the date to which the enclosed accounts are prepared.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now certify that, as at [●]:</w:t>
      </w:r>
    </w:p>
    <w:p>
      <w:pPr>
        <w:spacing w:after="0" w:line="131" w:lineRule="exact"/>
        <w:rPr>
          <w:sz w:val="20"/>
          <w:szCs w:val="20"/>
          <w:color w:val="auto"/>
        </w:rPr>
      </w:pPr>
    </w:p>
    <w:p>
      <w:pPr>
        <w:ind w:left="460" w:hanging="452"/>
        <w:spacing w:after="0"/>
        <w:tabs>
          <w:tab w:leader="none" w:pos="4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Leverage Ratio is [●] per cent.;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ratio of EBITDA to Net Interest Expense is [●]:1; and</w:t>
      </w:r>
    </w:p>
    <w:p>
      <w:pPr>
        <w:spacing w:after="0" w:line="130" w:lineRule="exact"/>
        <w:rPr>
          <w:rFonts w:ascii="Arial" w:cs="Arial" w:eastAsia="Arial" w:hAnsi="Arial"/>
          <w:sz w:val="18"/>
          <w:szCs w:val="18"/>
          <w:color w:val="auto"/>
        </w:rPr>
      </w:pPr>
    </w:p>
    <w:p>
      <w:pPr>
        <w:ind w:left="5620" w:right="4000" w:hanging="5612"/>
        <w:spacing w:after="0" w:line="449" w:lineRule="auto"/>
        <w:tabs>
          <w:tab w:leader="none" w:pos="45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Liquid Assets of the Group are [●] and therefore not less than $500,000 per Fleet Vessel; and 20</w:t>
      </w:r>
    </w:p>
    <w:p>
      <w:pPr>
        <w:sectPr>
          <w:pgSz w:w="11900" w:h="16838" w:orient="portrait"/>
          <w:cols w:equalWidth="0" w:num="1">
            <w:col w:w="11420"/>
          </w:cols>
          <w:pgMar w:left="240" w:top="269" w:right="239" w:bottom="1440" w:gutter="0" w:footer="0" w:header="0"/>
        </w:sectPr>
      </w:pPr>
    </w:p>
    <w:bookmarkStart w:id="328" w:name="page329"/>
    <w:bookmarkEnd w:id="3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Certificate shall be governed by, and construed in accordance with,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273" w:right="1440" w:bottom="1440" w:gutter="0" w:footer="0" w:header="0"/>
        </w:sectPr>
      </w:pPr>
    </w:p>
    <w:bookmarkStart w:id="329" w:name="page330"/>
    <w:bookmarkEnd w:id="329"/>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PAGE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rPr>
              <w:t>GUARANTOR</w:t>
            </w:r>
          </w:p>
        </w:tc>
        <w:tc>
          <w:tcPr>
            <w:tcW w:w="160" w:type="dxa"/>
            <w:vAlign w:val="bottom"/>
          </w:tcPr>
          <w:p>
            <w:pPr>
              <w:spacing w:after="0"/>
              <w:rPr>
                <w:sz w:val="20"/>
                <w:szCs w:val="20"/>
                <w:color w:val="auto"/>
              </w:rPr>
            </w:pPr>
          </w:p>
        </w:tc>
      </w:tr>
      <w:tr>
        <w:trPr>
          <w:trHeight w:val="419"/>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w w:val="91"/>
              </w:rPr>
              <w:t xml:space="preserve">SIGNED </w:t>
            </w:r>
            <w:r>
              <w:rPr>
                <w:rFonts w:ascii="Arial" w:cs="Arial" w:eastAsia="Arial" w:hAnsi="Arial"/>
                <w:sz w:val="18"/>
                <w:szCs w:val="18"/>
                <w:color w:val="auto"/>
                <w:w w:val="91"/>
              </w:rPr>
              <w:t>by /s/ Vanessa Christina Dritsa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2940" w:type="dxa"/>
            <w:vAlign w:val="bottom"/>
            <w:gridSpan w:val="4"/>
          </w:tcPr>
          <w:p>
            <w:pPr>
              <w:spacing w:after="0"/>
              <w:rPr>
                <w:sz w:val="20"/>
                <w:szCs w:val="20"/>
                <w:color w:val="auto"/>
              </w:rPr>
            </w:pPr>
            <w:r>
              <w:rPr>
                <w:rFonts w:ascii="Arial" w:cs="Arial" w:eastAsia="Arial" w:hAnsi="Arial"/>
                <w:sz w:val="18"/>
                <w:szCs w:val="18"/>
                <w:color w:val="auto"/>
              </w:rPr>
              <w:t>for and on behalf of</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rPr>
              <w:t>CAPITAL PRODUCT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rPr>
              <w:t>PARTNERS L.P.</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color w:val="auto"/>
              </w:rPr>
              <w:t>in the presence of:</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2940" w:type="dxa"/>
            <w:vAlign w:val="bottom"/>
            <w:gridSpan w:val="4"/>
          </w:tcPr>
          <w:p>
            <w:pPr>
              <w:spacing w:after="0" w:line="190" w:lineRule="exact"/>
              <w:rPr>
                <w:sz w:val="20"/>
                <w:szCs w:val="20"/>
                <w:color w:val="auto"/>
              </w:rPr>
            </w:pPr>
            <w:r>
              <w:rPr>
                <w:rFonts w:ascii="Arial" w:cs="Arial" w:eastAsia="Arial" w:hAnsi="Arial"/>
                <w:sz w:val="18"/>
                <w:szCs w:val="18"/>
                <w:color w:val="auto"/>
                <w:w w:val="98"/>
              </w:rPr>
              <w:t>/s/ Daphne Elektra A. Stamatopoulos</w:t>
            </w:r>
          </w:p>
        </w:tc>
        <w:tc>
          <w:tcPr>
            <w:tcW w:w="160" w:type="dxa"/>
            <w:vAlign w:val="bottom"/>
          </w:tcPr>
          <w:p>
            <w:pPr>
              <w:spacing w:after="0"/>
              <w:rPr>
                <w:sz w:val="16"/>
                <w:szCs w:val="16"/>
                <w:color w:val="auto"/>
              </w:rPr>
            </w:pPr>
          </w:p>
        </w:tc>
      </w:tr>
      <w:tr>
        <w:trPr>
          <w:trHeight w:val="601"/>
        </w:trPr>
        <w:tc>
          <w:tcPr>
            <w:tcW w:w="26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SECURITY TRUSTEE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Anthi Kekatou )</w:t>
            </w:r>
          </w:p>
        </w:tc>
        <w:tc>
          <w:tcPr>
            <w:tcW w:w="16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2940" w:type="dxa"/>
            <w:vAlign w:val="bottom"/>
            <w:gridSpan w:val="4"/>
          </w:tcPr>
          <w:p>
            <w:pPr>
              <w:spacing w:after="0"/>
              <w:rPr>
                <w:sz w:val="20"/>
                <w:szCs w:val="20"/>
                <w:color w:val="auto"/>
              </w:rPr>
            </w:pPr>
            <w:r>
              <w:rPr>
                <w:rFonts w:ascii="Arial" w:cs="Arial" w:eastAsia="Arial" w:hAnsi="Arial"/>
                <w:sz w:val="18"/>
                <w:szCs w:val="18"/>
                <w:color w:val="auto"/>
              </w:rPr>
              <w:t>for and on behalf of</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rPr>
              <w:t>CRÉDIT AGRICOLE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18"/>
                <w:szCs w:val="18"/>
                <w:color w:val="auto"/>
              </w:rPr>
            </w:pPr>
          </w:p>
        </w:tc>
      </w:tr>
      <w:tr>
        <w:trPr>
          <w:trHeight w:val="220"/>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rPr>
              <w:t>AND INVESTMENT BANK</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color w:val="auto"/>
              </w:rPr>
              <w:t>in the presence of:</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2940" w:type="dxa"/>
            <w:vAlign w:val="bottom"/>
            <w:gridSpan w:val="4"/>
          </w:tcPr>
          <w:p>
            <w:pPr>
              <w:spacing w:after="0" w:line="190" w:lineRule="exact"/>
              <w:rPr>
                <w:sz w:val="20"/>
                <w:szCs w:val="20"/>
                <w:color w:val="auto"/>
              </w:rPr>
            </w:pPr>
            <w:r>
              <w:rPr>
                <w:rFonts w:ascii="Arial" w:cs="Arial" w:eastAsia="Arial" w:hAnsi="Arial"/>
                <w:sz w:val="18"/>
                <w:szCs w:val="18"/>
                <w:color w:val="auto"/>
                <w:w w:val="98"/>
              </w:rPr>
              <w:t>/s/ Daphne Elektra A. Stamatopoulos</w:t>
            </w:r>
          </w:p>
        </w:tc>
        <w:tc>
          <w:tcPr>
            <w:tcW w:w="160" w:type="dxa"/>
            <w:vAlign w:val="bottom"/>
          </w:tcPr>
          <w:p>
            <w:pPr>
              <w:spacing w:after="0"/>
              <w:rPr>
                <w:sz w:val="16"/>
                <w:szCs w:val="16"/>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270" w:right="1440"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4.28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This Amended and Restated Management Agreement dated as of the 25th day of March 2017, is entered into by and between CAPITAL PRODUCT PARTNERS L.P., a limited partnership duly organized and existing under the laws of the Marshall Islands with its registered office at 3 Iassonos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right="180" w:hanging="567"/>
        <w:spacing w:after="0" w:line="277" w:lineRule="auto"/>
        <w:tabs>
          <w:tab w:leader="none" w:pos="148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CLP wishes to engage CSM to provide such commercial and technical management services to CLP on the terms set out herein.</w:t>
      </w:r>
    </w:p>
    <w:p>
      <w:pPr>
        <w:spacing w:after="0" w:line="23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NOW THEREFORE, the parties agree that, in consideration of the fees set forth in Schedule “B” to this Agreement (the “</w:t>
      </w:r>
      <w:r>
        <w:rPr>
          <w:rFonts w:ascii="Arial" w:cs="Arial" w:eastAsia="Arial" w:hAnsi="Arial"/>
          <w:sz w:val="18"/>
          <w:szCs w:val="18"/>
          <w:u w:val="single" w:color="auto"/>
          <w:color w:val="auto"/>
        </w:rPr>
        <w:t>Fees</w:t>
      </w:r>
      <w:r>
        <w:rPr>
          <w:rFonts w:ascii="Arial" w:cs="Arial" w:eastAsia="Arial" w:hAnsi="Arial"/>
          <w:sz w:val="18"/>
          <w:szCs w:val="18"/>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 of Capital GP L.L.C.</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Nikolaos Syntiychakis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 &amp; Legal Representative</w:t>
      </w:r>
    </w:p>
    <w:p>
      <w:pPr>
        <w:sectPr>
          <w:pgSz w:w="11900" w:h="16838" w:orient="portrait"/>
          <w:cols w:equalWidth="0" w:num="1">
            <w:col w:w="11420"/>
          </w:cols>
          <w:pgMar w:left="240" w:top="121" w:right="239" w:bottom="1440" w:gutter="0" w:footer="0" w:header="0"/>
        </w:sectPr>
      </w:pPr>
    </w:p>
    <w:bookmarkStart w:id="331" w:name="page332"/>
    <w:bookmarkEnd w:id="3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AND CONDITIONS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the term:</w:t>
      </w:r>
    </w:p>
    <w:p>
      <w:pPr>
        <w:spacing w:after="0" w:line="225"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Vessels</w:t>
      </w:r>
      <w:r>
        <w:rPr>
          <w:rFonts w:ascii="Arial" w:cs="Arial" w:eastAsia="Arial" w:hAnsi="Arial"/>
          <w:sz w:val="18"/>
          <w:szCs w:val="18"/>
          <w:color w:val="auto"/>
        </w:rPr>
        <w:t>”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“group”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CSM shall:</w:t>
      </w:r>
    </w:p>
    <w:p>
      <w:pPr>
        <w:spacing w:after="0" w:line="117" w:lineRule="exact"/>
        <w:rPr>
          <w:sz w:val="20"/>
          <w:szCs w:val="20"/>
          <w:color w:val="auto"/>
        </w:rPr>
      </w:pPr>
    </w:p>
    <w:p>
      <w:pPr>
        <w:ind w:firstLine="921"/>
        <w:spacing w:after="0" w:line="277" w:lineRule="auto"/>
        <w:tabs>
          <w:tab w:leader="none" w:pos="1128" w:val="left"/>
        </w:tabs>
        <w:numPr>
          <w:ilvl w:val="0"/>
          <w:numId w:val="555"/>
        </w:numPr>
        <w:rPr>
          <w:rFonts w:ascii="Arial" w:cs="Arial" w:eastAsia="Arial" w:hAnsi="Arial"/>
          <w:sz w:val="18"/>
          <w:szCs w:val="18"/>
          <w:color w:val="auto"/>
        </w:rPr>
      </w:pPr>
      <w:r>
        <w:rPr>
          <w:rFonts w:ascii="Arial" w:cs="Arial" w:eastAsia="Arial" w:hAnsi="Arial"/>
          <w:sz w:val="18"/>
          <w:szCs w:val="18"/>
          <w:color w:val="auto"/>
        </w:rPr>
        <w:t>diligently provide or subcontract for the provision of (in accordance with Section 18 hereof) the Services to CLP as an independent contractor, and be responsible to CLP for the due and proper performance of same;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555"/>
        </w:numPr>
        <w:rPr>
          <w:rFonts w:ascii="Arial" w:cs="Arial" w:eastAsia="Arial" w:hAnsi="Arial"/>
          <w:sz w:val="16"/>
          <w:szCs w:val="16"/>
          <w:color w:val="auto"/>
        </w:rPr>
      </w:pPr>
      <w:r>
        <w:rPr>
          <w:rFonts w:ascii="Arial" w:cs="Arial" w:eastAsia="Arial" w:hAnsi="Arial"/>
          <w:sz w:val="16"/>
          <w:szCs w:val="16"/>
          <w:color w:val="auto"/>
        </w:rPr>
        <w:t>keep full and proper books, records and accounts showing clearly all transactions relating to its provision of Services in accordance with</w:t>
      </w:r>
    </w:p>
    <w:p>
      <w:pPr>
        <w:sectPr>
          <w:pgSz w:w="11900" w:h="16838" w:orient="portrait"/>
          <w:cols w:equalWidth="0" w:num="1">
            <w:col w:w="11400"/>
          </w:cols>
          <w:pgMar w:left="240" w:top="270" w:right="259" w:bottom="1440" w:gutter="0" w:footer="0" w:header="0"/>
        </w:sectPr>
      </w:pPr>
    </w:p>
    <w:bookmarkStart w:id="332" w:name="page333"/>
    <w:bookmarkEnd w:id="332"/>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established general commercial practices and in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accordance with United States generally accepted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accounting principles.</w:t>
      </w:r>
    </w:p>
    <w:p>
      <w:pPr>
        <w:spacing w:after="0" w:line="21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21"/>
        <w:spacing w:after="0" w:line="264" w:lineRule="auto"/>
        <w:tabs>
          <w:tab w:leader="none" w:pos="112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73" w:lineRule="exact"/>
        <w:rPr>
          <w:rFonts w:ascii="Arial" w:cs="Arial" w:eastAsia="Arial" w:hAnsi="Arial"/>
          <w:sz w:val="18"/>
          <w:szCs w:val="18"/>
          <w:color w:val="auto"/>
        </w:rPr>
      </w:pPr>
    </w:p>
    <w:p>
      <w:pPr>
        <w:ind w:right="20" w:firstLine="921"/>
        <w:spacing w:after="0" w:line="297" w:lineRule="auto"/>
        <w:tabs>
          <w:tab w:leader="none" w:pos="1178" w:val="left"/>
        </w:tabs>
        <w:numPr>
          <w:ilvl w:val="0"/>
          <w:numId w:val="556"/>
        </w:numPr>
        <w:rPr>
          <w:rFonts w:ascii="Arial" w:cs="Arial" w:eastAsia="Arial" w:hAnsi="Arial"/>
          <w:sz w:val="16"/>
          <w:szCs w:val="16"/>
          <w:color w:val="auto"/>
        </w:rPr>
      </w:pPr>
      <w:r>
        <w:rPr>
          <w:rFonts w:ascii="Arial" w:cs="Arial" w:eastAsia="Arial" w:hAnsi="Arial"/>
          <w:sz w:val="16"/>
          <w:szCs w:val="16"/>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58"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r>
        <w:rPr>
          <w:rFonts w:ascii="Arial" w:cs="Arial" w:eastAsia="Arial" w:hAnsi="Arial"/>
          <w:sz w:val="18"/>
          <w:szCs w:val="18"/>
          <w:color w:val="auto"/>
        </w:rPr>
        <w:t>.</w:t>
      </w:r>
    </w:p>
    <w:p>
      <w:pPr>
        <w:spacing w:after="0" w:line="117" w:lineRule="exact"/>
        <w:rPr>
          <w:sz w:val="20"/>
          <w:szCs w:val="20"/>
          <w:color w:val="auto"/>
        </w:rPr>
      </w:pPr>
    </w:p>
    <w:p>
      <w:pPr>
        <w:ind w:right="640" w:firstLine="921"/>
        <w:spacing w:after="0" w:line="277" w:lineRule="auto"/>
        <w:tabs>
          <w:tab w:leader="none" w:pos="1128" w:val="left"/>
        </w:tabs>
        <w:numPr>
          <w:ilvl w:val="0"/>
          <w:numId w:val="557"/>
        </w:numPr>
        <w:rPr>
          <w:rFonts w:ascii="Arial" w:cs="Arial" w:eastAsia="Arial" w:hAnsi="Arial"/>
          <w:sz w:val="18"/>
          <w:szCs w:val="18"/>
          <w:color w:val="auto"/>
        </w:rPr>
      </w:pPr>
      <w:r>
        <w:rPr>
          <w:rFonts w:ascii="Arial" w:cs="Arial" w:eastAsia="Arial" w:hAnsi="Arial"/>
          <w:sz w:val="18"/>
          <w:szCs w:val="18"/>
          <w:color w:val="auto"/>
        </w:rPr>
        <w:t>Neither CLP nor CSM shall be under any liability for any failure to perform any of their obligations hereunder by reason of any cause whatsoever of any nature or kind beyond their reasonable control.</w:t>
      </w:r>
    </w:p>
    <w:p>
      <w:pPr>
        <w:spacing w:after="0" w:line="62" w:lineRule="exact"/>
        <w:rPr>
          <w:rFonts w:ascii="Arial" w:cs="Arial" w:eastAsia="Arial" w:hAnsi="Arial"/>
          <w:sz w:val="18"/>
          <w:szCs w:val="18"/>
          <w:color w:val="auto"/>
        </w:rPr>
      </w:pPr>
    </w:p>
    <w:p>
      <w:pPr>
        <w:ind w:firstLine="921"/>
        <w:spacing w:after="0" w:line="255" w:lineRule="auto"/>
        <w:tabs>
          <w:tab w:leader="none" w:pos="1178" w:val="left"/>
        </w:tabs>
        <w:numPr>
          <w:ilvl w:val="0"/>
          <w:numId w:val="557"/>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 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ofUS$3,000,000.</w:t>
      </w:r>
    </w:p>
    <w:p>
      <w:pPr>
        <w:sectPr>
          <w:pgSz w:w="11900" w:h="16838" w:orient="portrait"/>
          <w:cols w:equalWidth="0" w:num="1">
            <w:col w:w="11420"/>
          </w:cols>
          <w:pgMar w:left="240" w:top="273" w:right="239" w:bottom="1440" w:gutter="0" w:footer="0" w:header="0"/>
        </w:sectPr>
      </w:pPr>
    </w:p>
    <w:bookmarkStart w:id="333" w:name="page334"/>
    <w:bookmarkEnd w:id="333"/>
    <w:p>
      <w:pPr>
        <w:ind w:right="40" w:firstLine="921"/>
        <w:spacing w:after="0" w:line="277" w:lineRule="auto"/>
        <w:tabs>
          <w:tab w:leader="none" w:pos="1228" w:val="left"/>
        </w:tabs>
        <w:numPr>
          <w:ilvl w:val="0"/>
          <w:numId w:val="5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that may appear to the contrary in this Agreement, CSM shall not be responsible for any of the actions of the crew of the Vessels even if such actions are negligent, grossly negligent or willful.</w:t>
      </w:r>
    </w:p>
    <w:p>
      <w:pPr>
        <w:spacing w:after="0" w:line="62" w:lineRule="exact"/>
        <w:rPr>
          <w:rFonts w:ascii="Arial" w:cs="Arial" w:eastAsia="Arial" w:hAnsi="Arial"/>
          <w:sz w:val="18"/>
          <w:szCs w:val="18"/>
          <w:color w:val="auto"/>
        </w:rPr>
      </w:pPr>
    </w:p>
    <w:p>
      <w:pPr>
        <w:ind w:right="40" w:firstLine="921"/>
        <w:spacing w:after="0" w:line="272" w:lineRule="auto"/>
        <w:tabs>
          <w:tab w:leader="none" w:pos="1218" w:val="left"/>
        </w:tabs>
        <w:numPr>
          <w:ilvl w:val="0"/>
          <w:numId w:val="558"/>
        </w:numPr>
        <w:rPr>
          <w:rFonts w:ascii="Arial" w:cs="Arial" w:eastAsia="Arial" w:hAnsi="Arial"/>
          <w:sz w:val="17"/>
          <w:szCs w:val="17"/>
          <w:color w:val="auto"/>
        </w:rPr>
      </w:pPr>
      <w:r>
        <w:rPr>
          <w:rFonts w:ascii="Arial" w:cs="Arial" w:eastAsia="Arial" w:hAnsi="Arial"/>
          <w:sz w:val="17"/>
          <w:szCs w:val="17"/>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 Environmental Laws”),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69" w:lineRule="exact"/>
        <w:rPr>
          <w:rFonts w:ascii="Arial" w:cs="Arial" w:eastAsia="Arial" w:hAnsi="Arial"/>
          <w:sz w:val="17"/>
          <w:szCs w:val="17"/>
          <w:color w:val="auto"/>
        </w:rPr>
      </w:pPr>
    </w:p>
    <w:p>
      <w:pPr>
        <w:ind w:firstLine="921"/>
        <w:spacing w:after="0" w:line="257" w:lineRule="auto"/>
        <w:tabs>
          <w:tab w:leader="none" w:pos="116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80" w:lineRule="exact"/>
        <w:rPr>
          <w:rFonts w:ascii="Arial" w:cs="Arial" w:eastAsia="Arial" w:hAnsi="Arial"/>
          <w:sz w:val="18"/>
          <w:szCs w:val="18"/>
          <w:color w:val="auto"/>
        </w:rPr>
      </w:pPr>
    </w:p>
    <w:p>
      <w:pPr>
        <w:ind w:right="140" w:firstLine="921"/>
        <w:spacing w:after="0" w:line="259" w:lineRule="auto"/>
        <w:tabs>
          <w:tab w:leader="none" w:pos="121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pacing w:after="0" w:line="78" w:lineRule="exact"/>
        <w:rPr>
          <w:rFonts w:ascii="Arial" w:cs="Arial" w:eastAsia="Arial" w:hAnsi="Arial"/>
          <w:sz w:val="18"/>
          <w:szCs w:val="18"/>
          <w:color w:val="auto"/>
        </w:rPr>
      </w:pPr>
    </w:p>
    <w:p>
      <w:pPr>
        <w:ind w:right="40" w:firstLine="921"/>
        <w:spacing w:after="0" w:line="264" w:lineRule="auto"/>
        <w:tabs>
          <w:tab w:leader="none" w:pos="126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73" w:lineRule="exact"/>
        <w:rPr>
          <w:rFonts w:ascii="Arial" w:cs="Arial" w:eastAsia="Arial" w:hAnsi="Arial"/>
          <w:sz w:val="18"/>
          <w:szCs w:val="18"/>
          <w:color w:val="auto"/>
        </w:rPr>
      </w:pPr>
    </w:p>
    <w:p>
      <w:pPr>
        <w:ind w:right="80" w:firstLine="921"/>
        <w:spacing w:after="0" w:line="264" w:lineRule="auto"/>
        <w:tabs>
          <w:tab w:leader="none" w:pos="131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71" w:lineRule="exact"/>
        <w:rPr>
          <w:sz w:val="20"/>
          <w:szCs w:val="20"/>
          <w:color w:val="auto"/>
        </w:rPr>
      </w:pPr>
    </w:p>
    <w:p>
      <w:pPr>
        <w:ind w:left="2400" w:hanging="569"/>
        <w:spacing w:after="0"/>
        <w:tabs>
          <w:tab w:leader="none" w:pos="2400" w:val="left"/>
        </w:tabs>
        <w:numPr>
          <w:ilvl w:val="0"/>
          <w:numId w:val="559"/>
        </w:numPr>
        <w:rPr>
          <w:rFonts w:ascii="Arial" w:cs="Arial" w:eastAsia="Arial" w:hAnsi="Arial"/>
          <w:sz w:val="16"/>
          <w:szCs w:val="16"/>
          <w:color w:val="auto"/>
        </w:rPr>
      </w:pPr>
      <w:r>
        <w:rPr>
          <w:rFonts w:ascii="Arial" w:cs="Arial" w:eastAsia="Arial" w:hAnsi="Arial"/>
          <w:sz w:val="16"/>
          <w:szCs w:val="16"/>
          <w:color w:val="auto"/>
        </w:rPr>
        <w:t>in the case of CLP, there is a Change of Control of CSM and in the case of CSM, if there is a Change of Control of CGP;</w:t>
      </w:r>
    </w:p>
    <w:p>
      <w:pPr>
        <w:sectPr>
          <w:pgSz w:w="11900" w:h="16838" w:orient="portrait"/>
          <w:cols w:equalWidth="0" w:num="1">
            <w:col w:w="11420"/>
          </w:cols>
          <w:pgMar w:left="240" w:top="273" w:right="239" w:bottom="1440" w:gutter="0" w:footer="0" w:header="0"/>
        </w:sectPr>
      </w:pPr>
    </w:p>
    <w:bookmarkStart w:id="334" w:name="page335"/>
    <w:bookmarkEnd w:id="334"/>
    <w:p>
      <w:pPr>
        <w:ind w:left="2400" w:hanging="569"/>
        <w:spacing w:after="0"/>
        <w:tabs>
          <w:tab w:leader="none" w:pos="24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CSM and at the election of CSM, there is a Change of Control of CLP;</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30" w:lineRule="exact"/>
        <w:rPr>
          <w:rFonts w:ascii="Arial" w:cs="Arial" w:eastAsia="Arial" w:hAnsi="Arial"/>
          <w:sz w:val="18"/>
          <w:szCs w:val="18"/>
          <w:color w:val="auto"/>
        </w:rPr>
      </w:pPr>
    </w:p>
    <w:p>
      <w:pPr>
        <w:ind w:left="2400" w:right="340" w:hanging="569"/>
        <w:spacing w:after="0" w:line="264" w:lineRule="auto"/>
        <w:tabs>
          <w:tab w:leader="none" w:pos="24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86" w:lineRule="exact"/>
        <w:rPr>
          <w:rFonts w:ascii="Arial" w:cs="Arial" w:eastAsia="Arial" w:hAnsi="Arial"/>
          <w:sz w:val="18"/>
          <w:szCs w:val="18"/>
          <w:color w:val="auto"/>
        </w:rPr>
      </w:pPr>
    </w:p>
    <w:p>
      <w:pPr>
        <w:ind w:left="2400" w:right="120" w:hanging="569"/>
        <w:spacing w:after="0" w:line="312" w:lineRule="auto"/>
        <w:tabs>
          <w:tab w:leader="none" w:pos="2400" w:val="left"/>
        </w:tabs>
        <w:numPr>
          <w:ilvl w:val="0"/>
          <w:numId w:val="560"/>
        </w:numPr>
        <w:rPr>
          <w:rFonts w:ascii="Arial" w:cs="Arial" w:eastAsia="Arial" w:hAnsi="Arial"/>
          <w:sz w:val="16"/>
          <w:szCs w:val="16"/>
          <w:color w:val="auto"/>
        </w:rPr>
      </w:pPr>
      <w:r>
        <w:rPr>
          <w:rFonts w:ascii="Arial" w:cs="Arial" w:eastAsia="Arial" w:hAnsi="Arial"/>
          <w:sz w:val="16"/>
          <w:szCs w:val="16"/>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4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approximate termination date of this Agreement with respect to each of the Vessels is set out in Schedule “D” to this Agreement (the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Termination</w:t>
      </w:r>
      <w:r>
        <w:rPr>
          <w:rFonts w:ascii="Arial" w:cs="Arial" w:eastAsia="Arial" w:hAnsi="Arial"/>
          <w:sz w:val="16"/>
          <w:szCs w:val="16"/>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 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1580" w:right="180" w:hanging="667"/>
        <w:spacing w:after="0" w:line="277" w:lineRule="auto"/>
        <w:tabs>
          <w:tab w:leader="none" w:pos="158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1580" w:hanging="667"/>
        <w:spacing w:after="0" w:line="259" w:lineRule="auto"/>
        <w:tabs>
          <w:tab w:leader="none" w:pos="158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termination of this Agreement shall be without prejudice to all rights accrued due between the parties prior to the date of termination.</w:t>
      </w:r>
    </w:p>
    <w:p>
      <w:pPr>
        <w:spacing w:after="0" w:line="23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Upon termination of this Agreement, the Fee shall be adjusted with respect to a Vessel as at the effective date of termination of this Agreement, based on the Fees set forth in Schedule “B”. Any overpayment shall fo1thwith be refunded to CLP and any underpayment shall forthwith be paid to CSM.</w:t>
      </w:r>
    </w:p>
    <w:p>
      <w:pPr>
        <w:sectPr>
          <w:pgSz w:w="11900" w:h="16838" w:orient="portrait"/>
          <w:cols w:equalWidth="0" w:num="1">
            <w:col w:w="11420"/>
          </w:cols>
          <w:pgMar w:left="240" w:top="274" w:right="239" w:bottom="1440" w:gutter="0" w:footer="0" w:header="0"/>
        </w:sectPr>
      </w:pPr>
    </w:p>
    <w:bookmarkStart w:id="335" w:name="page336"/>
    <w:bookmarkEnd w:id="335"/>
    <w:p>
      <w:pPr>
        <w:ind w:right="8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15. Currency. Unless stated otherwise, all currency references herein are to United States Dollars.</w:t>
      </w:r>
    </w:p>
    <w:p>
      <w:pPr>
        <w:spacing w:after="0" w:line="225"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Law And Arbitration.</w:t>
      </w:r>
      <w:r>
        <w:rPr>
          <w:rFonts w:ascii="Arial" w:cs="Arial" w:eastAsia="Arial" w:hAnsi="Arial"/>
          <w:sz w:val="17"/>
          <w:szCs w:val="17"/>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6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or facsimile) as follows:</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If to CLP:</w:t>
            </w:r>
          </w:p>
        </w:tc>
        <w:tc>
          <w:tcPr>
            <w:tcW w:w="42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45"/>
        </w:trPr>
        <w:tc>
          <w:tcPr>
            <w:tcW w:w="4180" w:type="dxa"/>
            <w:vAlign w:val="bottom"/>
          </w:tcPr>
          <w:p>
            <w:pPr>
              <w:ind w:left="240"/>
              <w:spacing w:after="0"/>
              <w:rPr>
                <w:sz w:val="20"/>
                <w:szCs w:val="20"/>
                <w:color w:val="auto"/>
              </w:rPr>
            </w:pPr>
            <w:r>
              <w:rPr>
                <w:rFonts w:ascii="Arial" w:cs="Arial" w:eastAsia="Arial" w:hAnsi="Arial"/>
                <w:sz w:val="18"/>
                <w:szCs w:val="18"/>
                <w:color w:val="auto"/>
              </w:rPr>
              <w:t>3</w:t>
            </w:r>
          </w:p>
        </w:tc>
        <w:tc>
          <w:tcPr>
            <w:tcW w:w="4260" w:type="dxa"/>
            <w:vAlign w:val="bottom"/>
          </w:tcPr>
          <w:p>
            <w:pPr>
              <w:jc w:val="right"/>
              <w:ind w:right="1110"/>
              <w:spacing w:after="0"/>
              <w:rPr>
                <w:sz w:val="20"/>
                <w:szCs w:val="20"/>
                <w:color w:val="auto"/>
              </w:rPr>
            </w:pPr>
            <w:r>
              <w:rPr>
                <w:rFonts w:ascii="Arial" w:cs="Arial" w:eastAsia="Arial" w:hAnsi="Arial"/>
                <w:sz w:val="18"/>
                <w:szCs w:val="18"/>
                <w:color w:val="auto"/>
              </w:rPr>
              <w:t>Jassonos</w:t>
            </w:r>
          </w:p>
        </w:tc>
        <w:tc>
          <w:tcPr>
            <w:tcW w:w="2060" w:type="dxa"/>
            <w:vAlign w:val="bottom"/>
          </w:tcPr>
          <w:p>
            <w:pPr>
              <w:jc w:val="right"/>
              <w:spacing w:after="0"/>
              <w:rPr>
                <w:sz w:val="20"/>
                <w:szCs w:val="20"/>
                <w:color w:val="auto"/>
              </w:rPr>
            </w:pPr>
            <w:r>
              <w:rPr>
                <w:rFonts w:ascii="Arial" w:cs="Arial" w:eastAsia="Arial" w:hAnsi="Arial"/>
                <w:sz w:val="18"/>
                <w:szCs w:val="18"/>
                <w:color w:val="auto"/>
              </w:rPr>
              <w:t>Street</w:t>
            </w:r>
          </w:p>
        </w:tc>
      </w:tr>
      <w:tr>
        <w:trPr>
          <w:trHeight w:val="216"/>
        </w:trPr>
        <w:tc>
          <w:tcPr>
            <w:tcW w:w="4180" w:type="dxa"/>
            <w:vAlign w:val="bottom"/>
          </w:tcPr>
          <w:p>
            <w:pPr>
              <w:ind w:left="240"/>
              <w:spacing w:after="0"/>
              <w:rPr>
                <w:sz w:val="20"/>
                <w:szCs w:val="20"/>
                <w:color w:val="auto"/>
              </w:rPr>
            </w:pPr>
            <w:r>
              <w:rPr>
                <w:rFonts w:ascii="Arial" w:cs="Arial" w:eastAsia="Arial" w:hAnsi="Arial"/>
                <w:sz w:val="18"/>
                <w:szCs w:val="18"/>
                <w:color w:val="auto"/>
              </w:rPr>
              <w:t>Piraeus,</w:t>
            </w:r>
          </w:p>
        </w:tc>
        <w:tc>
          <w:tcPr>
            <w:tcW w:w="4260" w:type="dxa"/>
            <w:vAlign w:val="bottom"/>
          </w:tcPr>
          <w:p>
            <w:pPr>
              <w:jc w:val="right"/>
              <w:ind w:right="1110"/>
              <w:spacing w:after="0"/>
              <w:rPr>
                <w:sz w:val="20"/>
                <w:szCs w:val="20"/>
                <w:color w:val="auto"/>
              </w:rPr>
            </w:pPr>
            <w:r>
              <w:rPr>
                <w:rFonts w:ascii="Arial" w:cs="Arial" w:eastAsia="Arial" w:hAnsi="Arial"/>
                <w:sz w:val="18"/>
                <w:szCs w:val="18"/>
                <w:color w:val="auto"/>
              </w:rPr>
              <w:t>18537,</w:t>
            </w:r>
          </w:p>
        </w:tc>
        <w:tc>
          <w:tcPr>
            <w:tcW w:w="2060" w:type="dxa"/>
            <w:vAlign w:val="bottom"/>
          </w:tcPr>
          <w:p>
            <w:pPr>
              <w:jc w:val="right"/>
              <w:spacing w:after="0"/>
              <w:rPr>
                <w:sz w:val="20"/>
                <w:szCs w:val="20"/>
                <w:color w:val="auto"/>
              </w:rPr>
            </w:pPr>
            <w:r>
              <w:rPr>
                <w:rFonts w:ascii="Arial" w:cs="Arial" w:eastAsia="Arial" w:hAnsi="Arial"/>
                <w:sz w:val="18"/>
                <w:szCs w:val="18"/>
                <w:color w:val="auto"/>
              </w:rPr>
              <w:t>Greece</w:t>
            </w:r>
          </w:p>
        </w:tc>
      </w:tr>
      <w:tr>
        <w:trPr>
          <w:trHeight w:val="216"/>
        </w:trPr>
        <w:tc>
          <w:tcPr>
            <w:tcW w:w="4180" w:type="dxa"/>
            <w:vAlign w:val="bottom"/>
          </w:tcPr>
          <w:p>
            <w:pPr>
              <w:ind w:left="240"/>
              <w:spacing w:after="0"/>
              <w:rPr>
                <w:sz w:val="20"/>
                <w:szCs w:val="20"/>
                <w:color w:val="auto"/>
              </w:rPr>
            </w:pPr>
            <w:r>
              <w:rPr>
                <w:rFonts w:ascii="Arial" w:cs="Arial" w:eastAsia="Arial" w:hAnsi="Arial"/>
                <w:sz w:val="18"/>
                <w:szCs w:val="18"/>
                <w:color w:val="auto"/>
              </w:rPr>
              <w:t>Attn:</w:t>
            </w:r>
          </w:p>
        </w:tc>
        <w:tc>
          <w:tcPr>
            <w:tcW w:w="4260" w:type="dxa"/>
            <w:vAlign w:val="bottom"/>
          </w:tcPr>
          <w:p>
            <w:pPr>
              <w:jc w:val="right"/>
              <w:ind w:right="1110"/>
              <w:spacing w:after="0"/>
              <w:rPr>
                <w:sz w:val="20"/>
                <w:szCs w:val="20"/>
                <w:color w:val="auto"/>
              </w:rPr>
            </w:pPr>
            <w:r>
              <w:rPr>
                <w:rFonts w:ascii="Arial" w:cs="Arial" w:eastAsia="Arial" w:hAnsi="Arial"/>
                <w:sz w:val="18"/>
                <w:szCs w:val="18"/>
                <w:color w:val="auto"/>
              </w:rPr>
              <w:t>Gerasimos</w:t>
            </w:r>
          </w:p>
        </w:tc>
        <w:tc>
          <w:tcPr>
            <w:tcW w:w="2060" w:type="dxa"/>
            <w:vAlign w:val="bottom"/>
          </w:tcPr>
          <w:p>
            <w:pPr>
              <w:jc w:val="right"/>
              <w:spacing w:after="0"/>
              <w:rPr>
                <w:sz w:val="20"/>
                <w:szCs w:val="20"/>
                <w:color w:val="auto"/>
              </w:rPr>
            </w:pPr>
            <w:r>
              <w:rPr>
                <w:rFonts w:ascii="Arial" w:cs="Arial" w:eastAsia="Arial" w:hAnsi="Arial"/>
                <w:sz w:val="18"/>
                <w:szCs w:val="18"/>
                <w:color w:val="auto"/>
              </w:rPr>
              <w:t>Kalogiratos</w:t>
            </w: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Fax: +30 210 428 4285</w:t>
            </w:r>
          </w:p>
        </w:tc>
        <w:tc>
          <w:tcPr>
            <w:tcW w:w="426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336" w:name="page337"/>
    <w:bookmarkEnd w:id="3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If to CSM:</w:t>
            </w:r>
          </w:p>
        </w:tc>
        <w:tc>
          <w:tcPr>
            <w:tcW w:w="4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3</w:t>
            </w:r>
          </w:p>
        </w:tc>
        <w:tc>
          <w:tcPr>
            <w:tcW w:w="4200" w:type="dxa"/>
            <w:vAlign w:val="bottom"/>
          </w:tcPr>
          <w:p>
            <w:pPr>
              <w:jc w:val="right"/>
              <w:ind w:right="1110"/>
              <w:spacing w:after="0"/>
              <w:rPr>
                <w:sz w:val="20"/>
                <w:szCs w:val="20"/>
                <w:color w:val="auto"/>
              </w:rPr>
            </w:pPr>
            <w:r>
              <w:rPr>
                <w:rFonts w:ascii="Arial" w:cs="Arial" w:eastAsia="Arial" w:hAnsi="Arial"/>
                <w:sz w:val="18"/>
                <w:szCs w:val="18"/>
                <w:color w:val="auto"/>
              </w:rPr>
              <w:t>Jassonos</w:t>
            </w:r>
          </w:p>
        </w:tc>
        <w:tc>
          <w:tcPr>
            <w:tcW w:w="2060" w:type="dxa"/>
            <w:vAlign w:val="bottom"/>
          </w:tcPr>
          <w:p>
            <w:pPr>
              <w:jc w:val="right"/>
              <w:spacing w:after="0"/>
              <w:rPr>
                <w:sz w:val="20"/>
                <w:szCs w:val="20"/>
                <w:color w:val="auto"/>
              </w:rPr>
            </w:pPr>
            <w:r>
              <w:rPr>
                <w:rFonts w:ascii="Arial" w:cs="Arial" w:eastAsia="Arial" w:hAnsi="Arial"/>
                <w:sz w:val="18"/>
                <w:szCs w:val="18"/>
                <w:color w:val="auto"/>
              </w:rPr>
              <w:t>Street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Piraeus,</w:t>
            </w:r>
          </w:p>
        </w:tc>
        <w:tc>
          <w:tcPr>
            <w:tcW w:w="4200" w:type="dxa"/>
            <w:vAlign w:val="bottom"/>
          </w:tcPr>
          <w:p>
            <w:pPr>
              <w:jc w:val="right"/>
              <w:ind w:right="1110"/>
              <w:spacing w:after="0"/>
              <w:rPr>
                <w:sz w:val="20"/>
                <w:szCs w:val="20"/>
                <w:color w:val="auto"/>
              </w:rPr>
            </w:pPr>
            <w:r>
              <w:rPr>
                <w:rFonts w:ascii="Arial" w:cs="Arial" w:eastAsia="Arial" w:hAnsi="Arial"/>
                <w:sz w:val="18"/>
                <w:szCs w:val="18"/>
                <w:color w:val="auto"/>
              </w:rPr>
              <w:t>18537,</w:t>
            </w:r>
          </w:p>
        </w:tc>
        <w:tc>
          <w:tcPr>
            <w:tcW w:w="2060" w:type="dxa"/>
            <w:vAlign w:val="bottom"/>
          </w:tcPr>
          <w:p>
            <w:pPr>
              <w:jc w:val="right"/>
              <w:spacing w:after="0"/>
              <w:rPr>
                <w:sz w:val="20"/>
                <w:szCs w:val="20"/>
                <w:color w:val="auto"/>
              </w:rPr>
            </w:pPr>
            <w:r>
              <w:rPr>
                <w:rFonts w:ascii="Arial" w:cs="Arial" w:eastAsia="Arial" w:hAnsi="Arial"/>
                <w:sz w:val="18"/>
                <w:szCs w:val="18"/>
                <w:color w:val="auto"/>
              </w:rPr>
              <w:t>Greece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Attn:</w:t>
            </w:r>
          </w:p>
        </w:tc>
        <w:tc>
          <w:tcPr>
            <w:tcW w:w="4200" w:type="dxa"/>
            <w:vAlign w:val="bottom"/>
          </w:tcPr>
          <w:p>
            <w:pPr>
              <w:jc w:val="right"/>
              <w:ind w:right="1110"/>
              <w:spacing w:after="0"/>
              <w:rPr>
                <w:sz w:val="20"/>
                <w:szCs w:val="20"/>
                <w:color w:val="auto"/>
              </w:rPr>
            </w:pPr>
            <w:r>
              <w:rPr>
                <w:rFonts w:ascii="Arial" w:cs="Arial" w:eastAsia="Arial" w:hAnsi="Arial"/>
                <w:sz w:val="18"/>
                <w:szCs w:val="18"/>
                <w:color w:val="auto"/>
              </w:rPr>
              <w:t>Nikolaos</w:t>
            </w:r>
          </w:p>
        </w:tc>
        <w:tc>
          <w:tcPr>
            <w:tcW w:w="2060" w:type="dxa"/>
            <w:vAlign w:val="bottom"/>
          </w:tcPr>
          <w:p>
            <w:pPr>
              <w:jc w:val="right"/>
              <w:spacing w:after="0"/>
              <w:rPr>
                <w:sz w:val="20"/>
                <w:szCs w:val="20"/>
                <w:color w:val="auto"/>
              </w:rPr>
            </w:pPr>
            <w:r>
              <w:rPr>
                <w:rFonts w:ascii="Arial" w:cs="Arial" w:eastAsia="Arial" w:hAnsi="Arial"/>
                <w:sz w:val="18"/>
                <w:szCs w:val="18"/>
                <w:color w:val="auto"/>
              </w:rPr>
              <w:t>Syntichakis</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Fax: +30 210 428 4285</w:t>
            </w:r>
          </w:p>
        </w:tc>
        <w:tc>
          <w:tcPr>
            <w:tcW w:w="42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2"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The failure of either party to enforce any term of this Agreement shall not act as a waiver. Any waiver must be specifically stated as such in writing.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Affiliates</w:t>
      </w:r>
      <w:r>
        <w:rPr>
          <w:rFonts w:ascii="Arial" w:cs="Arial" w:eastAsia="Arial" w:hAnsi="Arial"/>
          <w:sz w:val="18"/>
          <w:szCs w:val="18"/>
          <w:color w:val="auto"/>
        </w:rPr>
        <w:t>. This Agreement shall be binding upon and inure to the benefit of the affiliates of CLP and/or CSM.</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signed counterparts, facsimile or otherwise, which shall together form one instrument.</w:t>
      </w:r>
    </w:p>
    <w:p>
      <w:pPr>
        <w:sectPr>
          <w:pgSz w:w="11900" w:h="16838" w:orient="portrait"/>
          <w:cols w:equalWidth="0" w:num="1">
            <w:col w:w="11420"/>
          </w:cols>
          <w:pgMar w:left="240" w:top="274" w:right="239" w:bottom="1440" w:gutter="0" w:footer="0" w:header="0"/>
        </w:sectPr>
      </w:pPr>
    </w:p>
    <w:bookmarkStart w:id="337" w:name="page338"/>
    <w:bookmarkEnd w:id="3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to CLP, as CGP may from time to time request and direct CSM to:</w:t>
      </w:r>
    </w:p>
    <w:p>
      <w:pPr>
        <w:spacing w:after="0" w:line="62" w:lineRule="exact"/>
        <w:rPr>
          <w:sz w:val="20"/>
          <w:szCs w:val="20"/>
          <w:color w:val="auto"/>
        </w:rPr>
      </w:pPr>
    </w:p>
    <w:p>
      <w:pPr>
        <w:ind w:right="420" w:firstLine="464"/>
        <w:spacing w:after="0" w:line="277" w:lineRule="auto"/>
        <w:tabs>
          <w:tab w:leader="none" w:pos="711" w:val="left"/>
        </w:tabs>
        <w:numPr>
          <w:ilvl w:val="0"/>
          <w:numId w:val="562"/>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jc w:val="both"/>
        <w:ind w:left="1140" w:right="20" w:hanging="565"/>
        <w:spacing w:after="0" w:line="264" w:lineRule="auto"/>
        <w:tabs>
          <w:tab w:leader="none" w:pos="11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86" w:lineRule="exact"/>
        <w:rPr>
          <w:rFonts w:ascii="Arial" w:cs="Arial" w:eastAsia="Arial" w:hAnsi="Arial"/>
          <w:sz w:val="18"/>
          <w:szCs w:val="18"/>
          <w:color w:val="auto"/>
        </w:rPr>
      </w:pPr>
    </w:p>
    <w:p>
      <w:pPr>
        <w:ind w:left="1140" w:right="460" w:hanging="565"/>
        <w:spacing w:after="0" w:line="277" w:lineRule="auto"/>
        <w:tabs>
          <w:tab w:leader="none" w:pos="11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75" w:lineRule="exact"/>
        <w:rPr>
          <w:rFonts w:ascii="Arial" w:cs="Arial" w:eastAsia="Arial" w:hAnsi="Arial"/>
          <w:sz w:val="18"/>
          <w:szCs w:val="18"/>
          <w:color w:val="auto"/>
        </w:rPr>
      </w:pPr>
    </w:p>
    <w:p>
      <w:pPr>
        <w:ind w:left="1140" w:right="220" w:hanging="565"/>
        <w:spacing w:after="0" w:line="257" w:lineRule="auto"/>
        <w:tabs>
          <w:tab w:leader="none" w:pos="11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93" w:lineRule="exact"/>
        <w:rPr>
          <w:rFonts w:ascii="Arial" w:cs="Arial" w:eastAsia="Arial" w:hAnsi="Arial"/>
          <w:sz w:val="18"/>
          <w:szCs w:val="18"/>
          <w:color w:val="auto"/>
        </w:rPr>
      </w:pPr>
    </w:p>
    <w:p>
      <w:pPr>
        <w:ind w:left="1140" w:right="300" w:hanging="565"/>
        <w:spacing w:after="0" w:line="277" w:lineRule="auto"/>
        <w:tabs>
          <w:tab w:leader="none" w:pos="11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75" w:lineRule="exact"/>
        <w:rPr>
          <w:rFonts w:ascii="Arial" w:cs="Arial" w:eastAsia="Arial" w:hAnsi="Arial"/>
          <w:sz w:val="18"/>
          <w:szCs w:val="18"/>
          <w:color w:val="auto"/>
        </w:rPr>
      </w:pPr>
    </w:p>
    <w:p>
      <w:pPr>
        <w:ind w:left="1140" w:hanging="565"/>
        <w:spacing w:after="0" w:line="257" w:lineRule="auto"/>
        <w:tabs>
          <w:tab w:leader="none" w:pos="11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CLP to deal with the media in the event of discharges of oil;</w:t>
      </w:r>
    </w:p>
    <w:p>
      <w:pPr>
        <w:spacing w:after="0" w:line="93" w:lineRule="exact"/>
        <w:rPr>
          <w:rFonts w:ascii="Arial" w:cs="Arial" w:eastAsia="Arial" w:hAnsi="Arial"/>
          <w:sz w:val="18"/>
          <w:szCs w:val="18"/>
          <w:color w:val="auto"/>
        </w:rPr>
      </w:pPr>
    </w:p>
    <w:p>
      <w:pPr>
        <w:ind w:left="1140" w:hanging="565"/>
        <w:spacing w:after="0" w:line="264" w:lineRule="auto"/>
        <w:tabs>
          <w:tab w:leader="none" w:pos="11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arrange and procure for the vetting of the Vessels and CLP or CSM by major chatterers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rFonts w:ascii="Arial" w:cs="Arial" w:eastAsia="Arial" w:hAnsi="Arial"/>
          <w:sz w:val="18"/>
          <w:szCs w:val="18"/>
          <w:color w:val="auto"/>
        </w:rPr>
      </w:pPr>
    </w:p>
    <w:p>
      <w:pPr>
        <w:ind w:left="1140" w:right="300"/>
        <w:spacing w:after="0" w:line="286" w:lineRule="auto"/>
        <w:rPr>
          <w:rFonts w:ascii="Arial" w:cs="Arial" w:eastAsia="Arial" w:hAnsi="Arial"/>
          <w:sz w:val="18"/>
          <w:szCs w:val="18"/>
          <w:color w:val="auto"/>
        </w:rPr>
      </w:pPr>
      <w:r>
        <w:rPr>
          <w:rFonts w:ascii="Arial" w:cs="Arial" w:eastAsia="Arial" w:hAnsi="Arial"/>
          <w:sz w:val="17"/>
          <w:szCs w:val="17"/>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ectPr>
          <w:pgSz w:w="11900" w:h="16838" w:orient="portrait"/>
          <w:cols w:equalWidth="0" w:num="1">
            <w:col w:w="11420"/>
          </w:cols>
          <w:pgMar w:left="240" w:top="269" w:right="239" w:bottom="1440" w:gutter="0" w:footer="0" w:header="0"/>
        </w:sectPr>
      </w:pPr>
    </w:p>
    <w:bookmarkStart w:id="338" w:name="page339"/>
    <w:bookmarkEnd w:id="338"/>
    <w:p>
      <w:pPr>
        <w:ind w:left="256" w:hanging="256"/>
        <w:spacing w:after="0"/>
        <w:tabs>
          <w:tab w:leader="none" w:pos="256" w:val="left"/>
        </w:tabs>
        <w:numPr>
          <w:ilvl w:val="0"/>
          <w:numId w:val="5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Storing, victualing and supplying of each Vessel and the arranging for the purchase of certain day to day stores, supplies and parts;</w:t>
      </w:r>
    </w:p>
    <w:p>
      <w:pPr>
        <w:spacing w:after="0" w:line="117" w:lineRule="exact"/>
        <w:rPr>
          <w:rFonts w:ascii="Arial" w:cs="Arial" w:eastAsia="Arial" w:hAnsi="Arial"/>
          <w:sz w:val="18"/>
          <w:szCs w:val="18"/>
          <w:color w:val="auto"/>
        </w:rPr>
      </w:pPr>
    </w:p>
    <w:p>
      <w:pPr>
        <w:ind w:left="-464" w:right="180" w:firstLine="464"/>
        <w:spacing w:after="0" w:line="277" w:lineRule="auto"/>
        <w:tabs>
          <w:tab w:leader="none" w:pos="24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Procuring and arrangement for po1t entrance and clearance, pilots, vessel agents, consular approvals, and other services necessary or desirable for the management and safe operation of each Vessel;</w:t>
      </w:r>
    </w:p>
    <w:p>
      <w:pPr>
        <w:spacing w:after="0" w:line="62" w:lineRule="exact"/>
        <w:rPr>
          <w:rFonts w:ascii="Arial" w:cs="Arial" w:eastAsia="Arial" w:hAnsi="Arial"/>
          <w:sz w:val="18"/>
          <w:szCs w:val="18"/>
          <w:color w:val="auto"/>
        </w:rPr>
      </w:pPr>
    </w:p>
    <w:p>
      <w:pPr>
        <w:ind w:left="256" w:hanging="256"/>
        <w:spacing w:after="0"/>
        <w:tabs>
          <w:tab w:leader="none" w:pos="256" w:val="left"/>
        </w:tabs>
        <w:numPr>
          <w:ilvl w:val="0"/>
          <w:numId w:val="563"/>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117" w:lineRule="exact"/>
        <w:rPr>
          <w:rFonts w:ascii="Arial" w:cs="Arial" w:eastAsia="Arial" w:hAnsi="Arial"/>
          <w:sz w:val="18"/>
          <w:szCs w:val="18"/>
          <w:color w:val="auto"/>
        </w:rPr>
      </w:pPr>
    </w:p>
    <w:p>
      <w:pPr>
        <w:ind w:left="256" w:hanging="256"/>
        <w:spacing w:after="0"/>
        <w:tabs>
          <w:tab w:leader="none" w:pos="256" w:val="left"/>
        </w:tabs>
        <w:numPr>
          <w:ilvl w:val="0"/>
          <w:numId w:val="563"/>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117" w:lineRule="exact"/>
        <w:rPr>
          <w:rFonts w:ascii="Arial" w:cs="Arial" w:eastAsia="Arial" w:hAnsi="Arial"/>
          <w:sz w:val="18"/>
          <w:szCs w:val="18"/>
          <w:color w:val="auto"/>
        </w:rPr>
      </w:pPr>
    </w:p>
    <w:p>
      <w:pPr>
        <w:ind w:left="256" w:hanging="256"/>
        <w:spacing w:after="0"/>
        <w:tabs>
          <w:tab w:leader="none" w:pos="256" w:val="left"/>
        </w:tabs>
        <w:numPr>
          <w:ilvl w:val="0"/>
          <w:numId w:val="563"/>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117" w:lineRule="exact"/>
        <w:rPr>
          <w:rFonts w:ascii="Arial" w:cs="Arial" w:eastAsia="Arial" w:hAnsi="Arial"/>
          <w:sz w:val="18"/>
          <w:szCs w:val="18"/>
          <w:color w:val="auto"/>
        </w:rPr>
      </w:pPr>
    </w:p>
    <w:p>
      <w:pPr>
        <w:ind w:left="-464" w:right="200" w:firstLine="464"/>
        <w:spacing w:after="0" w:line="312" w:lineRule="auto"/>
        <w:tabs>
          <w:tab w:leader="none" w:pos="247" w:val="left"/>
        </w:tabs>
        <w:numPr>
          <w:ilvl w:val="0"/>
          <w:numId w:val="563"/>
        </w:numPr>
        <w:rPr>
          <w:rFonts w:ascii="Arial" w:cs="Arial" w:eastAsia="Arial" w:hAnsi="Arial"/>
          <w:sz w:val="16"/>
          <w:szCs w:val="16"/>
          <w:color w:val="auto"/>
        </w:rPr>
      </w:pPr>
      <w:r>
        <w:rPr>
          <w:rFonts w:ascii="Arial" w:cs="Arial" w:eastAsia="Arial" w:hAnsi="Arial"/>
          <w:sz w:val="16"/>
          <w:szCs w:val="16"/>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38" w:lineRule="exact"/>
        <w:rPr>
          <w:rFonts w:ascii="Arial" w:cs="Arial" w:eastAsia="Arial" w:hAnsi="Arial"/>
          <w:sz w:val="16"/>
          <w:szCs w:val="16"/>
          <w:color w:val="auto"/>
        </w:rPr>
      </w:pPr>
    </w:p>
    <w:p>
      <w:pPr>
        <w:ind w:left="-464" w:right="380" w:firstLine="464"/>
        <w:spacing w:after="0" w:line="277" w:lineRule="auto"/>
        <w:tabs>
          <w:tab w:leader="none" w:pos="24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62" w:lineRule="exact"/>
        <w:rPr>
          <w:rFonts w:ascii="Arial" w:cs="Arial" w:eastAsia="Arial" w:hAnsi="Arial"/>
          <w:sz w:val="18"/>
          <w:szCs w:val="18"/>
          <w:color w:val="auto"/>
        </w:rPr>
      </w:pPr>
    </w:p>
    <w:p>
      <w:pPr>
        <w:jc w:val="both"/>
        <w:ind w:left="-464" w:right="80" w:firstLine="464"/>
        <w:spacing w:after="0" w:line="264" w:lineRule="auto"/>
        <w:tabs>
          <w:tab w:leader="none" w:pos="33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pacing w:after="0" w:line="73" w:lineRule="exact"/>
        <w:rPr>
          <w:rFonts w:ascii="Arial" w:cs="Arial" w:eastAsia="Arial" w:hAnsi="Arial"/>
          <w:sz w:val="18"/>
          <w:szCs w:val="18"/>
          <w:color w:val="auto"/>
        </w:rPr>
      </w:pPr>
    </w:p>
    <w:p>
      <w:pPr>
        <w:ind w:left="336" w:hanging="336"/>
        <w:spacing w:after="0"/>
        <w:tabs>
          <w:tab w:leader="none" w:pos="336"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Arrangement or the prompt dispatch of each Vessel from loading and discharging ports and for transit through canals;</w:t>
      </w:r>
    </w:p>
    <w:p>
      <w:pPr>
        <w:spacing w:after="0" w:line="117" w:lineRule="exact"/>
        <w:rPr>
          <w:rFonts w:ascii="Arial" w:cs="Arial" w:eastAsia="Arial" w:hAnsi="Arial"/>
          <w:sz w:val="18"/>
          <w:szCs w:val="18"/>
          <w:color w:val="auto"/>
        </w:rPr>
      </w:pPr>
    </w:p>
    <w:p>
      <w:pPr>
        <w:ind w:left="-464" w:right="20" w:firstLine="464"/>
        <w:spacing w:after="0" w:line="308" w:lineRule="auto"/>
        <w:tabs>
          <w:tab w:leader="none" w:pos="337" w:val="left"/>
        </w:tabs>
        <w:numPr>
          <w:ilvl w:val="0"/>
          <w:numId w:val="563"/>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38" w:lineRule="exact"/>
        <w:rPr>
          <w:rFonts w:ascii="Arial" w:cs="Arial" w:eastAsia="Arial" w:hAnsi="Arial"/>
          <w:sz w:val="17"/>
          <w:szCs w:val="17"/>
          <w:color w:val="auto"/>
        </w:rPr>
      </w:pPr>
    </w:p>
    <w:p>
      <w:pPr>
        <w:ind w:left="-464" w:firstLine="464"/>
        <w:spacing w:after="0" w:line="264" w:lineRule="auto"/>
        <w:tabs>
          <w:tab w:leader="none" w:pos="33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73" w:lineRule="exact"/>
        <w:rPr>
          <w:rFonts w:ascii="Arial" w:cs="Arial" w:eastAsia="Arial" w:hAnsi="Arial"/>
          <w:sz w:val="18"/>
          <w:szCs w:val="18"/>
          <w:color w:val="auto"/>
        </w:rPr>
      </w:pPr>
    </w:p>
    <w:p>
      <w:pPr>
        <w:ind w:left="-464" w:right="360" w:firstLine="464"/>
        <w:spacing w:after="0" w:line="277" w:lineRule="auto"/>
        <w:tabs>
          <w:tab w:leader="none" w:pos="33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62" w:lineRule="exact"/>
        <w:rPr>
          <w:rFonts w:ascii="Arial" w:cs="Arial" w:eastAsia="Arial" w:hAnsi="Arial"/>
          <w:sz w:val="18"/>
          <w:szCs w:val="18"/>
          <w:color w:val="auto"/>
        </w:rPr>
      </w:pPr>
    </w:p>
    <w:p>
      <w:pPr>
        <w:ind w:left="-464" w:right="340" w:firstLine="464"/>
        <w:spacing w:after="0" w:line="264" w:lineRule="auto"/>
        <w:tabs>
          <w:tab w:leader="none" w:pos="33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73" w:lineRule="exact"/>
        <w:rPr>
          <w:rFonts w:ascii="Arial" w:cs="Arial" w:eastAsia="Arial" w:hAnsi="Arial"/>
          <w:sz w:val="18"/>
          <w:szCs w:val="18"/>
          <w:color w:val="auto"/>
        </w:rPr>
      </w:pPr>
    </w:p>
    <w:p>
      <w:pPr>
        <w:ind w:left="336" w:hanging="336"/>
        <w:spacing w:after="0"/>
        <w:tabs>
          <w:tab w:leader="none" w:pos="336"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ectPr>
          <w:pgSz w:w="11900" w:h="16838" w:orient="portrait"/>
          <w:cols w:equalWidth="0" w:num="1">
            <w:col w:w="10956"/>
          </w:cols>
          <w:pgMar w:left="704" w:top="273" w:right="239" w:bottom="1440" w:gutter="0" w:footer="0" w:header="0"/>
        </w:sectPr>
      </w:pPr>
    </w:p>
    <w:bookmarkStart w:id="339" w:name="page340"/>
    <w:bookmarkEnd w:id="339"/>
    <w:p>
      <w:pPr>
        <w:ind w:left="1132" w:right="120" w:hanging="565"/>
        <w:spacing w:after="0" w:line="259" w:lineRule="auto"/>
        <w:tabs>
          <w:tab w:leader="none" w:pos="1132" w:val="left"/>
        </w:tabs>
        <w:numPr>
          <w:ilvl w:val="2"/>
          <w:numId w:val="5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arranging for the procurement and enlistment for each Vessel, as required by applicable law, of competent, reliable and duly licensed personnel (hereinafter referred to as “crew members”)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92" w:lineRule="exact"/>
        <w:rPr>
          <w:rFonts w:ascii="Arial" w:cs="Arial" w:eastAsia="Arial" w:hAnsi="Arial"/>
          <w:sz w:val="18"/>
          <w:szCs w:val="18"/>
          <w:color w:val="auto"/>
        </w:rPr>
      </w:pPr>
    </w:p>
    <w:p>
      <w:pPr>
        <w:ind w:left="1132" w:right="480" w:hanging="565"/>
        <w:spacing w:after="0" w:line="277" w:lineRule="auto"/>
        <w:tabs>
          <w:tab w:leader="none" w:pos="1132" w:val="left"/>
        </w:tabs>
        <w:numPr>
          <w:ilvl w:val="2"/>
          <w:numId w:val="564"/>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1132" w:right="180" w:hanging="565"/>
        <w:spacing w:after="0" w:line="286" w:lineRule="auto"/>
        <w:tabs>
          <w:tab w:leader="none" w:pos="1132" w:val="left"/>
        </w:tabs>
        <w:numPr>
          <w:ilvl w:val="2"/>
          <w:numId w:val="564"/>
        </w:numPr>
        <w:rPr>
          <w:rFonts w:ascii="Arial" w:cs="Arial" w:eastAsia="Arial" w:hAnsi="Arial"/>
          <w:sz w:val="17"/>
          <w:szCs w:val="17"/>
          <w:color w:val="auto"/>
        </w:rPr>
      </w:pPr>
      <w:r>
        <w:rPr>
          <w:rFonts w:ascii="Arial" w:cs="Arial" w:eastAsia="Arial" w:hAnsi="Arial"/>
          <w:sz w:val="17"/>
          <w:szCs w:val="17"/>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70" w:lineRule="exact"/>
        <w:rPr>
          <w:rFonts w:ascii="Arial" w:cs="Arial" w:eastAsia="Arial" w:hAnsi="Arial"/>
          <w:sz w:val="17"/>
          <w:szCs w:val="17"/>
          <w:color w:val="auto"/>
        </w:rPr>
      </w:pPr>
    </w:p>
    <w:p>
      <w:pPr>
        <w:ind w:left="1132" w:hanging="565"/>
        <w:spacing w:after="0"/>
        <w:tabs>
          <w:tab w:leader="none" w:pos="1132" w:val="left"/>
        </w:tabs>
        <w:numPr>
          <w:ilvl w:val="2"/>
          <w:numId w:val="564"/>
        </w:numPr>
        <w:rPr>
          <w:rFonts w:ascii="Arial" w:cs="Arial" w:eastAsia="Arial" w:hAnsi="Arial"/>
          <w:sz w:val="16"/>
          <w:szCs w:val="16"/>
          <w:color w:val="auto"/>
        </w:rPr>
      </w:pPr>
      <w:r>
        <w:rPr>
          <w:rFonts w:ascii="Arial" w:cs="Arial" w:eastAsia="Arial" w:hAnsi="Arial"/>
          <w:sz w:val="16"/>
          <w:szCs w:val="16"/>
          <w:color w:val="auto"/>
        </w:rPr>
        <w:t>negotiating the settlement and payment of all wages with the crew members during the course of and upon termination of their employment;</w:t>
      </w:r>
    </w:p>
    <w:p>
      <w:pPr>
        <w:spacing w:after="0" w:line="153" w:lineRule="exact"/>
        <w:rPr>
          <w:rFonts w:ascii="Arial" w:cs="Arial" w:eastAsia="Arial" w:hAnsi="Arial"/>
          <w:sz w:val="16"/>
          <w:szCs w:val="16"/>
          <w:color w:val="auto"/>
        </w:rPr>
      </w:pPr>
    </w:p>
    <w:p>
      <w:pPr>
        <w:jc w:val="both"/>
        <w:ind w:left="1132" w:right="20" w:hanging="565"/>
        <w:spacing w:after="0" w:line="342" w:lineRule="auto"/>
        <w:tabs>
          <w:tab w:leader="none" w:pos="1132" w:val="left"/>
        </w:tabs>
        <w:numPr>
          <w:ilvl w:val="2"/>
          <w:numId w:val="564"/>
        </w:numPr>
        <w:rPr>
          <w:rFonts w:ascii="Arial" w:cs="Arial" w:eastAsia="Arial" w:hAnsi="Arial"/>
          <w:sz w:val="16"/>
          <w:szCs w:val="16"/>
          <w:color w:val="auto"/>
        </w:rPr>
      </w:pPr>
      <w:r>
        <w:rPr>
          <w:rFonts w:ascii="Arial" w:cs="Arial" w:eastAsia="Arial" w:hAnsi="Arial"/>
          <w:sz w:val="16"/>
          <w:szCs w:val="16"/>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pacing w:after="0" w:line="29" w:lineRule="exact"/>
        <w:rPr>
          <w:rFonts w:ascii="Arial" w:cs="Arial" w:eastAsia="Arial" w:hAnsi="Arial"/>
          <w:sz w:val="16"/>
          <w:szCs w:val="16"/>
          <w:color w:val="auto"/>
        </w:rPr>
      </w:pPr>
    </w:p>
    <w:p>
      <w:pPr>
        <w:ind w:left="1132" w:right="140" w:hanging="565"/>
        <w:spacing w:after="0" w:line="342" w:lineRule="auto"/>
        <w:tabs>
          <w:tab w:leader="none" w:pos="1132" w:val="left"/>
        </w:tabs>
        <w:numPr>
          <w:ilvl w:val="2"/>
          <w:numId w:val="564"/>
        </w:numPr>
        <w:rPr>
          <w:rFonts w:ascii="Arial" w:cs="Arial" w:eastAsia="Arial" w:hAnsi="Arial"/>
          <w:sz w:val="16"/>
          <w:szCs w:val="16"/>
          <w:color w:val="auto"/>
        </w:rPr>
      </w:pPr>
      <w:r>
        <w:rPr>
          <w:rFonts w:ascii="Arial" w:cs="Arial" w:eastAsia="Arial" w:hAnsi="Arial"/>
          <w:sz w:val="16"/>
          <w:szCs w:val="16"/>
          <w:color w:val="auto"/>
        </w:rPr>
        <w:t>keeping and maintaining all administrative and financial records relating to the crew members as required by law, labour agreements, owner or charterer, and rendering to owner or charterer any and all reports when, as and in such form as requested by owner or chatterer;</w:t>
      </w:r>
    </w:p>
    <w:p>
      <w:pPr>
        <w:spacing w:after="0" w:line="29" w:lineRule="exact"/>
        <w:rPr>
          <w:rFonts w:ascii="Arial" w:cs="Arial" w:eastAsia="Arial" w:hAnsi="Arial"/>
          <w:sz w:val="16"/>
          <w:szCs w:val="16"/>
          <w:color w:val="auto"/>
        </w:rPr>
      </w:pPr>
    </w:p>
    <w:p>
      <w:pPr>
        <w:ind w:left="1132" w:hanging="565"/>
        <w:spacing w:after="0"/>
        <w:tabs>
          <w:tab w:leader="none" w:pos="1132" w:val="left"/>
        </w:tabs>
        <w:numPr>
          <w:ilvl w:val="2"/>
          <w:numId w:val="564"/>
        </w:numPr>
        <w:rPr>
          <w:rFonts w:ascii="Arial" w:cs="Arial" w:eastAsia="Arial" w:hAnsi="Arial"/>
          <w:sz w:val="18"/>
          <w:szCs w:val="18"/>
          <w:color w:val="auto"/>
        </w:rPr>
      </w:pPr>
      <w:r>
        <w:rPr>
          <w:rFonts w:ascii="Arial" w:cs="Arial" w:eastAsia="Arial" w:hAnsi="Arial"/>
          <w:sz w:val="18"/>
          <w:szCs w:val="18"/>
          <w:color w:val="auto"/>
        </w:rPr>
        <w:t>the performance of any other function in connection with crew members as may be requested by owner or charterer;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2"/>
          <w:numId w:val="564"/>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117" w:lineRule="exact"/>
        <w:rPr>
          <w:rFonts w:ascii="Arial" w:cs="Arial" w:eastAsia="Arial" w:hAnsi="Arial"/>
          <w:sz w:val="18"/>
          <w:szCs w:val="18"/>
          <w:color w:val="auto"/>
        </w:rPr>
      </w:pPr>
    </w:p>
    <w:p>
      <w:pPr>
        <w:ind w:left="792" w:hanging="336"/>
        <w:spacing w:after="0"/>
        <w:tabs>
          <w:tab w:leader="none" w:pos="792" w:val="left"/>
        </w:tabs>
        <w:numPr>
          <w:ilvl w:val="1"/>
          <w:numId w:val="565"/>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each Vessel, including, but not limited to, the cost of the items listed in</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to ( I6) above, canal tolls, repair charges and port charges, and any amounts due to any governmental agency with respect to the Vessel crews;</w:t>
      </w:r>
    </w:p>
    <w:p>
      <w:pPr>
        <w:spacing w:after="0" w:line="114" w:lineRule="exact"/>
        <w:rPr>
          <w:rFonts w:ascii="Arial" w:cs="Arial" w:eastAsia="Arial" w:hAnsi="Arial"/>
          <w:sz w:val="17"/>
          <w:szCs w:val="17"/>
          <w:color w:val="auto"/>
        </w:rPr>
      </w:pPr>
    </w:p>
    <w:p>
      <w:pPr>
        <w:ind w:left="-8" w:right="100" w:firstLine="464"/>
        <w:spacing w:after="0" w:line="277" w:lineRule="auto"/>
        <w:tabs>
          <w:tab w:leader="none" w:pos="793" w:val="left"/>
        </w:tabs>
        <w:numPr>
          <w:ilvl w:val="1"/>
          <w:numId w:val="566"/>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62" w:lineRule="exact"/>
        <w:rPr>
          <w:rFonts w:ascii="Arial" w:cs="Arial" w:eastAsia="Arial" w:hAnsi="Arial"/>
          <w:sz w:val="18"/>
          <w:szCs w:val="18"/>
          <w:color w:val="auto"/>
        </w:rPr>
      </w:pPr>
    </w:p>
    <w:p>
      <w:pPr>
        <w:ind w:left="-8" w:right="100" w:firstLine="464"/>
        <w:spacing w:after="0" w:line="257" w:lineRule="auto"/>
        <w:tabs>
          <w:tab w:leader="none" w:pos="793" w:val="left"/>
        </w:tabs>
        <w:numPr>
          <w:ilvl w:val="1"/>
          <w:numId w:val="566"/>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80" w:lineRule="exact"/>
        <w:rPr>
          <w:rFonts w:ascii="Arial" w:cs="Arial" w:eastAsia="Arial" w:hAnsi="Arial"/>
          <w:sz w:val="18"/>
          <w:szCs w:val="18"/>
          <w:color w:val="auto"/>
        </w:rPr>
      </w:pPr>
    </w:p>
    <w:p>
      <w:pPr>
        <w:ind w:left="-8" w:firstLine="464"/>
        <w:spacing w:after="0" w:line="277" w:lineRule="auto"/>
        <w:tabs>
          <w:tab w:leader="none" w:pos="793" w:val="left"/>
        </w:tabs>
        <w:numPr>
          <w:ilvl w:val="1"/>
          <w:numId w:val="566"/>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ectPr>
          <w:pgSz w:w="11900" w:h="16838" w:orient="portrait"/>
          <w:cols w:equalWidth="0" w:num="1">
            <w:col w:w="11372"/>
          </w:cols>
          <w:pgMar w:left="248" w:top="274" w:right="279" w:bottom="1440" w:gutter="0" w:footer="0" w:header="0"/>
        </w:sectPr>
      </w:pPr>
    </w:p>
    <w:bookmarkStart w:id="340" w:name="page341"/>
    <w:bookmarkEnd w:id="340"/>
    <w:p>
      <w:pPr>
        <w:ind w:left="-464" w:firstLine="464"/>
        <w:spacing w:after="0" w:line="264" w:lineRule="auto"/>
        <w:tabs>
          <w:tab w:leader="none" w:pos="337" w:val="left"/>
        </w:tabs>
        <w:numPr>
          <w:ilvl w:val="0"/>
          <w:numId w:val="5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73" w:lineRule="exact"/>
        <w:rPr>
          <w:rFonts w:ascii="Arial" w:cs="Arial" w:eastAsia="Arial" w:hAnsi="Arial"/>
          <w:sz w:val="18"/>
          <w:szCs w:val="18"/>
          <w:color w:val="auto"/>
        </w:rPr>
      </w:pPr>
    </w:p>
    <w:p>
      <w:pPr>
        <w:jc w:val="both"/>
        <w:ind w:left="-464" w:right="20" w:firstLine="464"/>
        <w:spacing w:after="0" w:line="286" w:lineRule="auto"/>
        <w:tabs>
          <w:tab w:leader="none" w:pos="337" w:val="left"/>
        </w:tabs>
        <w:numPr>
          <w:ilvl w:val="0"/>
          <w:numId w:val="567"/>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Ay1ton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0956"/>
          </w:cols>
          <w:pgMar w:left="704" w:top="274" w:right="239" w:bottom="1440" w:gutter="0" w:footer="0" w:header="0"/>
        </w:sectPr>
      </w:pPr>
    </w:p>
    <w:bookmarkStart w:id="341" w:name="page342"/>
    <w:bookmarkEnd w:id="341"/>
    <w:tbl>
      <w:tblPr>
        <w:tblLayout w:type="fixed"/>
        <w:tblInd w:w="1832"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2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w w:val="99"/>
              </w:rPr>
              <w:t>SCHEDULE B</w:t>
            </w:r>
          </w:p>
        </w:tc>
      </w:tr>
      <w:tr>
        <w:trPr>
          <w:trHeight w:val="234"/>
        </w:trPr>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42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w w:val="97"/>
              </w:rPr>
              <w:t>FEES</w:t>
            </w:r>
          </w:p>
        </w:tc>
      </w:tr>
      <w:tr>
        <w:trPr>
          <w:trHeight w:val="392"/>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5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 xml:space="preserve">Daily Fee in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5"/>
              </w:rPr>
              <w:t>Alexandros</w:t>
            </w:r>
          </w:p>
        </w:tc>
        <w:tc>
          <w:tcPr>
            <w:tcW w:w="1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II</w:t>
            </w:r>
          </w:p>
        </w:tc>
        <w:tc>
          <w:tcPr>
            <w:tcW w:w="4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Overseas Sifnos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Overseas Kimolos</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52" w:hanging="452"/>
        <w:spacing w:after="0"/>
        <w:tabs>
          <w:tab w:leader="none" w:pos="452" w:val="left"/>
        </w:tabs>
        <w:numPr>
          <w:ilvl w:val="0"/>
          <w:numId w:val="568"/>
        </w:numPr>
        <w:rPr>
          <w:rFonts w:ascii="Arial" w:cs="Arial" w:eastAsia="Arial" w:hAnsi="Arial"/>
          <w:sz w:val="18"/>
          <w:szCs w:val="18"/>
          <w:color w:val="auto"/>
        </w:rPr>
      </w:pPr>
      <w:r>
        <w:rPr>
          <w:rFonts w:ascii="Arial" w:cs="Arial" w:eastAsia="Arial" w:hAnsi="Arial"/>
          <w:sz w:val="18"/>
          <w:szCs w:val="18"/>
          <w:color w:val="auto"/>
        </w:rPr>
        <w:t>subject to continuation of the Vessel’s charter</w:t>
      </w:r>
    </w:p>
    <w:p>
      <w:pPr>
        <w:sectPr>
          <w:pgSz w:w="11900" w:h="16838" w:orient="portrait"/>
          <w:cols w:equalWidth="0" w:num="1">
            <w:col w:w="10211"/>
          </w:cols>
          <w:pgMar w:left="248" w:top="270" w:right="1440" w:bottom="1440" w:gutter="0" w:footer="0" w:header="0"/>
        </w:sectPr>
      </w:pPr>
    </w:p>
    <w:bookmarkStart w:id="342" w:name="page343"/>
    <w:bookmarkEnd w:id="3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EXTRAORDINARY FEES AND COSTS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arc “extraordinary”, which shall consist of the following:</w:t>
      </w:r>
    </w:p>
    <w:p>
      <w:pPr>
        <w:spacing w:after="0" w:line="62" w:lineRule="exact"/>
        <w:rPr>
          <w:sz w:val="20"/>
          <w:szCs w:val="20"/>
          <w:color w:val="auto"/>
        </w:rPr>
      </w:pPr>
    </w:p>
    <w:p>
      <w:pPr>
        <w:ind w:right="120" w:firstLine="464"/>
        <w:spacing w:after="0" w:line="293" w:lineRule="auto"/>
        <w:tabs>
          <w:tab w:leader="none" w:pos="711" w:val="left"/>
        </w:tabs>
        <w:numPr>
          <w:ilvl w:val="0"/>
          <w:numId w:val="569"/>
        </w:numPr>
        <w:rPr>
          <w:rFonts w:ascii="Arial" w:cs="Arial" w:eastAsia="Arial" w:hAnsi="Arial"/>
          <w:sz w:val="16"/>
          <w:szCs w:val="16"/>
          <w:color w:val="auto"/>
        </w:rPr>
      </w:pPr>
      <w:r>
        <w:rPr>
          <w:rFonts w:ascii="Arial" w:cs="Arial" w:eastAsia="Arial" w:hAnsi="Arial"/>
          <w:sz w:val="16"/>
          <w:szCs w:val="16"/>
          <w:color w:val="auto"/>
        </w:rPr>
        <w:t>repairs, refurbishment or modifications, including those not covered by the guarantee of the shipbuilder or by the insurance covering the Vessels, resulting from maritime accidents, co11isions, other accidental damage or unforeseen events (except to the extent that such accidents, collisions, damage or events are due to the fraud, gross negligence or willful misconduct of CSM, its employees or its agents, unless and to the extent otherwise covered by insurance). CSM shall be entitled to receive additional remuneration for time (charged at the rate ofUS$750 per man per day of8 hours) for any time that the personnel of CSM will spend on attendance on any Vessel in connection with matters set out this subsection (I). In addition CLP will pay any reasonable travel and accommodation expenses of the CSM personnel incurred in connection with such additional time spent.</w:t>
      </w:r>
    </w:p>
    <w:p>
      <w:pPr>
        <w:spacing w:after="0" w:line="56" w:lineRule="exact"/>
        <w:rPr>
          <w:rFonts w:ascii="Arial" w:cs="Arial" w:eastAsia="Arial" w:hAnsi="Arial"/>
          <w:sz w:val="16"/>
          <w:szCs w:val="16"/>
          <w:color w:val="auto"/>
        </w:rPr>
      </w:pPr>
    </w:p>
    <w:p>
      <w:pPr>
        <w:ind w:right="260" w:firstLine="464"/>
        <w:spacing w:after="0" w:line="264" w:lineRule="auto"/>
        <w:tabs>
          <w:tab w:leader="none" w:pos="71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73"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62" w:lineRule="exact"/>
        <w:rPr>
          <w:rFonts w:ascii="Arial" w:cs="Arial" w:eastAsia="Arial" w:hAnsi="Arial"/>
          <w:sz w:val="18"/>
          <w:szCs w:val="18"/>
          <w:color w:val="auto"/>
        </w:rPr>
      </w:pPr>
    </w:p>
    <w:p>
      <w:pPr>
        <w:ind w:firstLine="464"/>
        <w:spacing w:after="0" w:line="264" w:lineRule="auto"/>
        <w:tabs>
          <w:tab w:leader="none" w:pos="71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73"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CLP shall pay any significant increase in insurance premiums which are due to factors such as “acts of God” outside of the control of CSM.</w:t>
      </w:r>
    </w:p>
    <w:p>
      <w:pPr>
        <w:spacing w:after="0" w:line="128" w:lineRule="exact"/>
        <w:rPr>
          <w:rFonts w:ascii="Arial" w:cs="Arial" w:eastAsia="Arial" w:hAnsi="Arial"/>
          <w:sz w:val="17"/>
          <w:szCs w:val="17"/>
          <w:color w:val="auto"/>
        </w:rPr>
      </w:pPr>
    </w:p>
    <w:p>
      <w:pPr>
        <w:ind w:left="720" w:hanging="256"/>
        <w:spacing w:after="0"/>
        <w:tabs>
          <w:tab w:leader="none" w:pos="72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pacing w:after="0" w:line="117"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CLP shall pay for any expenses incurred in connection with the sale or acquisition of a Vessel, such as in connection with inspections and technical assistance.</w:t>
      </w:r>
    </w:p>
    <w:p>
      <w:pPr>
        <w:spacing w:after="0" w:line="62" w:lineRule="exact"/>
        <w:rPr>
          <w:rFonts w:ascii="Arial" w:cs="Arial" w:eastAsia="Arial" w:hAnsi="Arial"/>
          <w:sz w:val="18"/>
          <w:szCs w:val="18"/>
          <w:color w:val="auto"/>
        </w:rPr>
      </w:pPr>
    </w:p>
    <w:p>
      <w:pPr>
        <w:ind w:right="60" w:firstLine="464"/>
        <w:spacing w:after="0" w:line="277" w:lineRule="auto"/>
        <w:tabs>
          <w:tab w:leader="none" w:pos="80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1380"/>
          </w:cols>
          <w:pgMar w:left="240" w:top="269" w:right="279" w:bottom="1440" w:gutter="0" w:footer="0" w:header="0"/>
        </w:sectPr>
      </w:pPr>
    </w:p>
    <w:bookmarkStart w:id="343" w:name="page344"/>
    <w:bookmarkEnd w:id="343"/>
    <w:tbl>
      <w:tblPr>
        <w:tblLayout w:type="fixed"/>
        <w:tblInd w:w="183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80" w:type="dxa"/>
            <w:vAlign w:val="bottom"/>
            <w:gridSpan w:val="2"/>
          </w:tcPr>
          <w:p>
            <w:pPr>
              <w:jc w:val="center"/>
              <w:ind w:right="2002"/>
              <w:spacing w:after="0"/>
              <w:rPr>
                <w:sz w:val="20"/>
                <w:szCs w:val="20"/>
                <w:color w:val="auto"/>
              </w:rPr>
            </w:pPr>
            <w:r>
              <w:rPr>
                <w:rFonts w:ascii="Arial" w:cs="Arial" w:eastAsia="Arial" w:hAnsi="Arial"/>
                <w:sz w:val="18"/>
                <w:szCs w:val="18"/>
                <w:b w:val="1"/>
                <w:bCs w:val="1"/>
                <w:color w:val="auto"/>
                <w:w w:val="99"/>
              </w:rPr>
              <w:t>SCHEDULE D</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80" w:type="dxa"/>
            <w:vAlign w:val="bottom"/>
            <w:gridSpan w:val="2"/>
          </w:tcPr>
          <w:p>
            <w:pPr>
              <w:jc w:val="center"/>
              <w:ind w:right="2022"/>
              <w:spacing w:after="0"/>
              <w:rPr>
                <w:sz w:val="20"/>
                <w:szCs w:val="20"/>
                <w:color w:val="auto"/>
              </w:rPr>
            </w:pPr>
            <w:r>
              <w:rPr>
                <w:rFonts w:ascii="Arial" w:cs="Arial" w:eastAsia="Arial" w:hAnsi="Arial"/>
                <w:sz w:val="18"/>
                <w:szCs w:val="18"/>
                <w:b w:val="1"/>
                <w:bCs w:val="1"/>
                <w:color w:val="auto"/>
              </w:rPr>
              <w:t>DATE OF TERMINATION</w:t>
            </w:r>
          </w:p>
        </w:tc>
      </w:tr>
      <w:tr>
        <w:trPr>
          <w:trHeight w:val="36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r>
      <w:tr>
        <w:trPr>
          <w:trHeight w:val="185"/>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212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6"/>
              </w:rPr>
              <w:t>Termination Date</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Alexandros</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II</w:t>
            </w:r>
          </w:p>
        </w:tc>
        <w:tc>
          <w:tcPr>
            <w:tcW w:w="212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December 2017–March 2018</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Overseas Sifnos</w:t>
            </w:r>
          </w:p>
        </w:tc>
        <w:tc>
          <w:tcPr>
            <w:tcW w:w="5680" w:type="dxa"/>
            <w:vAlign w:val="bottom"/>
            <w:gridSpan w:val="2"/>
          </w:tcPr>
          <w:p>
            <w:pPr>
              <w:ind w:left="2100"/>
              <w:spacing w:after="0"/>
              <w:rPr>
                <w:sz w:val="20"/>
                <w:szCs w:val="20"/>
                <w:color w:val="auto"/>
              </w:rPr>
            </w:pPr>
            <w:r>
              <w:rPr>
                <w:rFonts w:ascii="Arial" w:cs="Arial" w:eastAsia="Arial" w:hAnsi="Arial"/>
                <w:sz w:val="18"/>
                <w:szCs w:val="18"/>
                <w:color w:val="auto"/>
              </w:rPr>
              <w:t>March–June 2018</w:t>
            </w:r>
          </w:p>
        </w:tc>
      </w:tr>
      <w:tr>
        <w:trPr>
          <w:trHeight w:val="230"/>
        </w:trPr>
        <w:tc>
          <w:tcPr>
            <w:tcW w:w="2080" w:type="dxa"/>
            <w:vAlign w:val="bottom"/>
            <w:gridSpan w:val="3"/>
          </w:tcPr>
          <w:p>
            <w:pPr>
              <w:spacing w:after="0"/>
              <w:rPr>
                <w:sz w:val="20"/>
                <w:szCs w:val="20"/>
                <w:color w:val="auto"/>
              </w:rPr>
            </w:pPr>
            <w:r>
              <w:rPr>
                <w:rFonts w:ascii="Arial" w:cs="Arial" w:eastAsia="Arial" w:hAnsi="Arial"/>
                <w:sz w:val="18"/>
                <w:szCs w:val="18"/>
                <w:color w:val="auto"/>
              </w:rPr>
              <w:t>Overseas Komolos</w:t>
            </w:r>
          </w:p>
        </w:tc>
        <w:tc>
          <w:tcPr>
            <w:tcW w:w="5680" w:type="dxa"/>
            <w:vAlign w:val="bottom"/>
            <w:gridSpan w:val="2"/>
          </w:tcPr>
          <w:p>
            <w:pPr>
              <w:ind w:left="2100"/>
              <w:spacing w:after="0"/>
              <w:rPr>
                <w:sz w:val="20"/>
                <w:szCs w:val="20"/>
                <w:color w:val="auto"/>
              </w:rPr>
            </w:pPr>
            <w:r>
              <w:rPr>
                <w:rFonts w:ascii="Arial" w:cs="Arial" w:eastAsia="Arial" w:hAnsi="Arial"/>
                <w:sz w:val="18"/>
                <w:szCs w:val="18"/>
                <w:color w:val="auto"/>
              </w:rPr>
              <w:t>May–August 2018</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52" w:hanging="452"/>
        <w:spacing w:after="0"/>
        <w:tabs>
          <w:tab w:leader="none" w:pos="45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subject to continuation of the Vessel’s charter</w:t>
      </w:r>
    </w:p>
    <w:p>
      <w:pPr>
        <w:sectPr>
          <w:pgSz w:w="11900" w:h="16838" w:orient="portrait"/>
          <w:cols w:equalWidth="0" w:num="1">
            <w:col w:w="10211"/>
          </w:cols>
          <w:pgMar w:left="248" w:top="269" w:right="1440"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4.31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FLOATING RATE MANAGEMENT AGREEMENT</w:t>
      </w:r>
    </w:p>
    <w:p>
      <w:pPr>
        <w:spacing w:after="0" w:line="229"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AMENDMENT NO. 30 made effective the 17th day of January 2018, to the Floating Rate Management Agreement dated the 10th of June 2011 (the “</w:t>
      </w:r>
      <w:r>
        <w:rPr>
          <w:rFonts w:ascii="Arial" w:cs="Arial" w:eastAsia="Arial" w:hAnsi="Arial"/>
          <w:sz w:val="18"/>
          <w:szCs w:val="18"/>
          <w:b w:val="1"/>
          <w:bCs w:val="1"/>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b w:val="1"/>
          <w:bCs w:val="1"/>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b w:val="1"/>
          <w:bCs w:val="1"/>
          <w:color w:val="auto"/>
        </w:rPr>
        <w:t>CSM</w:t>
      </w:r>
      <w:r>
        <w:rPr>
          <w:rFonts w:ascii="Arial" w:cs="Arial" w:eastAsia="Arial" w:hAnsi="Arial"/>
          <w:sz w:val="18"/>
          <w:szCs w:val="18"/>
          <w:color w:val="auto"/>
        </w:rPr>
        <w: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35" w:lineRule="exact"/>
        <w:rPr>
          <w:sz w:val="20"/>
          <w:szCs w:val="20"/>
          <w:color w:val="auto"/>
        </w:rPr>
      </w:pPr>
    </w:p>
    <w:p>
      <w:pPr>
        <w:ind w:left="1480" w:hanging="567"/>
        <w:spacing w:after="0"/>
        <w:tabs>
          <w:tab w:leader="none" w:pos="14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166"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agreements, provisions and covenants herein contained, the patties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on the terms and subject to the conditions set forth herein, as follows:</w:t>
      </w:r>
    </w:p>
    <w:p>
      <w:pPr>
        <w:spacing w:after="0" w:line="166"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but not defined herein shall have the meanings assigned to such terms in the Floating Rate Management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Schedule “B” of the Floating Rate Management Agreement is hereby amended to read in its entirety as follows:</w:t>
      </w:r>
    </w:p>
    <w:p>
      <w:pPr>
        <w:spacing w:after="0" w:line="200" w:lineRule="exact"/>
        <w:rPr>
          <w:sz w:val="20"/>
          <w:szCs w:val="20"/>
          <w:color w:val="auto"/>
        </w:rPr>
      </w:pPr>
    </w:p>
    <w:p>
      <w:pPr>
        <w:spacing w:after="0" w:line="23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960" w:type="dxa"/>
            <w:vAlign w:val="bottom"/>
            <w:gridSpan w:val="2"/>
          </w:tcPr>
          <w:p>
            <w:pPr>
              <w:jc w:val="center"/>
              <w:ind w:right="1717"/>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60" w:type="dxa"/>
            <w:vAlign w:val="bottom"/>
            <w:gridSpan w:val="2"/>
          </w:tcPr>
          <w:p>
            <w:pPr>
              <w:jc w:val="center"/>
              <w:ind w:right="1737"/>
              <w:spacing w:after="0"/>
              <w:rPr>
                <w:sz w:val="20"/>
                <w:szCs w:val="20"/>
                <w:color w:val="auto"/>
              </w:rPr>
            </w:pPr>
            <w:r>
              <w:rPr>
                <w:rFonts w:ascii="Arial" w:cs="Arial" w:eastAsia="Arial" w:hAnsi="Arial"/>
                <w:sz w:val="18"/>
                <w:szCs w:val="18"/>
                <w:b w:val="1"/>
                <w:bCs w:val="1"/>
                <w:color w:val="auto"/>
              </w:rPr>
              <w:t>VESSELS AND DATE OF TERMINATION</w:t>
            </w:r>
          </w:p>
        </w:tc>
        <w:tc>
          <w:tcPr>
            <w:tcW w:w="0" w:type="dxa"/>
            <w:vAlign w:val="bottom"/>
          </w:tcPr>
          <w:p>
            <w:pPr>
              <w:spacing w:after="0"/>
              <w:rPr>
                <w:sz w:val="1"/>
                <w:szCs w:val="1"/>
                <w:color w:val="auto"/>
              </w:rPr>
            </w:pPr>
          </w:p>
        </w:tc>
      </w:tr>
      <w:tr>
        <w:trPr>
          <w:trHeight w:val="369"/>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47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71"/>
        </w:trPr>
        <w:tc>
          <w:tcPr>
            <w:tcW w:w="1800" w:type="dxa"/>
            <w:vAlign w:val="bottom"/>
            <w:gridSpan w:val="3"/>
            <w:vMerge w:val="continue"/>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7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Cape Agamemnon</w:t>
            </w:r>
          </w:p>
        </w:tc>
        <w:tc>
          <w:tcPr>
            <w:tcW w:w="4700" w:type="dxa"/>
            <w:vAlign w:val="bottom"/>
          </w:tcPr>
          <w:p>
            <w:pPr>
              <w:spacing w:after="0"/>
              <w:rPr>
                <w:sz w:val="16"/>
                <w:szCs w:val="16"/>
                <w:color w:val="auto"/>
              </w:rPr>
            </w:pPr>
          </w:p>
        </w:tc>
        <w:tc>
          <w:tcPr>
            <w:tcW w:w="1260" w:type="dxa"/>
            <w:vAlign w:val="bottom"/>
          </w:tcPr>
          <w:p>
            <w:pPr>
              <w:jc w:val="center"/>
              <w:spacing w:after="0" w:line="191" w:lineRule="exact"/>
              <w:rPr>
                <w:sz w:val="20"/>
                <w:szCs w:val="20"/>
                <w:color w:val="auto"/>
              </w:rPr>
            </w:pPr>
            <w:r>
              <w:rPr>
                <w:rFonts w:ascii="Arial" w:cs="Arial" w:eastAsia="Arial" w:hAnsi="Arial"/>
                <w:sz w:val="18"/>
                <w:szCs w:val="18"/>
                <w:color w:val="auto"/>
                <w:w w:val="89"/>
              </w:rPr>
              <w:t>June 202 l</w:t>
            </w: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Arionas</w:t>
            </w:r>
          </w:p>
        </w:tc>
        <w:tc>
          <w:tcPr>
            <w:tcW w:w="47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August 202 l</w:t>
            </w:r>
          </w:p>
        </w:tc>
        <w:tc>
          <w:tcPr>
            <w:tcW w:w="0" w:type="dxa"/>
            <w:vAlign w:val="bottom"/>
          </w:tcPr>
          <w:p>
            <w:pPr>
              <w:spacing w:after="0"/>
              <w:rPr>
                <w:sz w:val="1"/>
                <w:szCs w:val="1"/>
                <w:color w:val="auto"/>
              </w:rPr>
            </w:pPr>
          </w:p>
        </w:tc>
      </w:tr>
      <w:tr>
        <w:trPr>
          <w:trHeight w:val="234"/>
        </w:trPr>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Agisilaos</w:t>
            </w:r>
          </w:p>
        </w:tc>
        <w:tc>
          <w:tcPr>
            <w:tcW w:w="47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December 2021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5" w:name="page346"/>
    <w:bookmarkEnd w:id="3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71"/>
        </w:trPr>
        <w:tc>
          <w:tcPr>
            <w:tcW w:w="5800" w:type="dxa"/>
            <w:vAlign w:val="bottom"/>
            <w:gridSpan w:val="3"/>
            <w:vMerge w:val="continue"/>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Avax</w:t>
            </w:r>
          </w:p>
        </w:tc>
        <w:tc>
          <w:tcPr>
            <w:tcW w:w="5040" w:type="dxa"/>
            <w:vAlign w:val="bottom"/>
          </w:tcPr>
          <w:p>
            <w:pPr>
              <w:spacing w:after="0"/>
              <w:rPr>
                <w:sz w:val="16"/>
                <w:szCs w:val="16"/>
                <w:color w:val="auto"/>
              </w:rPr>
            </w:pPr>
          </w:p>
        </w:tc>
        <w:tc>
          <w:tcPr>
            <w:tcW w:w="1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6"/>
              </w:rPr>
              <w:t>April 2022</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Axios</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August 2022</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September 2022</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Aristotelis</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November 2018</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Agamemnon</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Archimidis</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Anemos I</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Hyundai Premium</w:t>
            </w:r>
          </w:p>
        </w:tc>
        <w:tc>
          <w:tcPr>
            <w:tcW w:w="19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Hyundai Paramount</w:t>
            </w:r>
          </w:p>
        </w:tc>
        <w:tc>
          <w:tcPr>
            <w:tcW w:w="19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Hyundai Platinum</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August-September 2018</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Hyundai Privilege</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August-September 2018</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Huyndai Prestige</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August-September 2018</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Assos</w:t>
            </w:r>
          </w:p>
        </w:tc>
        <w:tc>
          <w:tcPr>
            <w:tcW w:w="19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Atrotos</w:t>
            </w:r>
          </w:p>
        </w:tc>
        <w:tc>
          <w:tcPr>
            <w:tcW w:w="19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Ayrton II</w:t>
            </w:r>
          </w:p>
        </w:tc>
        <w:tc>
          <w:tcPr>
            <w:tcW w:w="19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Amore Mio II</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Active</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March 2020</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CMA CGM Amazon</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Amadeus</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34"/>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CMA CGM Uruguay</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September 2020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53" w:right="1440" w:bottom="1440" w:gutter="0" w:footer="0" w:header="0"/>
        </w:sectPr>
      </w:pPr>
    </w:p>
    <w:bookmarkStart w:id="346" w:name="page347"/>
    <w:bookmarkEnd w:id="3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16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71"/>
        </w:trPr>
        <w:tc>
          <w:tcPr>
            <w:tcW w:w="6440" w:type="dxa"/>
            <w:vAlign w:val="bottom"/>
            <w:gridSpan w:val="3"/>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85"/>
              </w:rPr>
              <w:t>Alkiviadis</w:t>
            </w:r>
          </w:p>
        </w:tc>
        <w:tc>
          <w:tcPr>
            <w:tcW w:w="568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October 2020</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CMA CGM Magdalena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February 2021</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Atlantas II</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September 2021</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Amor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October 2021</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Aktoras</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March 2022</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Aiolos</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March 2022</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Alexandros II</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234"/>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Aristaios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January 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This Amendment shall become effective as of 17th January 2018 (each the “</w:t>
      </w:r>
      <w:r>
        <w:rPr>
          <w:rFonts w:ascii="Arial" w:cs="Arial" w:eastAsia="Arial" w:hAnsi="Arial"/>
          <w:sz w:val="16"/>
          <w:szCs w:val="16"/>
          <w:b w:val="1"/>
          <w:bCs w:val="1"/>
          <w:color w:val="auto"/>
        </w:rPr>
        <w:t>Amendment Effective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11"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one or more signed counterparts, facsimile or otherwise, which shall together form one instrument.</w:t>
      </w:r>
    </w:p>
    <w:p>
      <w:pPr>
        <w:sectPr>
          <w:pgSz w:w="11900" w:h="16838" w:orient="portrait"/>
          <w:cols w:equalWidth="0" w:num="1">
            <w:col w:w="11400"/>
          </w:cols>
          <w:pgMar w:left="240" w:top="253" w:right="259" w:bottom="1440" w:gutter="0" w:footer="0" w:header="0"/>
        </w:sectPr>
      </w:pPr>
    </w:p>
    <w:bookmarkStart w:id="347" w:name="page348"/>
    <w:bookmarkEnd w:id="347"/>
    <w:p>
      <w:pPr>
        <w:ind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Amendment this 17th day of January 2018 by their duly authorized signatories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on the date first above written.</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CAPITAL PRODUCT PARTNERS L.P. BY ITS</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PARTNER,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Financial Officer of Capital GP L.L.C.</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CAPITAL SHIP MANAGEMENT 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Sarantos Petropouleas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Sarantos Petropouleas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Attorney-in-Fact &amp; Legal Representative</w:t>
      </w:r>
    </w:p>
    <w:p>
      <w:pPr>
        <w:sectPr>
          <w:pgSz w:w="11900" w:h="16838" w:orient="portrait"/>
          <w:cols w:equalWidth="0" w:num="1">
            <w:col w:w="11220"/>
          </w:cols>
          <w:pgMar w:left="240" w:top="269" w:right="4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4.35</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Majuro, Marshall Islands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Partnership</w:t>
      </w:r>
      <w:r>
        <w:rPr>
          <w:rFonts w:ascii="Arial" w:cs="Arial" w:eastAsia="Arial" w:hAnsi="Arial"/>
          <w:sz w:val="18"/>
          <w:szCs w:val="18"/>
          <w:color w:val="auto"/>
        </w:rPr>
        <w: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January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refer to:</w:t>
      </w:r>
    </w:p>
    <w:p>
      <w:pPr>
        <w:spacing w:after="0" w:line="113" w:lineRule="exact"/>
        <w:rPr>
          <w:sz w:val="20"/>
          <w:szCs w:val="20"/>
          <w:color w:val="auto"/>
        </w:rPr>
      </w:pPr>
    </w:p>
    <w:p>
      <w:pPr>
        <w:ind w:right="180" w:firstLine="8"/>
        <w:spacing w:after="0" w:line="266" w:lineRule="auto"/>
        <w:tabs>
          <w:tab w:leader="none" w:pos="245"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 management agreement dated March 17, 2010 as further amended (the “</w:t>
      </w:r>
      <w:r>
        <w:rPr>
          <w:rFonts w:ascii="Arial" w:cs="Arial" w:eastAsia="Arial" w:hAnsi="Arial"/>
          <w:sz w:val="18"/>
          <w:szCs w:val="18"/>
          <w:b w:val="1"/>
          <w:bCs w:val="1"/>
          <w:color w:val="auto"/>
        </w:rPr>
        <w:t>Management Agreement’</w:t>
      </w:r>
      <w:r>
        <w:rPr>
          <w:rFonts w:ascii="Arial" w:cs="Arial" w:eastAsia="Arial" w:hAnsi="Arial"/>
          <w:sz w:val="18"/>
          <w:szCs w:val="18"/>
          <w:color w:val="auto"/>
        </w:rPr>
        <w:t>) entered into by and between Crude Carriers Corp. of Marshall Islands (“</w:t>
      </w:r>
      <w:r>
        <w:rPr>
          <w:rFonts w:ascii="Arial" w:cs="Arial" w:eastAsia="Arial" w:hAnsi="Arial"/>
          <w:sz w:val="18"/>
          <w:szCs w:val="18"/>
          <w:b w:val="1"/>
          <w:bCs w:val="1"/>
          <w:color w:val="auto"/>
        </w:rPr>
        <w:t>Crude</w:t>
      </w:r>
      <w:r>
        <w:rPr>
          <w:rFonts w:ascii="Arial" w:cs="Arial" w:eastAsia="Arial" w:hAnsi="Arial"/>
          <w:sz w:val="18"/>
          <w:szCs w:val="18"/>
          <w:color w:val="auto"/>
        </w:rPr>
        <w:t>”) and Capital Ship Management Corp. of Panama (“</w:t>
      </w:r>
      <w:r>
        <w:rPr>
          <w:rFonts w:ascii="Arial" w:cs="Arial" w:eastAsia="Arial" w:hAnsi="Arial"/>
          <w:sz w:val="18"/>
          <w:szCs w:val="18"/>
          <w:b w:val="1"/>
          <w:bCs w:val="1"/>
          <w:color w:val="auto"/>
        </w:rPr>
        <w:t>CSM</w:t>
      </w:r>
      <w:r>
        <w:rPr>
          <w:rFonts w:ascii="Arial" w:cs="Arial" w:eastAsia="Arial" w:hAnsi="Arial"/>
          <w:sz w:val="18"/>
          <w:szCs w:val="18"/>
          <w:color w:val="auto"/>
        </w:rPr>
        <w:t>”), pertaining to the provision of technical and commercial management services to Crude and its owned vessels;</w:t>
      </w:r>
    </w:p>
    <w:p>
      <w:pPr>
        <w:spacing w:after="0" w:line="72" w:lineRule="exact"/>
        <w:rPr>
          <w:rFonts w:ascii="Arial" w:cs="Arial" w:eastAsia="Arial" w:hAnsi="Arial"/>
          <w:sz w:val="18"/>
          <w:szCs w:val="18"/>
          <w:color w:val="auto"/>
        </w:rPr>
      </w:pPr>
    </w:p>
    <w:p>
      <w:pPr>
        <w:ind w:left="260" w:hanging="252"/>
        <w:spacing w:after="0"/>
        <w:tabs>
          <w:tab w:leader="none" w:pos="26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acquisition of Crude and its subsidiaries by the Partnership on September 30, 2011; and</w:t>
      </w:r>
    </w:p>
    <w:p>
      <w:pPr>
        <w:spacing w:after="0" w:line="113" w:lineRule="exact"/>
        <w:rPr>
          <w:rFonts w:ascii="Arial" w:cs="Arial" w:eastAsia="Arial" w:hAnsi="Arial"/>
          <w:sz w:val="18"/>
          <w:szCs w:val="18"/>
          <w:color w:val="auto"/>
        </w:rPr>
      </w:pPr>
    </w:p>
    <w:p>
      <w:pPr>
        <w:ind w:left="260" w:hanging="252"/>
        <w:spacing w:after="0"/>
        <w:tabs>
          <w:tab w:leader="none" w:pos="26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the current operation and management under the Management Agreement of m/t MILTIADIS M II, m/t AMOUREUX, m/t AIAS (the “</w:t>
      </w:r>
      <w:r>
        <w:rPr>
          <w:rFonts w:ascii="Arial" w:cs="Arial" w:eastAsia="Arial" w:hAnsi="Arial"/>
          <w:sz w:val="17"/>
          <w:szCs w:val="17"/>
          <w:b w:val="1"/>
          <w:bCs w:val="1"/>
          <w:color w:val="auto"/>
        </w:rPr>
        <w:t>Vessels</w:t>
      </w:r>
      <w:r>
        <w:rPr>
          <w:rFonts w:ascii="Arial" w:cs="Arial" w:eastAsia="Arial" w:hAnsi="Arial"/>
          <w:sz w:val="17"/>
          <w:szCs w:val="17"/>
          <w:color w:val="auto"/>
        </w:rPr>
        <w:t>”) .</w:t>
      </w: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Terms defined and references construed in the Management Agreement have the same meaning and construction in this letter unless given a different meaning in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Management Agreement, the Partnership (through Crude) must pay to CSM the following fees:</w:t>
      </w:r>
    </w:p>
    <w:p>
      <w:pPr>
        <w:spacing w:after="0" w:line="117" w:lineRule="exact"/>
        <w:rPr>
          <w:sz w:val="20"/>
          <w:szCs w:val="20"/>
          <w:color w:val="auto"/>
        </w:rPr>
      </w:pPr>
    </w:p>
    <w:p>
      <w:pPr>
        <w:ind w:left="260" w:hanging="252"/>
        <w:spacing w:after="0"/>
        <w:tabs>
          <w:tab w:leader="none" w:pos="26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 daily technical management fee per managed vessel that is revised annually based on the United States Consumer Price Index;</w:t>
      </w:r>
    </w:p>
    <w:p>
      <w:pPr>
        <w:spacing w:after="0" w:line="117" w:lineRule="exact"/>
        <w:rPr>
          <w:rFonts w:ascii="Arial" w:cs="Arial" w:eastAsia="Arial" w:hAnsi="Arial"/>
          <w:sz w:val="18"/>
          <w:szCs w:val="18"/>
          <w:color w:val="auto"/>
        </w:rPr>
      </w:pPr>
    </w:p>
    <w:p>
      <w:pPr>
        <w:ind w:right="360" w:firstLine="8"/>
        <w:spacing w:after="0" w:line="277" w:lineRule="auto"/>
        <w:tabs>
          <w:tab w:leader="none" w:pos="25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 sale &amp; purchase fee equal to 1% of the gross purchase or sale price upon the consummation of any purchase or sale of a vessel acquired/disposed by Crude;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 commercial services fee equal to 1.25% of all gross charter revenues generated by each vessel for commercial services rendered.</w:t>
      </w:r>
    </w:p>
    <w:p>
      <w:pPr>
        <w:spacing w:after="0" w:line="22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the undersigned, do hereby agree irrevocably and unconditionally to waive (i) the sale and purchase fee equal to 1% of the gross purchase or sale price upon the consummation of any purchase or sale of the Vessels and (ii) the commercial services fee equal to 1.25% of all gross charter revenues generated by each of the Vessels for commercial services rendered, as provided in Schedule “B” to the Management Agreement (the “</w:t>
      </w:r>
      <w:r>
        <w:rPr>
          <w:rFonts w:ascii="Arial" w:cs="Arial" w:eastAsia="Arial" w:hAnsi="Arial"/>
          <w:sz w:val="16"/>
          <w:szCs w:val="16"/>
          <w:b w:val="1"/>
          <w:bCs w:val="1"/>
          <w:color w:val="auto"/>
        </w:rPr>
        <w:t>Waiver</w:t>
      </w:r>
      <w:r>
        <w:rPr>
          <w:rFonts w:ascii="Arial" w:cs="Arial" w:eastAsia="Arial" w:hAnsi="Arial"/>
          <w:sz w:val="16"/>
          <w:szCs w:val="16"/>
          <w:color w:val="auto"/>
        </w:rPr>
        <w:t>”).</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Waiver is effective as of today January 1, 2017 and only in the instance and for the purpose for which it is given. Save as expressly provided in this letter, the Management Agreement remain and shall continue in full force and effect.</w:t>
      </w:r>
    </w:p>
    <w:p>
      <w:pPr>
        <w:sectPr>
          <w:pgSz w:w="11900" w:h="16838" w:orient="portrait"/>
          <w:cols w:equalWidth="0" w:num="1">
            <w:col w:w="11420"/>
          </w:cols>
          <w:pgMar w:left="240" w:top="121" w:right="2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and any non-contractual obligations arising out of or in connection with it are governed by English law.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Any dispute arising out of or in connection with this letter shall be settled in accordance with Section 15 of the Management Agreement, as if the same were set out herein in full,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receipt of this letter and your acceptance of its terms by signing and returning the enclosed copy.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Nikolaos Syntychakis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Nikolaos Syntychakis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SHIP MANAGEMENT CORP.</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hereby acknowledge receipt of the above letter and agree to the terms thereof.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Gerasimos Kalogiratos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ectPr>
          <w:pgSz w:w="11900" w:h="16838" w:orient="portrait"/>
          <w:cols w:equalWidth="0" w:num="1">
            <w:col w:w="11280"/>
          </w:cols>
          <w:pgMar w:left="240" w:top="274" w:right="37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4.38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 AGREEMENT</w:t>
      </w:r>
    </w:p>
    <w:p>
      <w:pPr>
        <w:spacing w:after="0" w:line="225"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dated 3</w:t>
      </w:r>
      <w:r>
        <w:rPr>
          <w:rFonts w:ascii="Arial" w:cs="Arial" w:eastAsia="Arial" w:hAnsi="Arial"/>
          <w:sz w:val="15"/>
          <w:szCs w:val="15"/>
          <w:color w:val="auto"/>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of April 2007; by and between CAPITAL SHIP MANAGEMENT CORP., a company duly organized and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b w:val="1"/>
          <w:bCs w:val="1"/>
          <w:color w:val="auto"/>
        </w:rPr>
        <w:t>CSM</w:t>
      </w:r>
      <w:r>
        <w:rPr>
          <w:rFonts w:ascii="Arial" w:cs="Arial" w:eastAsia="Arial" w:hAnsi="Arial"/>
          <w:sz w:val="18"/>
          <w:szCs w:val="18"/>
          <w:color w:val="auto"/>
        </w:rPr>
        <w:t>”) and CAPITAL PRODUCT PARTNERS L.P., a limited partnership duly organized and existing under the laws of the Marshall Islands(“</w:t>
      </w:r>
      <w:r>
        <w:rPr>
          <w:rFonts w:ascii="Arial" w:cs="Arial" w:eastAsia="Arial" w:hAnsi="Arial"/>
          <w:sz w:val="18"/>
          <w:szCs w:val="18"/>
          <w:b w:val="1"/>
          <w:bCs w:val="1"/>
          <w:color w:val="auto"/>
        </w:rPr>
        <w:t>CPLP</w:t>
      </w:r>
      <w:r>
        <w:rPr>
          <w:rFonts w:ascii="Arial" w:cs="Arial" w:eastAsia="Arial" w:hAnsi="Arial"/>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35" w:lineRule="exact"/>
        <w:rPr>
          <w:sz w:val="20"/>
          <w:szCs w:val="20"/>
          <w:color w:val="auto"/>
        </w:rPr>
      </w:pPr>
    </w:p>
    <w:p>
      <w:pPr>
        <w:ind w:left="900" w:hanging="446"/>
        <w:spacing w:after="0"/>
        <w:tabs>
          <w:tab w:leader="none" w:pos="90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CPLP, whose units will be listed and will trade on the Nasdaq Global Markel, owns: vessels and requires certain administrative support services.</w:t>
      </w:r>
    </w:p>
    <w:p>
      <w:pPr>
        <w:spacing w:after="0" w:line="153"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CPLP has entered into an Administrative Services Agreement dated April 3, 2007 with CSM for the provision of such administrative support services, including for the provision of relevant IT services.</w:t>
      </w:r>
    </w:p>
    <w:p>
      <w:pPr>
        <w:spacing w:after="0" w:line="71" w:lineRule="exact"/>
        <w:rPr>
          <w:rFonts w:ascii="Arial" w:cs="Arial" w:eastAsia="Arial" w:hAnsi="Arial"/>
          <w:sz w:val="18"/>
          <w:szCs w:val="18"/>
          <w:color w:val="auto"/>
        </w:rPr>
      </w:pPr>
    </w:p>
    <w:p>
      <w:pPr>
        <w:ind w:left="900" w:right="220" w:hanging="446"/>
        <w:spacing w:after="0" w:line="261" w:lineRule="auto"/>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CPLP, as part of the general IT services required for the operations of its fleet, also specifically requires certain Information Technology (“</w:t>
      </w:r>
      <w:r>
        <w:rPr>
          <w:rFonts w:ascii="Arial" w:cs="Arial" w:eastAsia="Arial" w:hAnsi="Arial"/>
          <w:sz w:val="18"/>
          <w:szCs w:val="18"/>
          <w:b w:val="1"/>
          <w:bCs w:val="1"/>
          <w:color w:val="auto"/>
        </w:rPr>
        <w:t>IT</w:t>
      </w:r>
      <w:r>
        <w:rPr>
          <w:rFonts w:ascii="Arial" w:cs="Arial" w:eastAsia="Arial" w:hAnsi="Arial"/>
          <w:sz w:val="18"/>
          <w:szCs w:val="18"/>
          <w:color w:val="auto"/>
        </w:rPr>
        <w:t>”) Services to be provided that comply with all rules, regulations and requirements CPLP is, and will be, subject to including, the requirements of the Sarbanes-Oxley Act (“</w:t>
      </w:r>
      <w:r>
        <w:rPr>
          <w:rFonts w:ascii="Arial" w:cs="Arial" w:eastAsia="Arial" w:hAnsi="Arial"/>
          <w:sz w:val="18"/>
          <w:szCs w:val="18"/>
          <w:b w:val="1"/>
          <w:bCs w:val="1"/>
          <w:color w:val="auto"/>
        </w:rPr>
        <w:t>SOX</w:t>
      </w:r>
      <w:r>
        <w:rPr>
          <w:rFonts w:ascii="Arial" w:cs="Arial" w:eastAsia="Arial" w:hAnsi="Arial"/>
          <w:sz w:val="18"/>
          <w:szCs w:val="18"/>
          <w:color w:val="auto"/>
        </w:rPr>
        <w:t>”), and in particular section 404 of SOX, for the smooth running of its operations (cumulatively, the “</w:t>
      </w:r>
      <w:r>
        <w:rPr>
          <w:rFonts w:ascii="Arial" w:cs="Arial" w:eastAsia="Arial" w:hAnsi="Arial"/>
          <w:sz w:val="18"/>
          <w:szCs w:val="18"/>
          <w:b w:val="1"/>
          <w:bCs w:val="1"/>
          <w:color w:val="auto"/>
        </w:rPr>
        <w:t>IT</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CPLP, further to the Administrative Services Agreement and in accordance with the terms, wishes to clarify the terms under which CSM shall provide such IT Services.</w:t>
      </w:r>
    </w:p>
    <w:p>
      <w:pPr>
        <w:spacing w:after="0" w:line="166"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that, in consideration for CSM arranging for the provision of the IT Services required by CPLP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subject to the Terms and Conditions attached hereto, CPLP shall reimburse CSM the costs and expenses incurred by CSM in connection with the provision of such IT Services (the “</w:t>
      </w:r>
      <w:r>
        <w:rPr>
          <w:rFonts w:ascii="Arial" w:cs="Arial" w:eastAsia="Arial" w:hAnsi="Arial"/>
          <w:sz w:val="18"/>
          <w:szCs w:val="18"/>
          <w:b w:val="1"/>
          <w:bCs w:val="1"/>
          <w:color w:val="auto"/>
        </w:rPr>
        <w:t>Costs</w:t>
      </w:r>
      <w:r>
        <w:rPr>
          <w:rFonts w:ascii="Arial" w:cs="Arial" w:eastAsia="Arial" w:hAnsi="Arial"/>
          <w:sz w:val="18"/>
          <w:szCs w:val="18"/>
          <w:color w:val="auto"/>
        </w:rPr>
        <w:t>”) in the manner set out below.</w:t>
      </w:r>
    </w:p>
    <w:p>
      <w:pPr>
        <w:spacing w:after="0" w:line="176"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FOR THE AVOIDANCE OF DOUBT</w:t>
      </w:r>
      <w:r>
        <w:rPr>
          <w:rFonts w:ascii="Arial" w:cs="Arial" w:eastAsia="Arial" w:hAnsi="Arial"/>
          <w:sz w:val="18"/>
          <w:szCs w:val="18"/>
          <w:color w:val="auto"/>
        </w:rPr>
        <w:t>, in the case of any conflict between the terms of this Agreement and the Administrative Services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Services Agreement will govern.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executed this. Agreement by their duly authorized signatories with effect on the date first above written.</w:t>
      </w:r>
    </w:p>
    <w:p>
      <w:pPr>
        <w:sectPr>
          <w:pgSz w:w="11900" w:h="16838" w:orient="portrait"/>
          <w:cols w:equalWidth="0" w:num="1">
            <w:col w:w="11420"/>
          </w:cols>
          <w:pgMar w:left="240" w:top="121" w:right="239" w:bottom="1440" w:gutter="0" w:footer="0" w:header="0"/>
        </w:sectPr>
      </w:pPr>
    </w:p>
    <w:bookmarkStart w:id="351" w:name="page352"/>
    <w:bookmarkEnd w:id="351"/>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PRODUCT PARTNERS L.P. BY ITS</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GENERAL PARTNER, CAPITAL GP L.L.C.,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Ioannis E. Lazaridis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CEO &amp; CFO of Capital GP L.L.C.</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CAPITAL SHIP MANAGEMENT CORP.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 Syntichakis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360"/>
          </w:cols>
          <w:pgMar w:left="1440" w:top="270" w:right="109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w:t>
      </w:r>
      <w:r>
        <w:rPr>
          <w:rFonts w:ascii="Arial" w:cs="Arial" w:eastAsia="Arial" w:hAnsi="Arial"/>
          <w:sz w:val="18"/>
          <w:szCs w:val="18"/>
          <w:color w:val="auto"/>
        </w:rPr>
        <w:t>. CSM shall provide all or such portion of the IT Services, in a commercially reasonable manner, as CPLP, may from time to time direct, all under the supervision of CPLP, as represented by Capital GP L.L.C., a Marshall Islands limited liability company that is the general partner of CLP (“</w:t>
      </w:r>
      <w:r>
        <w:rPr>
          <w:rFonts w:ascii="Arial" w:cs="Arial" w:eastAsia="Arial" w:hAnsi="Arial"/>
          <w:sz w:val="18"/>
          <w:szCs w:val="18"/>
          <w:b w:val="1"/>
          <w:bCs w:val="1"/>
          <w:color w:val="auto"/>
        </w:rPr>
        <w:t>CGP</w:t>
      </w:r>
      <w:r>
        <w:rPr>
          <w:rFonts w:ascii="Arial" w:cs="Arial" w:eastAsia="Arial" w:hAnsi="Arial"/>
          <w:sz w:val="18"/>
          <w:szCs w:val="18"/>
          <w:color w:val="auto"/>
        </w:rPr>
        <w:t>”) in its capacity as the general partner of CPLP. The contact person at CSM regarding such matters shall be the head of the IT Department at any such time.</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Covenants</w:t>
      </w:r>
      <w:r>
        <w:rPr>
          <w:rFonts w:ascii="Arial" w:cs="Arial" w:eastAsia="Arial" w:hAnsi="Arial"/>
          <w:sz w:val="17"/>
          <w:szCs w:val="17"/>
          <w:color w:val="auto"/>
        </w:rPr>
        <w:t>. During the term of this Agreement CSM shall ensure that all of CPLP’s IT Systems are in compliance with all rules and regulations that CPLP is subject to, including but not limited to the requirements of SOX. CSM shall maintain all such IT systems, both the relevant hardware and software, to the highest industry standards and shall perform relevant maintenance, testing and upkeep on a regular basis.</w:t>
      </w:r>
    </w:p>
    <w:p>
      <w:pPr>
        <w:spacing w:after="0" w:line="166"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During the term of this Agreement CSM shall diligently provide or sub contract for the provision of (in accordance with the terms of this Agreement) the IT Services to CPLP as an independent contractor, and be responsible to CPLP for the due and proper performance of same.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Reimbursement of Costs and Expenses</w:t>
      </w:r>
      <w:r>
        <w:rPr>
          <w:rFonts w:ascii="Arial" w:cs="Arial" w:eastAsia="Arial" w:hAnsi="Arial"/>
          <w:sz w:val="18"/>
          <w:szCs w:val="18"/>
          <w:color w:val="auto"/>
        </w:rPr>
        <w:t>. In consideration for CSM providing the IT Services, CPLP shall reimburse CSM for its Costs in US Dollars within 30 days from the submission of an invoice by CSM, including such supporting detail as may be reasonably required to validate such amounts due. For the avoidance of doubt, the Costs reimbursable under this Agreement shall only relate to costs associated with the provision of the IT Services not previously reimbursed under the Administrative Services Agreement.</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General Relationship Between The Parties</w:t>
      </w:r>
      <w:r>
        <w:rPr>
          <w:rFonts w:ascii="Arial" w:cs="Arial" w:eastAsia="Arial" w:hAnsi="Arial"/>
          <w:sz w:val="18"/>
          <w:szCs w:val="18"/>
          <w:color w:val="auto"/>
        </w:rPr>
        <w:t>. The relationship between the parties is that of independent contractor. The parties to this Agreement do not intend, and nothing herein shall be interpreted so as, to create a partnership, joint venture, employee or agency relationship between CSM and any one or mere of CPLP, CGP or any subsidiary of CPLP.</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Indemnity</w:t>
      </w:r>
      <w:r>
        <w:rPr>
          <w:rFonts w:ascii="Arial" w:cs="Arial" w:eastAsia="Arial" w:hAnsi="Arial"/>
          <w:sz w:val="18"/>
          <w:szCs w:val="18"/>
          <w:color w:val="auto"/>
        </w:rPr>
        <w:t>. CPLP shall indemnify and hold harmless CSM and its employees and agents against all actions, proceedings, claims, demands or liabilities which may be brought against them due to this Agreement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the fraud, gross negligence or willful misconduct of CSM or its employees or agents.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 Consequential Damages</w:t>
      </w:r>
      <w:r>
        <w:rPr>
          <w:rFonts w:ascii="Arial" w:cs="Arial" w:eastAsia="Arial" w:hAnsi="Arial"/>
          <w:sz w:val="18"/>
          <w:szCs w:val="18"/>
          <w:color w:val="auto"/>
        </w:rPr>
        <w:t>. Neither CSM nor any of its affiliates shall be liable for indirect, incidental or consequential damages suffered by CPLP, or for punitive damages, with respect to any term or the subject matter of this agreement, even if informed of the possibility thereof in advance. This limitation applies to all causes of action, including, without limitation, breach of contract, breach of warranty, negligence, strict liability, fraud, misrepresentation and other torts.</w:t>
      </w:r>
    </w:p>
    <w:p>
      <w:pPr>
        <w:sectPr>
          <w:pgSz w:w="11900" w:h="16838" w:orient="portrait"/>
          <w:cols w:equalWidth="0" w:num="1">
            <w:col w:w="11420"/>
          </w:cols>
          <w:pgMar w:left="240" w:top="269" w:right="239" w:bottom="1440" w:gutter="0" w:footer="0" w:header="0"/>
        </w:sectPr>
      </w:pPr>
    </w:p>
    <w:bookmarkStart w:id="353" w:name="page354"/>
    <w:bookmarkEnd w:id="353"/>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 This Agreement shall have an initial term of five years, unless terminated by the mutual agreement of the parties or by either party hereto on not less than one hundred and twenty (120) days’ notice if:</w:t>
      </w:r>
    </w:p>
    <w:p>
      <w:pPr>
        <w:spacing w:after="0" w:line="62" w:lineRule="exact"/>
        <w:rPr>
          <w:sz w:val="20"/>
          <w:szCs w:val="20"/>
          <w:color w:val="auto"/>
        </w:rPr>
      </w:pPr>
    </w:p>
    <w:p>
      <w:pPr>
        <w:ind w:left="700" w:hanging="236"/>
        <w:spacing w:after="0"/>
        <w:tabs>
          <w:tab w:leader="none" w:pos="7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 the case of CPLP, there is a Change of Control of CSM and in the case of CSM, if there is a Change of Control of CGP or CPLP;</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CPLP;</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ind w:right="340" w:firstLine="464"/>
        <w:spacing w:after="0" w:line="308" w:lineRule="auto"/>
        <w:tabs>
          <w:tab w:leader="none" w:pos="681" w:val="left"/>
        </w:tabs>
        <w:numPr>
          <w:ilvl w:val="0"/>
          <w:numId w:val="575"/>
        </w:numPr>
        <w:rPr>
          <w:rFonts w:ascii="Arial" w:cs="Arial" w:eastAsia="Arial" w:hAnsi="Arial"/>
          <w:sz w:val="17"/>
          <w:szCs w:val="17"/>
          <w:color w:val="auto"/>
        </w:rPr>
      </w:pPr>
      <w:r>
        <w:rPr>
          <w:rFonts w:ascii="Arial" w:cs="Arial" w:eastAsia="Arial" w:hAnsi="Arial"/>
          <w:sz w:val="17"/>
          <w:szCs w:val="17"/>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38" w:lineRule="exact"/>
        <w:rPr>
          <w:rFonts w:ascii="Arial" w:cs="Arial" w:eastAsia="Arial" w:hAnsi="Arial"/>
          <w:sz w:val="17"/>
          <w:szCs w:val="17"/>
          <w:color w:val="auto"/>
        </w:rPr>
      </w:pPr>
    </w:p>
    <w:p>
      <w:pPr>
        <w:jc w:val="both"/>
        <w:ind w:right="160" w:firstLine="464"/>
        <w:spacing w:after="0" w:line="264" w:lineRule="auto"/>
        <w:tabs>
          <w:tab w:leader="none" w:pos="71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provided that</w:t>
      </w:r>
      <w:r>
        <w:rPr>
          <w:rFonts w:ascii="Arial" w:cs="Arial" w:eastAsia="Arial" w:hAnsi="Arial"/>
          <w:sz w:val="18"/>
          <w:szCs w:val="18"/>
          <w:color w:val="auto"/>
        </w:rPr>
        <w:t>, if the Administrative Services Agreement between the parties is terminated under its terms, this Agreement shall also be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w:t>
      </w:r>
    </w:p>
    <w:p>
      <w:pPr>
        <w:spacing w:after="0" w:line="16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For the purposes of this Section 8, “</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any entity, an event to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forms the entire agreement between the parties with respect to the subject matter hereof and supersedes and replaces all previous agreements, written or oral, with respect to the subject matter hereof.</w:t>
      </w:r>
    </w:p>
    <w:p>
      <w:pPr>
        <w:sectPr>
          <w:pgSz w:w="11900" w:h="16838" w:orient="portrait"/>
          <w:cols w:equalWidth="0" w:num="1">
            <w:col w:w="11380"/>
          </w:cols>
          <w:pgMar w:left="240" w:top="274" w:right="279" w:bottom="1440" w:gutter="0" w:footer="0" w:header="0"/>
        </w:sectPr>
      </w:pPr>
    </w:p>
    <w:bookmarkStart w:id="354" w:name="page355"/>
    <w:bookmarkEnd w:id="354"/>
    <w:p>
      <w:pPr>
        <w:ind w:right="6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Law And Arbitration</w:t>
      </w:r>
      <w:r>
        <w:rPr>
          <w:rFonts w:ascii="Arial" w:cs="Arial" w:eastAsia="Arial" w:hAnsi="Arial"/>
          <w:sz w:val="18"/>
          <w:szCs w:val="18"/>
          <w:color w:val="auto"/>
        </w:rPr>
        <w:t>. This Agreement shall be governed by the laws of England. Any dispute under this Agreement shall be put to arbitration in England, a jurisdiction to which the parties hereby irrevocably submit.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w:t>
      </w:r>
      <w:r>
        <w:rPr>
          <w:rFonts w:ascii="Arial" w:cs="Arial" w:eastAsia="Arial" w:hAnsi="Arial"/>
          <w:sz w:val="18"/>
          <w:szCs w:val="18"/>
          <w:color w:val="auto"/>
        </w:rPr>
        <w:t>. Notice- under this Agreement shall be given (via hand delivery or facsimile)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CPLP: 3 Iassonos Street, Piraeus, 18537 Greece, Attn: Ioannis E. Lazaridis, Fax: +30 210 428 4285.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CSM: 3 Iassonos Street, Piraeus, 18537 Greece, Attn: Head of IT Department, Fax: +30 210 428 4285.</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CSM shall not assign this Agreement to any party that is not a subsidiary or affiliate of CSM except upon written consent of CPLP. CSM may freely sub-contract or sub-license this Agreement, so long as CSM remains liable for performance of the IT Services and its obligations under this Agreement.</w:t>
      </w:r>
    </w:p>
    <w:p>
      <w:pPr>
        <w:sectPr>
          <w:pgSz w:w="11900" w:h="16838" w:orient="portrait"/>
          <w:cols w:equalWidth="0" w:num="1">
            <w:col w:w="11400"/>
          </w:cols>
          <w:pgMar w:left="240" w:top="274" w:right="25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4.39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No.1 dated 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April 2012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IT Agreement dated 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April 2007</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SHIPMANAGEMENT CORP. of Panama (the “CSM”)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PRODUCTS PARTNERS L.P. of Marshall Islands (the “CPLP”)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MUTUALLY AGREED </w:t>
      </w:r>
      <w:r>
        <w:rPr>
          <w:rFonts w:ascii="Arial" w:cs="Arial" w:eastAsia="Arial" w:hAnsi="Arial"/>
          <w:sz w:val="18"/>
          <w:szCs w:val="18"/>
          <w:color w:val="auto"/>
        </w:rPr>
        <w:t>that:</w:t>
      </w:r>
    </w:p>
    <w:p>
      <w:pPr>
        <w:spacing w:after="0" w:line="135" w:lineRule="exact"/>
        <w:rPr>
          <w:sz w:val="20"/>
          <w:szCs w:val="20"/>
          <w:color w:val="auto"/>
        </w:rPr>
      </w:pPr>
    </w:p>
    <w:p>
      <w:pPr>
        <w:ind w:left="460" w:hanging="452"/>
        <w:spacing w:after="0"/>
        <w:tabs>
          <w:tab w:leader="none" w:pos="46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the term of the said IT Agreement dated 3</w:t>
      </w:r>
      <w:r>
        <w:rPr>
          <w:rFonts w:ascii="Arial" w:cs="Arial" w:eastAsia="Arial" w:hAnsi="Arial"/>
          <w:sz w:val="14"/>
          <w:szCs w:val="14"/>
          <w:color w:val="auto"/>
        </w:rPr>
        <w:t>rd</w:t>
      </w:r>
      <w:r>
        <w:rPr>
          <w:rFonts w:ascii="Arial" w:cs="Arial" w:eastAsia="Arial" w:hAnsi="Arial"/>
          <w:sz w:val="17"/>
          <w:szCs w:val="17"/>
          <w:color w:val="auto"/>
        </w:rPr>
        <w:t xml:space="preserve"> April 2007 is renewed for another five (5) years namely from 3rd April, 2012 to 2nd April 2017.</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any relevant or applicable provision of the IT Agreement dated 3</w:t>
      </w:r>
      <w:r>
        <w:rPr>
          <w:rFonts w:ascii="Arial" w:cs="Arial" w:eastAsia="Arial" w:hAnsi="Arial"/>
          <w:sz w:val="15"/>
          <w:szCs w:val="15"/>
          <w:color w:val="auto"/>
        </w:rPr>
        <w:t>rd</w:t>
      </w:r>
      <w:r>
        <w:rPr>
          <w:rFonts w:ascii="Arial" w:cs="Arial" w:eastAsia="Arial" w:hAnsi="Arial"/>
          <w:sz w:val="18"/>
          <w:szCs w:val="18"/>
          <w:color w:val="auto"/>
        </w:rPr>
        <w:t xml:space="preserve"> April 2007 is hereby amended accordingly.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in the said IT Agreement dated 3</w:t>
      </w:r>
      <w:r>
        <w:rPr>
          <w:rFonts w:ascii="Arial" w:cs="Arial" w:eastAsia="Arial" w:hAnsi="Arial"/>
          <w:sz w:val="15"/>
          <w:szCs w:val="15"/>
          <w:color w:val="auto"/>
        </w:rPr>
        <w:t>rd</w:t>
      </w:r>
      <w:r>
        <w:rPr>
          <w:rFonts w:ascii="Arial" w:cs="Arial" w:eastAsia="Arial" w:hAnsi="Arial"/>
          <w:sz w:val="18"/>
          <w:szCs w:val="18"/>
          <w:color w:val="auto"/>
        </w:rPr>
        <w:t xml:space="preserve"> April 2007 shall remain unaltered and in full force.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SHIPMANAGEMENT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 CAPITAL GP L.L.C.,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/s/ Nikolaos Syntichakis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PRODUCTS PARTNERS L.P.</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/s/ Ioannis E. Lazaridis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t>Exhibit 4.40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NO. 2</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this 2</w:t>
      </w:r>
      <w:r>
        <w:rPr>
          <w:rFonts w:ascii="Arial" w:cs="Arial" w:eastAsia="Arial" w:hAnsi="Arial"/>
          <w:sz w:val="15"/>
          <w:szCs w:val="15"/>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2017 by and between CAPITAL SHIP MANAGEMENT CORP. of Panama (the “</w:t>
      </w:r>
      <w:r>
        <w:rPr>
          <w:rFonts w:ascii="Arial" w:cs="Arial" w:eastAsia="Arial" w:hAnsi="Arial"/>
          <w:sz w:val="18"/>
          <w:szCs w:val="18"/>
          <w:b w:val="1"/>
          <w:bCs w:val="1"/>
          <w:color w:val="auto"/>
        </w:rPr>
        <w:t>CSM</w:t>
      </w:r>
      <w:r>
        <w:rPr>
          <w:rFonts w:ascii="Arial" w:cs="Arial" w:eastAsia="Arial" w:hAnsi="Arial"/>
          <w:sz w:val="18"/>
          <w:szCs w:val="18"/>
          <w:color w:val="auto"/>
        </w:rPr>
        <w:t>”) and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PARTNERS L.P. of Marshall Islands (the “</w:t>
      </w:r>
      <w:r>
        <w:rPr>
          <w:rFonts w:ascii="Arial" w:cs="Arial" w:eastAsia="Arial" w:hAnsi="Arial"/>
          <w:sz w:val="18"/>
          <w:szCs w:val="18"/>
          <w:b w:val="1"/>
          <w:bCs w:val="1"/>
          <w:color w:val="auto"/>
        </w:rPr>
        <w:t>CPLP</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CPLP, whose units are listed and trade on the Nasdaq Global Select Market, owns vessels and requires certain Information Technology (</w:t>
      </w:r>
      <w:r>
        <w:rPr>
          <w:rFonts w:ascii="Arial" w:cs="Arial" w:eastAsia="Arial" w:hAnsi="Arial"/>
          <w:sz w:val="16"/>
          <w:szCs w:val="16"/>
          <w:b w:val="1"/>
          <w:bCs w:val="1"/>
          <w:color w:val="auto"/>
        </w:rPr>
        <w:t>IT</w:t>
      </w:r>
      <w:r>
        <w:rPr>
          <w:rFonts w:ascii="Arial" w:cs="Arial" w:eastAsia="Arial" w:hAnsi="Arial"/>
          <w:sz w:val="16"/>
          <w:szCs w:val="16"/>
          <w:color w:val="auto"/>
        </w:rPr>
        <w:t>) Services;</w:t>
      </w:r>
    </w:p>
    <w:p>
      <w:pPr>
        <w:spacing w:after="0" w:line="153" w:lineRule="exact"/>
        <w:rPr>
          <w:rFonts w:ascii="Arial" w:cs="Arial" w:eastAsia="Arial" w:hAnsi="Arial"/>
          <w:sz w:val="16"/>
          <w:szCs w:val="16"/>
          <w:color w:val="auto"/>
        </w:rPr>
      </w:pPr>
    </w:p>
    <w:p>
      <w:pPr>
        <w:ind w:left="460" w:right="160" w:hanging="452"/>
        <w:spacing w:after="0" w:line="282" w:lineRule="auto"/>
        <w:tabs>
          <w:tab w:leader="none" w:pos="4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Pursuant to the IT Agreement dated 3</w:t>
      </w:r>
      <w:r>
        <w:rPr>
          <w:rFonts w:ascii="Arial" w:cs="Arial" w:eastAsia="Arial" w:hAnsi="Arial"/>
          <w:sz w:val="15"/>
          <w:szCs w:val="15"/>
          <w:color w:val="auto"/>
        </w:rPr>
        <w:t>rd</w:t>
      </w:r>
      <w:r>
        <w:rPr>
          <w:rFonts w:ascii="Arial" w:cs="Arial" w:eastAsia="Arial" w:hAnsi="Arial"/>
          <w:sz w:val="18"/>
          <w:szCs w:val="18"/>
          <w:color w:val="auto"/>
        </w:rPr>
        <w:t xml:space="preserve"> April 2007, as amended (the “</w:t>
      </w:r>
      <w:r>
        <w:rPr>
          <w:rFonts w:ascii="Arial" w:cs="Arial" w:eastAsia="Arial" w:hAnsi="Arial"/>
          <w:sz w:val="18"/>
          <w:szCs w:val="18"/>
          <w:b w:val="1"/>
          <w:bCs w:val="1"/>
          <w:color w:val="auto"/>
        </w:rPr>
        <w:t>IT Agreement</w:t>
      </w:r>
      <w:r>
        <w:rPr>
          <w:rFonts w:ascii="Arial" w:cs="Arial" w:eastAsia="Arial" w:hAnsi="Arial"/>
          <w:sz w:val="18"/>
          <w:szCs w:val="18"/>
          <w:color w:val="auto"/>
        </w:rPr>
        <w:t>”), CPLP engaged CSM to provide such IT Services to CPLP, on the terms set out therein;</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The term of the IT Agreement expires on the 2</w:t>
      </w:r>
      <w:r>
        <w:rPr>
          <w:rFonts w:ascii="Arial" w:cs="Arial" w:eastAsia="Arial" w:hAnsi="Arial"/>
          <w:sz w:val="13"/>
          <w:szCs w:val="13"/>
          <w:color w:val="auto"/>
        </w:rPr>
        <w:t>nd</w:t>
      </w:r>
      <w:r>
        <w:rPr>
          <w:rFonts w:ascii="Arial" w:cs="Arial" w:eastAsia="Arial" w:hAnsi="Arial"/>
          <w:sz w:val="16"/>
          <w:szCs w:val="16"/>
          <w:color w:val="auto"/>
        </w:rPr>
        <w:t xml:space="preserve"> day of April 2017 and the patties wish to extend and continue this agreement for an additional five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(5) years;</w:t>
      </w:r>
    </w:p>
    <w:p>
      <w:pPr>
        <w:spacing w:after="0" w:line="116" w:lineRule="exact"/>
        <w:rPr>
          <w:rFonts w:ascii="Arial" w:cs="Arial" w:eastAsia="Arial" w:hAnsi="Arial"/>
          <w:sz w:val="16"/>
          <w:szCs w:val="16"/>
          <w:color w:val="auto"/>
        </w:rPr>
      </w:pPr>
    </w:p>
    <w:p>
      <w:pPr>
        <w:ind w:left="460" w:right="480" w:hanging="452"/>
        <w:spacing w:after="0" w:line="277" w:lineRule="auto"/>
        <w:tabs>
          <w:tab w:leader="none" w:pos="4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CPLP and CSM agree to extend the IT Agreement for an additional five (5) years and to amend certain provisions of the IT Agreement, as set out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MUTUALLY AGREED </w:t>
      </w:r>
      <w:r>
        <w:rPr>
          <w:rFonts w:ascii="Arial" w:cs="Arial" w:eastAsia="Arial" w:hAnsi="Arial"/>
          <w:sz w:val="18"/>
          <w:szCs w:val="18"/>
          <w:color w:val="auto"/>
        </w:rPr>
        <w:t>as follows:</w:t>
      </w:r>
    </w:p>
    <w:p>
      <w:pPr>
        <w:spacing w:after="0" w:line="135" w:lineRule="exact"/>
        <w:rPr>
          <w:sz w:val="20"/>
          <w:szCs w:val="20"/>
          <w:color w:val="auto"/>
        </w:rPr>
      </w:pPr>
    </w:p>
    <w:p>
      <w:pPr>
        <w:ind w:left="460" w:hanging="452"/>
        <w:spacing w:after="0"/>
        <w:tabs>
          <w:tab w:leader="none" w:pos="4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term of the IT Agreement is renewed for another five (5) years, namely from 3</w:t>
      </w:r>
      <w:r>
        <w:rPr>
          <w:rFonts w:ascii="Arial" w:cs="Arial" w:eastAsia="Arial" w:hAnsi="Arial"/>
          <w:sz w:val="15"/>
          <w:szCs w:val="15"/>
          <w:color w:val="auto"/>
        </w:rPr>
        <w:t>rd</w:t>
      </w:r>
      <w:r>
        <w:rPr>
          <w:rFonts w:ascii="Arial" w:cs="Arial" w:eastAsia="Arial" w:hAnsi="Arial"/>
          <w:sz w:val="18"/>
          <w:szCs w:val="18"/>
          <w:color w:val="auto"/>
        </w:rPr>
        <w:t xml:space="preserve"> April 2017 to 2</w:t>
      </w:r>
      <w:r>
        <w:rPr>
          <w:rFonts w:ascii="Arial" w:cs="Arial" w:eastAsia="Arial" w:hAnsi="Arial"/>
          <w:sz w:val="15"/>
          <w:szCs w:val="15"/>
          <w:color w:val="auto"/>
        </w:rPr>
        <w:t>nd</w:t>
      </w:r>
      <w:r>
        <w:rPr>
          <w:rFonts w:ascii="Arial" w:cs="Arial" w:eastAsia="Arial" w:hAnsi="Arial"/>
          <w:sz w:val="18"/>
          <w:szCs w:val="18"/>
          <w:color w:val="auto"/>
        </w:rPr>
        <w:t xml:space="preserve"> April 2022.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Section 11 of the IT Agreement is hereby amended to read in its entirety as follows: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 under this Agreement shall be given (via hand delivery or facsimile) as follows: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If to CPLP: 3 Iassonos Street, Piraeus, 18537 Greece, Attn: CEO &amp; CFO, Fax: +30 210 428 4285.</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If to CSM: 3 Iassonos Street, Piraeus, 18537 Greece, Attn: Head of IT Department, Fax: +30 210 428 4285.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Words defined in the IT Agreement shall have the same meaning when used in this addendum unless the context requires otherwise;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All other terms and conditions of the said IT Agreement shall remain in full force and effect.</w:t>
      </w:r>
    </w:p>
    <w:p>
      <w:pPr>
        <w:sectPr>
          <w:pgSz w:w="11900" w:h="16838" w:orient="portrait"/>
          <w:cols w:equalWidth="0" w:num="1">
            <w:col w:w="11420"/>
          </w:cols>
          <w:pgMar w:left="240" w:top="121" w:right="239" w:bottom="1440" w:gutter="0" w:footer="0" w:header="0"/>
        </w:sectPr>
      </w:pPr>
    </w:p>
    <w:bookmarkStart w:id="357" w:name="page358"/>
    <w:bookmarkEnd w:id="35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have executed this Agreement by their duly authorized signatories with effect on the date first above written.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 BY 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CAPITAL GP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Kalogiratos</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Financial Officer of Capital GP L.L.C.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SHIPMANAGEMENT CORP.,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Sarantos Petropouleas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Sarantos Petropouleas</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Attorney-in-Fact &amp; Legal Representative</w:t>
      </w:r>
    </w:p>
    <w:p>
      <w:pPr>
        <w:sectPr>
          <w:pgSz w:w="11900" w:h="16838" w:orient="portrait"/>
          <w:cols w:equalWidth="0" w:num="1">
            <w:col w:w="10740"/>
          </w:cols>
          <w:pgMar w:left="240" w:top="270" w:right="91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102870</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146050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January 17,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EMMA SHIPHOLDINGS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234"/>
        </w:trPr>
        <w:tc>
          <w:tcPr>
            <w:tcW w:w="110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110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11060" w:type="dxa"/>
            <w:vAlign w:val="bottom"/>
          </w:tcPr>
          <w:p>
            <w:pPr>
              <w:jc w:val="center"/>
              <w:ind w:right="350"/>
              <w:spacing w:after="0"/>
              <w:rPr>
                <w:sz w:val="20"/>
                <w:szCs w:val="20"/>
                <w:color w:val="auto"/>
              </w:rPr>
            </w:pPr>
            <w:r>
              <w:rPr>
                <w:rFonts w:ascii="Arial" w:cs="Arial" w:eastAsia="Arial" w:hAnsi="Arial"/>
                <w:sz w:val="18"/>
                <w:szCs w:val="18"/>
                <w:color w:val="auto"/>
                <w:w w:val="99"/>
              </w:rPr>
              <w:t>ARTICLE I</w:t>
            </w:r>
          </w:p>
        </w:tc>
        <w:tc>
          <w:tcPr>
            <w:tcW w:w="300" w:type="dxa"/>
            <w:vAlign w:val="bottom"/>
          </w:tcPr>
          <w:p>
            <w:pPr>
              <w:spacing w:after="0"/>
              <w:rPr>
                <w:sz w:val="24"/>
                <w:szCs w:val="24"/>
                <w:color w:val="auto"/>
              </w:rPr>
            </w:pPr>
          </w:p>
        </w:tc>
      </w:tr>
      <w:tr>
        <w:trPr>
          <w:trHeight w:val="230"/>
        </w:trPr>
        <w:tc>
          <w:tcPr>
            <w:tcW w:w="11060" w:type="dxa"/>
            <w:vAlign w:val="bottom"/>
          </w:tcPr>
          <w:p>
            <w:pPr>
              <w:jc w:val="center"/>
              <w:ind w:right="350"/>
              <w:spacing w:after="0"/>
              <w:rPr>
                <w:sz w:val="20"/>
                <w:szCs w:val="20"/>
                <w:color w:val="auto"/>
              </w:rPr>
            </w:pPr>
            <w:r>
              <w:rPr>
                <w:rFonts w:ascii="Arial" w:cs="Arial" w:eastAsia="Arial" w:hAnsi="Arial"/>
                <w:sz w:val="18"/>
                <w:szCs w:val="18"/>
                <w:color w:val="auto"/>
                <w:w w:val="95"/>
              </w:rPr>
              <w:t>INTERPRETATION</w:t>
            </w:r>
          </w:p>
        </w:tc>
        <w:tc>
          <w:tcPr>
            <w:tcW w:w="300" w:type="dxa"/>
            <w:vAlign w:val="bottom"/>
          </w:tcPr>
          <w:p>
            <w:pPr>
              <w:spacing w:after="0"/>
              <w:rPr>
                <w:sz w:val="20"/>
                <w:szCs w:val="20"/>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1060" w:type="dxa"/>
            <w:vAlign w:val="bottom"/>
          </w:tcPr>
          <w:p>
            <w:pPr>
              <w:jc w:val="center"/>
              <w:ind w:right="33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r>
      <w:tr>
        <w:trPr>
          <w:trHeight w:val="230"/>
        </w:trPr>
        <w:tc>
          <w:tcPr>
            <w:tcW w:w="11060" w:type="dxa"/>
            <w:vAlign w:val="bottom"/>
          </w:tcPr>
          <w:p>
            <w:pPr>
              <w:jc w:val="center"/>
              <w:ind w:right="330"/>
              <w:spacing w:after="0"/>
              <w:rPr>
                <w:sz w:val="20"/>
                <w:szCs w:val="20"/>
                <w:color w:val="auto"/>
              </w:rPr>
            </w:pPr>
            <w:r>
              <w:rPr>
                <w:rFonts w:ascii="Arial" w:cs="Arial" w:eastAsia="Arial" w:hAnsi="Arial"/>
                <w:sz w:val="18"/>
                <w:szCs w:val="18"/>
                <w:color w:val="auto"/>
                <w:w w:val="95"/>
              </w:rPr>
              <w:t>PURCHASE AND SALE OF SHARES; CLOSING</w:t>
            </w:r>
          </w:p>
        </w:tc>
        <w:tc>
          <w:tcPr>
            <w:tcW w:w="300" w:type="dxa"/>
            <w:vAlign w:val="bottom"/>
          </w:tcPr>
          <w:p>
            <w:pPr>
              <w:spacing w:after="0"/>
              <w:rPr>
                <w:sz w:val="20"/>
                <w:szCs w:val="20"/>
                <w:color w:val="auto"/>
              </w:rPr>
            </w:pPr>
          </w:p>
        </w:tc>
      </w:tr>
      <w:tr>
        <w:trPr>
          <w:trHeight w:val="310"/>
        </w:trPr>
        <w:tc>
          <w:tcPr>
            <w:tcW w:w="1106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2.02 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06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11060" w:type="dxa"/>
            <w:vAlign w:val="bottom"/>
          </w:tcPr>
          <w:p>
            <w:pPr>
              <w:jc w:val="center"/>
              <w:ind w:right="350"/>
              <w:spacing w:after="0"/>
              <w:rPr>
                <w:sz w:val="20"/>
                <w:szCs w:val="20"/>
                <w:color w:val="auto"/>
              </w:rPr>
            </w:pPr>
            <w:r>
              <w:rPr>
                <w:rFonts w:ascii="Arial" w:cs="Arial" w:eastAsia="Arial" w:hAnsi="Arial"/>
                <w:sz w:val="18"/>
                <w:szCs w:val="18"/>
                <w:color w:val="auto"/>
              </w:rPr>
              <w:t>ARTICLE III</w:t>
            </w:r>
          </w:p>
        </w:tc>
        <w:tc>
          <w:tcPr>
            <w:tcW w:w="300" w:type="dxa"/>
            <w:vAlign w:val="bottom"/>
          </w:tcPr>
          <w:p>
            <w:pPr>
              <w:spacing w:after="0"/>
              <w:rPr>
                <w:sz w:val="24"/>
                <w:szCs w:val="24"/>
                <w:color w:val="auto"/>
              </w:rPr>
            </w:pPr>
          </w:p>
        </w:tc>
      </w:tr>
      <w:tr>
        <w:trPr>
          <w:trHeight w:val="230"/>
        </w:trPr>
        <w:tc>
          <w:tcPr>
            <w:tcW w:w="11060" w:type="dxa"/>
            <w:vAlign w:val="bottom"/>
          </w:tcPr>
          <w:p>
            <w:pPr>
              <w:jc w:val="center"/>
              <w:ind w:right="330"/>
              <w:spacing w:after="0"/>
              <w:rPr>
                <w:sz w:val="20"/>
                <w:szCs w:val="20"/>
                <w:color w:val="auto"/>
              </w:rPr>
            </w:pPr>
            <w:r>
              <w:rPr>
                <w:rFonts w:ascii="Arial" w:cs="Arial" w:eastAsia="Arial" w:hAnsi="Arial"/>
                <w:sz w:val="18"/>
                <w:szCs w:val="18"/>
                <w:color w:val="auto"/>
                <w:w w:val="95"/>
              </w:rPr>
              <w:t>REPRESENTATIONS AND WARRANTIES OF THE BUYER</w:t>
            </w:r>
          </w:p>
        </w:tc>
        <w:tc>
          <w:tcPr>
            <w:tcW w:w="300" w:type="dxa"/>
            <w:vAlign w:val="bottom"/>
          </w:tcPr>
          <w:p>
            <w:pPr>
              <w:spacing w:after="0"/>
              <w:rPr>
                <w:sz w:val="20"/>
                <w:szCs w:val="20"/>
                <w:color w:val="auto"/>
              </w:rPr>
            </w:pPr>
          </w:p>
        </w:tc>
      </w:tr>
      <w:tr>
        <w:trPr>
          <w:trHeight w:val="310"/>
        </w:trPr>
        <w:tc>
          <w:tcPr>
            <w:tcW w:w="1106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06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1060" w:type="dxa"/>
            <w:vAlign w:val="bottom"/>
          </w:tcPr>
          <w:p>
            <w:pPr>
              <w:jc w:val="center"/>
              <w:ind w:right="350"/>
              <w:spacing w:after="0"/>
              <w:rPr>
                <w:sz w:val="20"/>
                <w:szCs w:val="20"/>
                <w:color w:val="auto"/>
              </w:rPr>
            </w:pPr>
            <w:r>
              <w:rPr>
                <w:rFonts w:ascii="Arial" w:cs="Arial" w:eastAsia="Arial" w:hAnsi="Arial"/>
                <w:sz w:val="18"/>
                <w:szCs w:val="18"/>
                <w:color w:val="auto"/>
                <w:w w:val="99"/>
              </w:rPr>
              <w:t>ARTICLE IV</w:t>
            </w:r>
          </w:p>
        </w:tc>
        <w:tc>
          <w:tcPr>
            <w:tcW w:w="300" w:type="dxa"/>
            <w:vAlign w:val="bottom"/>
          </w:tcPr>
          <w:p>
            <w:pPr>
              <w:spacing w:after="0"/>
              <w:rPr>
                <w:sz w:val="24"/>
                <w:szCs w:val="24"/>
                <w:color w:val="auto"/>
              </w:rPr>
            </w:pPr>
          </w:p>
        </w:tc>
      </w:tr>
      <w:tr>
        <w:trPr>
          <w:trHeight w:val="230"/>
        </w:trPr>
        <w:tc>
          <w:tcPr>
            <w:tcW w:w="11060" w:type="dxa"/>
            <w:vAlign w:val="bottom"/>
          </w:tcPr>
          <w:p>
            <w:pPr>
              <w:jc w:val="center"/>
              <w:ind w:right="330"/>
              <w:spacing w:after="0"/>
              <w:rPr>
                <w:sz w:val="20"/>
                <w:szCs w:val="20"/>
                <w:color w:val="auto"/>
              </w:rPr>
            </w:pPr>
            <w:r>
              <w:rPr>
                <w:rFonts w:ascii="Arial" w:cs="Arial" w:eastAsia="Arial" w:hAnsi="Arial"/>
                <w:sz w:val="18"/>
                <w:szCs w:val="18"/>
                <w:color w:val="auto"/>
                <w:w w:val="94"/>
              </w:rPr>
              <w:t>REPRESENTATIONS AND WARRANTIES OF THE SELLER</w:t>
            </w:r>
          </w:p>
        </w:tc>
        <w:tc>
          <w:tcPr>
            <w:tcW w:w="300" w:type="dxa"/>
            <w:vAlign w:val="bottom"/>
          </w:tcPr>
          <w:p>
            <w:pPr>
              <w:spacing w:after="0"/>
              <w:rPr>
                <w:sz w:val="20"/>
                <w:szCs w:val="20"/>
                <w:color w:val="auto"/>
              </w:rPr>
            </w:pPr>
          </w:p>
        </w:tc>
      </w:tr>
      <w:tr>
        <w:trPr>
          <w:trHeight w:val="310"/>
        </w:trPr>
        <w:tc>
          <w:tcPr>
            <w:tcW w:w="1106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060" w:type="dxa"/>
            <w:vAlign w:val="bottom"/>
          </w:tcPr>
          <w:p>
            <w:pPr>
              <w:spacing w:after="0"/>
              <w:rPr>
                <w:sz w:val="20"/>
                <w:szCs w:val="20"/>
                <w:color w:val="auto"/>
              </w:rPr>
            </w:pPr>
            <w:r>
              <w:rPr>
                <w:rFonts w:ascii="Arial" w:cs="Arial" w:eastAsia="Arial" w:hAnsi="Arial"/>
                <w:sz w:val="18"/>
                <w:szCs w:val="18"/>
                <w:color w:val="auto"/>
              </w:rPr>
              <w:t>SECTION 4.05 The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1060" w:type="dxa"/>
            <w:vAlign w:val="bottom"/>
          </w:tcPr>
          <w:p>
            <w:pPr>
              <w:jc w:val="center"/>
              <w:ind w:right="330"/>
              <w:spacing w:after="0"/>
              <w:rPr>
                <w:sz w:val="20"/>
                <w:szCs w:val="20"/>
                <w:color w:val="auto"/>
              </w:rPr>
            </w:pPr>
            <w:r>
              <w:rPr>
                <w:rFonts w:ascii="Arial" w:cs="Arial" w:eastAsia="Arial" w:hAnsi="Arial"/>
                <w:sz w:val="18"/>
                <w:szCs w:val="18"/>
                <w:color w:val="auto"/>
                <w:w w:val="98"/>
              </w:rPr>
              <w:t>ARTICLE V</w:t>
            </w:r>
          </w:p>
        </w:tc>
        <w:tc>
          <w:tcPr>
            <w:tcW w:w="300" w:type="dxa"/>
            <w:vAlign w:val="bottom"/>
          </w:tcPr>
          <w:p>
            <w:pPr>
              <w:spacing w:after="0"/>
              <w:rPr>
                <w:sz w:val="24"/>
                <w:szCs w:val="24"/>
                <w:color w:val="auto"/>
              </w:rPr>
            </w:pPr>
          </w:p>
        </w:tc>
      </w:tr>
      <w:tr>
        <w:trPr>
          <w:trHeight w:val="230"/>
        </w:trPr>
        <w:tc>
          <w:tcPr>
            <w:tcW w:w="11060" w:type="dxa"/>
            <w:vAlign w:val="bottom"/>
          </w:tcPr>
          <w:p>
            <w:pPr>
              <w:jc w:val="center"/>
              <w:ind w:right="330"/>
              <w:spacing w:after="0"/>
              <w:rPr>
                <w:sz w:val="20"/>
                <w:szCs w:val="20"/>
                <w:color w:val="auto"/>
              </w:rPr>
            </w:pPr>
            <w:r>
              <w:rPr>
                <w:rFonts w:ascii="Arial" w:cs="Arial" w:eastAsia="Arial" w:hAnsi="Arial"/>
                <w:sz w:val="18"/>
                <w:szCs w:val="18"/>
                <w:color w:val="auto"/>
                <w:w w:val="95"/>
              </w:rPr>
              <w:t>REPRESENTATIONS AND WARRANTIES OF THE SELLER REGARDING THE VESSEL OWNING SUBSIDIARY</w:t>
            </w:r>
          </w:p>
        </w:tc>
        <w:tc>
          <w:tcPr>
            <w:tcW w:w="300" w:type="dxa"/>
            <w:vAlign w:val="bottom"/>
          </w:tcPr>
          <w:p>
            <w:pPr>
              <w:spacing w:after="0"/>
              <w:rPr>
                <w:sz w:val="20"/>
                <w:szCs w:val="20"/>
                <w:color w:val="auto"/>
              </w:rPr>
            </w:pPr>
          </w:p>
        </w:tc>
      </w:tr>
      <w:tr>
        <w:trPr>
          <w:trHeight w:val="310"/>
        </w:trPr>
        <w:tc>
          <w:tcPr>
            <w:tcW w:w="1106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5.02 Capitalization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5.05 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5.07 Personnel</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6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60" w:name="page361"/>
    <w:bookmarkEnd w:id="360"/>
    <w:tbl>
      <w:tblPr>
        <w:tblLayout w:type="fixed"/>
        <w:tblInd w:w="0" w:type="dxa"/>
        <w:tblCellMar>
          <w:top w:w="0" w:type="dxa"/>
          <w:left w:w="0" w:type="dxa"/>
          <w:bottom w:w="0" w:type="dxa"/>
          <w:right w:w="0" w:type="dxa"/>
        </w:tblCellMar>
      </w:tblP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5.13 Permits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0040" w:type="dxa"/>
            <w:vAlign w:val="bottom"/>
          </w:tcPr>
          <w:p>
            <w:pPr>
              <w:jc w:val="center"/>
              <w:ind w:left="770"/>
              <w:spacing w:after="0"/>
              <w:rPr>
                <w:sz w:val="20"/>
                <w:szCs w:val="20"/>
                <w:color w:val="auto"/>
              </w:rPr>
            </w:pPr>
            <w:r>
              <w:rPr>
                <w:rFonts w:ascii="Arial" w:cs="Arial" w:eastAsia="Arial" w:hAnsi="Arial"/>
                <w:sz w:val="18"/>
                <w:szCs w:val="18"/>
                <w:color w:val="auto"/>
                <w:w w:val="99"/>
              </w:rPr>
              <w:t>ARTICLE VI</w:t>
            </w:r>
          </w:p>
        </w:tc>
        <w:tc>
          <w:tcPr>
            <w:tcW w:w="1320" w:type="dxa"/>
            <w:vAlign w:val="bottom"/>
          </w:tcPr>
          <w:p>
            <w:pPr>
              <w:spacing w:after="0"/>
              <w:rPr>
                <w:sz w:val="24"/>
                <w:szCs w:val="24"/>
                <w:color w:val="auto"/>
              </w:rPr>
            </w:pPr>
          </w:p>
        </w:tc>
      </w:tr>
      <w:tr>
        <w:trPr>
          <w:trHeight w:val="230"/>
        </w:trPr>
        <w:tc>
          <w:tcPr>
            <w:tcW w:w="10040" w:type="dxa"/>
            <w:vAlign w:val="bottom"/>
          </w:tcPr>
          <w:p>
            <w:pPr>
              <w:jc w:val="center"/>
              <w:ind w:left="790"/>
              <w:spacing w:after="0"/>
              <w:rPr>
                <w:sz w:val="20"/>
                <w:szCs w:val="20"/>
                <w:color w:val="auto"/>
              </w:rPr>
            </w:pPr>
            <w:r>
              <w:rPr>
                <w:rFonts w:ascii="Arial" w:cs="Arial" w:eastAsia="Arial" w:hAnsi="Arial"/>
                <w:sz w:val="18"/>
                <w:szCs w:val="18"/>
                <w:color w:val="auto"/>
                <w:w w:val="94"/>
              </w:rPr>
              <w:t>REPRESENTATIONS AND WARRANTIES OF THE SELLER REGARDING THE VESSEL</w:t>
            </w:r>
          </w:p>
        </w:tc>
        <w:tc>
          <w:tcPr>
            <w:tcW w:w="1320" w:type="dxa"/>
            <w:vAlign w:val="bottom"/>
          </w:tcPr>
          <w:p>
            <w:pPr>
              <w:spacing w:after="0"/>
              <w:rPr>
                <w:sz w:val="20"/>
                <w:szCs w:val="20"/>
                <w:color w:val="auto"/>
              </w:rPr>
            </w:pPr>
          </w:p>
        </w:tc>
      </w:tr>
      <w:tr>
        <w:trPr>
          <w:trHeight w:val="310"/>
        </w:trPr>
        <w:tc>
          <w:tcPr>
            <w:tcW w:w="100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SECTION 6.03 Condition</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0040" w:type="dxa"/>
            <w:vAlign w:val="bottom"/>
          </w:tcPr>
          <w:p>
            <w:pPr>
              <w:jc w:val="center"/>
              <w:ind w:left="790"/>
              <w:spacing w:after="0"/>
              <w:rPr>
                <w:sz w:val="20"/>
                <w:szCs w:val="20"/>
                <w:color w:val="auto"/>
              </w:rPr>
            </w:pPr>
            <w:r>
              <w:rPr>
                <w:rFonts w:ascii="Arial" w:cs="Arial" w:eastAsia="Arial" w:hAnsi="Arial"/>
                <w:sz w:val="18"/>
                <w:szCs w:val="18"/>
                <w:color w:val="auto"/>
              </w:rPr>
              <w:t>ARTICLE VII</w:t>
            </w:r>
          </w:p>
        </w:tc>
        <w:tc>
          <w:tcPr>
            <w:tcW w:w="1320" w:type="dxa"/>
            <w:vAlign w:val="bottom"/>
          </w:tcPr>
          <w:p>
            <w:pPr>
              <w:spacing w:after="0"/>
              <w:rPr>
                <w:sz w:val="24"/>
                <w:szCs w:val="24"/>
                <w:color w:val="auto"/>
              </w:rPr>
            </w:pPr>
          </w:p>
        </w:tc>
      </w:tr>
      <w:tr>
        <w:trPr>
          <w:trHeight w:val="230"/>
        </w:trPr>
        <w:tc>
          <w:tcPr>
            <w:tcW w:w="10040" w:type="dxa"/>
            <w:vAlign w:val="bottom"/>
          </w:tcPr>
          <w:p>
            <w:pPr>
              <w:jc w:val="center"/>
              <w:ind w:left="790"/>
              <w:spacing w:after="0"/>
              <w:rPr>
                <w:sz w:val="20"/>
                <w:szCs w:val="20"/>
                <w:color w:val="auto"/>
              </w:rPr>
            </w:pPr>
            <w:r>
              <w:rPr>
                <w:rFonts w:ascii="Arial" w:cs="Arial" w:eastAsia="Arial" w:hAnsi="Arial"/>
                <w:sz w:val="18"/>
                <w:szCs w:val="18"/>
                <w:color w:val="auto"/>
                <w:w w:val="96"/>
              </w:rPr>
              <w:t>COVENANTS</w:t>
            </w:r>
          </w:p>
        </w:tc>
        <w:tc>
          <w:tcPr>
            <w:tcW w:w="1320" w:type="dxa"/>
            <w:vAlign w:val="bottom"/>
          </w:tcPr>
          <w:p>
            <w:pPr>
              <w:spacing w:after="0"/>
              <w:rPr>
                <w:sz w:val="20"/>
                <w:szCs w:val="20"/>
                <w:color w:val="auto"/>
              </w:rPr>
            </w:pPr>
          </w:p>
        </w:tc>
      </w:tr>
      <w:tr>
        <w:trPr>
          <w:trHeight w:val="310"/>
        </w:trPr>
        <w:tc>
          <w:tcPr>
            <w:tcW w:w="100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7.02 Expenses</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SECTION 7.03 Joint and Several Liability of the Seller</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0040" w:type="dxa"/>
            <w:vAlign w:val="bottom"/>
          </w:tcPr>
          <w:p>
            <w:pPr>
              <w:jc w:val="center"/>
              <w:ind w:left="770"/>
              <w:spacing w:after="0"/>
              <w:rPr>
                <w:sz w:val="20"/>
                <w:szCs w:val="20"/>
                <w:color w:val="auto"/>
              </w:rPr>
            </w:pPr>
            <w:r>
              <w:rPr>
                <w:rFonts w:ascii="Arial" w:cs="Arial" w:eastAsia="Arial" w:hAnsi="Arial"/>
                <w:sz w:val="18"/>
                <w:szCs w:val="18"/>
                <w:color w:val="auto"/>
              </w:rPr>
              <w:t>ARTICLE VIII</w:t>
            </w:r>
          </w:p>
        </w:tc>
        <w:tc>
          <w:tcPr>
            <w:tcW w:w="1320" w:type="dxa"/>
            <w:vAlign w:val="bottom"/>
          </w:tcPr>
          <w:p>
            <w:pPr>
              <w:spacing w:after="0"/>
              <w:rPr>
                <w:sz w:val="24"/>
                <w:szCs w:val="24"/>
                <w:color w:val="auto"/>
              </w:rPr>
            </w:pPr>
          </w:p>
        </w:tc>
      </w:tr>
      <w:tr>
        <w:trPr>
          <w:trHeight w:val="230"/>
        </w:trPr>
        <w:tc>
          <w:tcPr>
            <w:tcW w:w="10040" w:type="dxa"/>
            <w:vAlign w:val="bottom"/>
          </w:tcPr>
          <w:p>
            <w:pPr>
              <w:jc w:val="center"/>
              <w:ind w:left="790"/>
              <w:spacing w:after="0"/>
              <w:rPr>
                <w:sz w:val="20"/>
                <w:szCs w:val="20"/>
                <w:color w:val="auto"/>
              </w:rPr>
            </w:pPr>
            <w:r>
              <w:rPr>
                <w:rFonts w:ascii="Arial" w:cs="Arial" w:eastAsia="Arial" w:hAnsi="Arial"/>
                <w:sz w:val="18"/>
                <w:szCs w:val="18"/>
                <w:color w:val="auto"/>
                <w:w w:val="98"/>
              </w:rPr>
              <w:t>AMENDMENTS AND WAIVERS</w:t>
            </w:r>
          </w:p>
        </w:tc>
        <w:tc>
          <w:tcPr>
            <w:tcW w:w="1320" w:type="dxa"/>
            <w:vAlign w:val="bottom"/>
          </w:tcPr>
          <w:p>
            <w:pPr>
              <w:spacing w:after="0"/>
              <w:rPr>
                <w:sz w:val="20"/>
                <w:szCs w:val="20"/>
                <w:color w:val="auto"/>
              </w:rPr>
            </w:pPr>
          </w:p>
        </w:tc>
      </w:tr>
      <w:tr>
        <w:trPr>
          <w:trHeight w:val="324"/>
        </w:trPr>
        <w:tc>
          <w:tcPr>
            <w:tcW w:w="1004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0040" w:type="dxa"/>
            <w:vAlign w:val="bottom"/>
          </w:tcPr>
          <w:p>
            <w:pPr>
              <w:jc w:val="center"/>
              <w:ind w:left="770"/>
              <w:spacing w:after="0"/>
              <w:rPr>
                <w:sz w:val="20"/>
                <w:szCs w:val="20"/>
                <w:color w:val="auto"/>
              </w:rPr>
            </w:pPr>
            <w:r>
              <w:rPr>
                <w:rFonts w:ascii="Arial" w:cs="Arial" w:eastAsia="Arial" w:hAnsi="Arial"/>
                <w:sz w:val="18"/>
                <w:szCs w:val="18"/>
                <w:color w:val="auto"/>
                <w:w w:val="99"/>
              </w:rPr>
              <w:t>ARTICLE IX</w:t>
            </w:r>
          </w:p>
        </w:tc>
        <w:tc>
          <w:tcPr>
            <w:tcW w:w="1320" w:type="dxa"/>
            <w:vAlign w:val="bottom"/>
          </w:tcPr>
          <w:p>
            <w:pPr>
              <w:spacing w:after="0"/>
              <w:rPr>
                <w:sz w:val="24"/>
                <w:szCs w:val="24"/>
                <w:color w:val="auto"/>
              </w:rPr>
            </w:pPr>
          </w:p>
        </w:tc>
      </w:tr>
      <w:tr>
        <w:trPr>
          <w:trHeight w:val="230"/>
        </w:trPr>
        <w:tc>
          <w:tcPr>
            <w:tcW w:w="10040" w:type="dxa"/>
            <w:vAlign w:val="bottom"/>
          </w:tcPr>
          <w:p>
            <w:pPr>
              <w:jc w:val="center"/>
              <w:ind w:left="790"/>
              <w:spacing w:after="0"/>
              <w:rPr>
                <w:sz w:val="20"/>
                <w:szCs w:val="20"/>
                <w:color w:val="auto"/>
              </w:rPr>
            </w:pPr>
            <w:r>
              <w:rPr>
                <w:rFonts w:ascii="Arial" w:cs="Arial" w:eastAsia="Arial" w:hAnsi="Arial"/>
                <w:sz w:val="18"/>
                <w:szCs w:val="18"/>
                <w:color w:val="auto"/>
                <w:w w:val="99"/>
              </w:rPr>
              <w:t>INDEMNIFICATION</w:t>
            </w:r>
          </w:p>
        </w:tc>
        <w:tc>
          <w:tcPr>
            <w:tcW w:w="1320" w:type="dxa"/>
            <w:vAlign w:val="bottom"/>
          </w:tcPr>
          <w:p>
            <w:pPr>
              <w:spacing w:after="0"/>
              <w:rPr>
                <w:sz w:val="20"/>
                <w:szCs w:val="20"/>
                <w:color w:val="auto"/>
              </w:rPr>
            </w:pPr>
          </w:p>
        </w:tc>
      </w:tr>
      <w:tr>
        <w:trPr>
          <w:trHeight w:val="310"/>
        </w:trPr>
        <w:tc>
          <w:tcPr>
            <w:tcW w:w="1004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0040" w:type="dxa"/>
            <w:vAlign w:val="bottom"/>
          </w:tcPr>
          <w:p>
            <w:pPr>
              <w:jc w:val="center"/>
              <w:ind w:left="790"/>
              <w:spacing w:after="0"/>
              <w:rPr>
                <w:sz w:val="20"/>
                <w:szCs w:val="20"/>
                <w:color w:val="auto"/>
              </w:rPr>
            </w:pPr>
            <w:r>
              <w:rPr>
                <w:rFonts w:ascii="Arial" w:cs="Arial" w:eastAsia="Arial" w:hAnsi="Arial"/>
                <w:sz w:val="18"/>
                <w:szCs w:val="18"/>
                <w:color w:val="auto"/>
                <w:w w:val="98"/>
              </w:rPr>
              <w:t>ARTICLE X</w:t>
            </w:r>
          </w:p>
        </w:tc>
        <w:tc>
          <w:tcPr>
            <w:tcW w:w="1320" w:type="dxa"/>
            <w:vAlign w:val="bottom"/>
          </w:tcPr>
          <w:p>
            <w:pPr>
              <w:spacing w:after="0"/>
              <w:rPr>
                <w:sz w:val="24"/>
                <w:szCs w:val="24"/>
                <w:color w:val="auto"/>
              </w:rPr>
            </w:pPr>
          </w:p>
        </w:tc>
      </w:tr>
      <w:tr>
        <w:trPr>
          <w:trHeight w:val="230"/>
        </w:trPr>
        <w:tc>
          <w:tcPr>
            <w:tcW w:w="10040" w:type="dxa"/>
            <w:vAlign w:val="bottom"/>
          </w:tcPr>
          <w:p>
            <w:pPr>
              <w:jc w:val="center"/>
              <w:ind w:left="770"/>
              <w:spacing w:after="0"/>
              <w:rPr>
                <w:sz w:val="20"/>
                <w:szCs w:val="20"/>
                <w:color w:val="auto"/>
              </w:rPr>
            </w:pPr>
            <w:r>
              <w:rPr>
                <w:rFonts w:ascii="Arial" w:cs="Arial" w:eastAsia="Arial" w:hAnsi="Arial"/>
                <w:sz w:val="18"/>
                <w:szCs w:val="18"/>
                <w:color w:val="auto"/>
                <w:w w:val="97"/>
              </w:rPr>
              <w:t>MISCELLANEOUS</w:t>
            </w:r>
          </w:p>
        </w:tc>
        <w:tc>
          <w:tcPr>
            <w:tcW w:w="1320" w:type="dxa"/>
            <w:vAlign w:val="bottom"/>
          </w:tcPr>
          <w:p>
            <w:pPr>
              <w:spacing w:after="0"/>
              <w:rPr>
                <w:sz w:val="20"/>
                <w:szCs w:val="20"/>
                <w:color w:val="auto"/>
              </w:rPr>
            </w:pPr>
          </w:p>
        </w:tc>
      </w:tr>
      <w:tr>
        <w:trPr>
          <w:trHeight w:val="310"/>
        </w:trPr>
        <w:tc>
          <w:tcPr>
            <w:tcW w:w="1004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10.06 Tbird Party Rights</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10.07 Notices</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10.08 Representations and Warranties to Survive</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SECTION 10.09 Remedies</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bl>
    <w:p>
      <w:pPr>
        <w:jc w:val="right"/>
        <w:spacing w:after="0"/>
        <w:rPr>
          <w:sz w:val="20"/>
          <w:szCs w:val="20"/>
          <w:color w:val="auto"/>
        </w:rPr>
        <w:sectPr>
          <w:pgSz w:w="11900" w:h="16838" w:orient="portrait"/>
          <w:cols w:equalWidth="0" w:num="1">
            <w:col w:w="11360"/>
          </w:cols>
          <w:pgMar w:left="240" w:top="273"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61" w:name="page362"/>
    <w:bookmarkEnd w:id="361"/>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17, 2018, by and among CAPITAL MARITIME &amp; TRADING CORP. (“</w:t>
      </w:r>
      <w:r>
        <w:rPr>
          <w:rFonts w:ascii="Arial" w:cs="Arial" w:eastAsia="Arial" w:hAnsi="Arial"/>
          <w:sz w:val="18"/>
          <w:szCs w:val="18"/>
          <w:u w:val="single" w:color="auto"/>
          <w:color w:val="auto"/>
        </w:rPr>
        <w:t>CM&amp;TC</w:t>
      </w:r>
      <w:r>
        <w:rPr>
          <w:rFonts w:ascii="Arial" w:cs="Arial" w:eastAsia="Arial" w:hAnsi="Arial"/>
          <w:sz w:val="18"/>
          <w:szCs w:val="18"/>
          <w:color w:val="auto"/>
        </w:rPr>
        <w:t>”), a corporation organized under the laws of the Republic of the Marshall Islands, EMMA SHIPHOLDINGS INC. (“</w:t>
      </w:r>
      <w:r>
        <w:rPr>
          <w:rFonts w:ascii="Arial" w:cs="Arial" w:eastAsia="Arial" w:hAnsi="Arial"/>
          <w:sz w:val="18"/>
          <w:szCs w:val="18"/>
          <w:u w:val="single" w:color="auto"/>
          <w:color w:val="auto"/>
        </w:rPr>
        <w:t>Emma</w:t>
      </w:r>
      <w:r>
        <w:rPr>
          <w:rFonts w:ascii="Arial" w:cs="Arial" w:eastAsia="Arial" w:hAnsi="Arial"/>
          <w:sz w:val="18"/>
          <w:szCs w:val="18"/>
          <w:color w:val="auto"/>
        </w:rPr>
        <w:t>” and, together with CM&amp;TC,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Asterias Crude Carrier S.A., a corporation organized under the laws of the Republic of the Marshall Islands with its registered office at Trust Company Complex, Ajeltake Road, Ajeltake Island, Majuro, Marshall Islands MH96960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 for a purchase price of $52,500,000.00, consisting of: (i) $24,166,666.66 in cash consideration, as referenced in Section 2.04, and (ii) the assumption of approximately $28,333,333.34 in debt owed by the Vessel Owning Subsidiary under the Loan Agreement (as defined below) to which the Vessel Owning Subsidiary is a party, as referenced in Section 5.10 5.10.</w:t>
      </w:r>
    </w:p>
    <w:p>
      <w:pPr>
        <w:spacing w:after="0" w:line="17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WHEREAS, the Vessel Owning Subsidiary is the registered owner of the Republic of Marshall Islands flagged 113,689 DWT Aframax Tanker “Aristaios”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WHEREAS, the Vessel is employed under a charter time charter dated October 2, 2015 by Tesoro Far East Maritime Company, with its registered office at 19100 Ridgewood Parkway, San Antonio, Texas 78259, as charterer (the “</w:t>
      </w:r>
      <w:r>
        <w:rPr>
          <w:rFonts w:ascii="Arial" w:cs="Arial" w:eastAsia="Arial" w:hAnsi="Arial"/>
          <w:sz w:val="18"/>
          <w:szCs w:val="18"/>
          <w:u w:val="single" w:color="auto"/>
          <w:color w:val="auto"/>
        </w:rPr>
        <w:t>Charterer</w:t>
      </w:r>
      <w:r>
        <w:rPr>
          <w:rFonts w:ascii="Arial" w:cs="Arial" w:eastAsia="Arial" w:hAnsi="Arial"/>
          <w:sz w:val="18"/>
          <w:szCs w:val="18"/>
          <w:color w:val="auto"/>
        </w:rPr>
        <w:t>”), for a duration of 60 months (with 45 days less or more, exact period in Charterer’s option) commenced in January 10, 2017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WHEREAS, contemporaneously with the Closing (as defined below),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10th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540" w:firstLine="913"/>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362" w:name="page363"/>
    <w:bookmarkEnd w:id="36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CM&amp;TC</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Emma</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63" w:name="page364"/>
    <w:bookmarkEnd w:id="363"/>
    <w:p>
      <w:pPr>
        <w:ind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Agreement</w:t>
      </w:r>
      <w:r>
        <w:rPr>
          <w:rFonts w:ascii="Arial" w:cs="Arial" w:eastAsia="Arial" w:hAnsi="Arial"/>
          <w:sz w:val="18"/>
          <w:szCs w:val="18"/>
          <w:color w:val="auto"/>
        </w:rPr>
        <w:t>” means that certain Loan Agreement, dated January 2, 2017, among the Vessel Owning Subsidiary and Scorpio Crude Carrier S.A., as joint and several Borrowers, the Banks and Financial Institutions listed on Schedule 1 thereto, as Lenders, Credit Agricole Corporate and Investment Bank, as Facility Agent, Security Trustee and Account Bank, ING Bank N.V. and Credit Agricole Corporate and Investment Bank, as Bookrunners and Mandated Lead Arrangers, and ING Bank N.V., as Swap Bank.</w:t>
      </w:r>
    </w:p>
    <w:p>
      <w:pPr>
        <w:spacing w:after="0" w:line="187"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Party</w:t>
      </w:r>
      <w:r>
        <w:rPr>
          <w:rFonts w:ascii="Arial" w:cs="Arial" w:eastAsia="Arial" w:hAnsi="Arial"/>
          <w:sz w:val="18"/>
          <w:szCs w:val="18"/>
          <w:color w:val="auto"/>
        </w:rPr>
        <w:t>” means any one of them;</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from time to time; “Seller” has the meaning given to it in the preamble;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64" w:name="page365"/>
    <w:bookmarkEnd w:id="36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accordmice with and subject to the terms and conditions set forth in this Agreement, the Shares which in tum shall result in the Buyer indirectly owning the Vessel.</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hereof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ind w:right="280" w:firstLine="913"/>
        <w:spacing w:after="0" w:line="302"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Purchase Price for Shares</w:t>
      </w:r>
      <w:r>
        <w:rPr>
          <w:rFonts w:ascii="Arial" w:cs="Arial" w:eastAsia="Arial" w:hAnsi="Arial"/>
          <w:sz w:val="16"/>
          <w:szCs w:val="16"/>
          <w:color w:val="auto"/>
        </w:rPr>
        <w:t>. On the Closing Date, the Buyer shall pay to the Seller the purchase price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of $52,500,000.00, consisting of (i) the amount of$24,166,666.66 US Dollars .in cash, $18,125,000.00 US Dollars of which shall be paid to an account nominated by CM&amp;TC and $6,041,666.67 US Dollars of which shall be paid to an account nominated by Emma and (ii) the assumption of approximately $28,333,333.34 US Dollars :in debt owed by the Vessel Own:ing Subsidiary underthe Loan Agreement, in exchange for the Shares.</w:t>
      </w:r>
    </w:p>
    <w:p>
      <w:pPr>
        <w:spacing w:after="0" w:line="15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cash portion of the Purchase Price will be paid by the Buyer to the Seller by wire transfers of immediately available funds to an account designated in writing by CM&amp;TC and to an account designated in writing by Emma, allocated in the manner set forth in Section 2.04.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65" w:name="page366"/>
    <w:bookmarkEnd w:id="36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78"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N, V and VI.</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3" w:right="299" w:bottom="1440" w:gutter="0" w:footer="0" w:header="0"/>
        </w:sectPr>
      </w:pPr>
    </w:p>
    <w:bookmarkStart w:id="366" w:name="page367"/>
    <w:bookmarkEnd w:id="36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the Seller represents and warrants to the Buyer, jointly and severally, that as of the date hereof:</w:t>
      </w:r>
    </w:p>
    <w:p>
      <w:pPr>
        <w:spacing w:after="0" w:line="225"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Organization and Corporate Authority</w:t>
      </w:r>
      <w:r>
        <w:rPr>
          <w:rFonts w:ascii="Arial" w:cs="Arial" w:eastAsia="Arial" w:hAnsi="Arial"/>
          <w:sz w:val="17"/>
          <w:szCs w:val="17"/>
          <w:color w:val="auto"/>
        </w:rPr>
        <w:t>. Each of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each of the Seller, has been effectively authorized by all necessary action, corporate or otherwise, and constitutes legal, valid and binding obligations of the Seller. No meeting has been convened or resolution proposed or petition presented and no order has been made to wind up any of the Seller.</w:t>
      </w:r>
    </w:p>
    <w:p>
      <w:pPr>
        <w:spacing w:after="0" w:line="17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any of the Seller, any judgment, decree, order or award of any court, governmental body or arbitrator by which any of the Seller is bound, or any law, rule or regulation applicable to any of the Seller.</w:t>
      </w:r>
    </w:p>
    <w:p>
      <w:pPr>
        <w:spacing w:after="0" w:line="18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None of the Seller is prohibited by any order; writ, injunction or decree of any body of competent jurisdiction :from consummating the transactions contemplated by this Agreement and no such action or proceeding is pending or, to the best of its knowledge and belief, threatened against any of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in aggregate is the owner (ofrecord and beneficially) of all of the Shares, seventy-five (75) of which are owned (ofrecord and beneficially) by CM&amp;TC and twenty-five (25) of which are owned (of record and beneficially) by Emma, and each of the Seller has good and marketable title to the Shares, :free and clear of any and all Encumbrances other than under the Loan Agreement. The Shares constitute 100% of the issued and outstanding Equity Interests of the Vessel Owning Subsidiary.</w:t>
      </w:r>
    </w:p>
    <w:p>
      <w:pPr>
        <w:spacing w:after="0" w:line="18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The Shares</w:t>
      </w:r>
      <w:r>
        <w:rPr>
          <w:rFonts w:ascii="Arial" w:cs="Arial" w:eastAsia="Arial" w:hAnsi="Arial"/>
          <w:sz w:val="16"/>
          <w:szCs w:val="16"/>
          <w:color w:val="auto"/>
        </w:rPr>
        <w:t>. Assuming the Buyer has the requisite power and authority to be the lawful owner of the Shares, upon delivery to the Buyer at the Closing of certificates representing the Shares, duly endorsed by each of the Seller for transfer to the Buyer or accompanied by appropriate instruments sufficient to evidence the transfer from the Seller to the Buyer of the Shares under the Applicable Laws of the relevant jurisdiction, or delivery of such Shares by electronic means, and upon each of the Seller’s receipt of the Purchase Price, the Buyer shall own good and valid title to the Shares, :free and clear of any Encumbrances, other than those arising from acts of the Buyer Entities or arising under the Loan Agreement (it being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367" w:name="page368"/>
    <w:bookmarkEnd w:id="367"/>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understood that the pledge of the Shares by Seller under the Loan Agreement shall be released at or prior to Closing and the Buyer Entities shall pledge the Shares under the Loan Agreement at or after Closing).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u w:val="single" w:color="auto"/>
          <w:color w:val="auto"/>
        </w:rPr>
        <w:t>Representations and Warranties of the Seller Regarding the Vessel Owning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jointly and severally,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w:t>
      </w:r>
      <w:r>
        <w:rPr>
          <w:rFonts w:ascii="Arial" w:cs="Arial" w:eastAsia="Arial" w:hAnsi="Arial"/>
          <w:sz w:val="16"/>
          <w:szCs w:val="16"/>
          <w:color w:val="auto"/>
        </w:rPr>
        <w:t>. Title to Shares. The Shares consist of the one hundred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w:t>
      </w:r>
    </w:p>
    <w:p>
      <w:pPr>
        <w:spacing w:after="0" w:line="2" w:lineRule="exact"/>
        <w:rPr>
          <w:sz w:val="20"/>
          <w:szCs w:val="20"/>
          <w:color w:val="auto"/>
        </w:rPr>
      </w:pPr>
    </w:p>
    <w:p>
      <w:pPr>
        <w:ind w:right="140" w:firstLine="8"/>
        <w:spacing w:after="0" w:line="261" w:lineRule="auto"/>
        <w:tabs>
          <w:tab w:leader="none" w:pos="315"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any other commitments of any kind for the issuance of additional shares of equity interests or options, warrants or other securities of the Vessel Owning Subsidiary.</w:t>
      </w:r>
    </w:p>
    <w:p>
      <w:pPr>
        <w:spacing w:after="0" w:line="184"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68" w:name="page369"/>
    <w:bookmarkEnd w:id="36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64" w:lineRule="auto"/>
        <w:tabs>
          <w:tab w:leader="none" w:pos="1158"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73" w:lineRule="exact"/>
        <w:rPr>
          <w:rFonts w:ascii="Arial" w:cs="Arial" w:eastAsia="Arial" w:hAnsi="Arial"/>
          <w:sz w:val="18"/>
          <w:szCs w:val="18"/>
          <w:color w:val="auto"/>
        </w:rPr>
      </w:pPr>
    </w:p>
    <w:p>
      <w:pPr>
        <w:ind w:right="240" w:firstLine="921"/>
        <w:spacing w:after="0" w:line="264" w:lineRule="auto"/>
        <w:tabs>
          <w:tab w:leader="none" w:pos="1168"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73" w:lineRule="exact"/>
        <w:rPr>
          <w:rFonts w:ascii="Arial" w:cs="Arial" w:eastAsia="Arial" w:hAnsi="Arial"/>
          <w:sz w:val="18"/>
          <w:szCs w:val="18"/>
          <w:color w:val="auto"/>
        </w:rPr>
      </w:pPr>
    </w:p>
    <w:p>
      <w:pPr>
        <w:ind w:right="600" w:firstLine="921"/>
        <w:spacing w:after="0" w:line="277" w:lineRule="auto"/>
        <w:tabs>
          <w:tab w:leader="none" w:pos="1158"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the Amendment to the Management Agreement and the Loan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73" w:lineRule="exact"/>
        <w:rPr>
          <w:sz w:val="20"/>
          <w:szCs w:val="20"/>
          <w:color w:val="auto"/>
        </w:rPr>
      </w:pPr>
    </w:p>
    <w:p>
      <w:pPr>
        <w:ind w:right="120" w:firstLine="921"/>
        <w:spacing w:after="0" w:line="277" w:lineRule="auto"/>
        <w:tabs>
          <w:tab w:leader="none" w:pos="1158" w:val="left"/>
        </w:tabs>
        <w:numPr>
          <w:ilvl w:val="0"/>
          <w:numId w:val="581"/>
        </w:numPr>
        <w:rPr>
          <w:rFonts w:ascii="Arial" w:cs="Arial" w:eastAsia="Arial" w:hAnsi="Arial"/>
          <w:sz w:val="18"/>
          <w:szCs w:val="18"/>
          <w:color w:val="auto"/>
        </w:rPr>
      </w:pPr>
      <w:r>
        <w:rPr>
          <w:rFonts w:ascii="Arial" w:cs="Arial" w:eastAsia="Arial" w:hAnsi="Arial"/>
          <w:sz w:val="18"/>
          <w:szCs w:val="18"/>
          <w:color w:val="auto"/>
        </w:rPr>
        <w:t>Each of the Contracts is (or, in the case of the Amendment to the Management Agreement, will be at Closing) a valid and binding agreement of the Vessel Owning Subsidiary, and to the best knowledge of the Seller, of all other parties thereto;</w:t>
      </w:r>
    </w:p>
    <w:p>
      <w:pPr>
        <w:spacing w:after="0" w:line="62" w:lineRule="exact"/>
        <w:rPr>
          <w:rFonts w:ascii="Arial" w:cs="Arial" w:eastAsia="Arial" w:hAnsi="Arial"/>
          <w:sz w:val="18"/>
          <w:szCs w:val="18"/>
          <w:color w:val="auto"/>
        </w:rPr>
      </w:pPr>
    </w:p>
    <w:p>
      <w:pPr>
        <w:ind w:right="260" w:firstLine="921"/>
        <w:spacing w:after="0" w:line="264" w:lineRule="auto"/>
        <w:tabs>
          <w:tab w:leader="none" w:pos="1168"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w:t>
      </w:r>
    </w:p>
    <w:p>
      <w:pPr>
        <w:spacing w:after="0" w:line="73" w:lineRule="exact"/>
        <w:rPr>
          <w:rFonts w:ascii="Arial" w:cs="Arial" w:eastAsia="Arial" w:hAnsi="Arial"/>
          <w:sz w:val="18"/>
          <w:szCs w:val="18"/>
          <w:color w:val="auto"/>
        </w:rPr>
      </w:pPr>
    </w:p>
    <w:p>
      <w:pPr>
        <w:ind w:firstLine="921"/>
        <w:spacing w:after="0" w:line="254" w:lineRule="auto"/>
        <w:tabs>
          <w:tab w:leader="none" w:pos="1158"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Vessel Owning Subsidiary and the Buyer Loan Parties (as defined below) have no obligations with respect to, or any liability for any breach or default of the Loan Agreement by, any of the other borrowers or other party under the Loan Agreement (other than with respect to obligations, breaches or defaults of the Buyer or any such borrowers that are wholly owned subsidiaries of the Buyer (collectively, “</w:t>
      </w:r>
      <w:r>
        <w:rPr>
          <w:rFonts w:ascii="Arial" w:cs="Arial" w:eastAsia="Arial" w:hAnsi="Arial"/>
          <w:sz w:val="18"/>
          <w:szCs w:val="18"/>
          <w:u w:val="single" w:color="auto"/>
          <w:color w:val="auto"/>
        </w:rPr>
        <w:t>Buyer Loan Parties</w:t>
      </w:r>
      <w:r>
        <w:rPr>
          <w:rFonts w:ascii="Arial" w:cs="Arial" w:eastAsia="Arial" w:hAnsi="Arial"/>
          <w:sz w:val="18"/>
          <w:szCs w:val="18"/>
          <w:color w:val="auto"/>
        </w:rPr>
        <w:t>”))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 Agreement Breaches</w:t>
      </w:r>
      <w:r>
        <w:rPr>
          <w:rFonts w:ascii="Arial" w:cs="Arial" w:eastAsia="Arial" w:hAnsi="Arial"/>
          <w:sz w:val="18"/>
          <w:szCs w:val="18"/>
          <w:color w:val="auto"/>
        </w:rPr>
        <w:t>”); no Third Party Loan Agreement Breaches shall result in a breach or default of the Loan Agreement by the Vessel Owning Subsidiary or the Buyer Loan Parties, result in any payment obligation of the Vessel Owning Subsidiary or the Buyer Loan Parties under the Loan Agreement, or otherwise affect the rights and obligations of the Vessel Owning Subsidiary or the Buyer Loan Parties under the Loan Agreement; and the Vessel Owning Subsidiary and the Buyer Loan Parties are not jointly liable for any obligations under the Loan Agreement other than in respect of the Vessel Owning Subsidiary or the Buyer Loan Parties.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69" w:name="page370"/>
    <w:bookmarkEnd w:id="369"/>
    <w:p>
      <w:pPr>
        <w:ind w:right="80" w:firstLine="921"/>
        <w:spacing w:after="0" w:line="302" w:lineRule="auto"/>
        <w:tabs>
          <w:tab w:leader="none" w:pos="1168" w:val="left"/>
        </w:tabs>
        <w:numPr>
          <w:ilvl w:val="0"/>
          <w:numId w:val="5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54"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including under the Loan Agreement), other than under the Loan Agreement solely with respect to the approximately $28,333,333.34 aggregate principal amount borrowed and outstanding thereunder to fund the purchase of the Vessel, plus accrued interest thereon, if any, from the last payment date.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9"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The Seller has disclosed to the Buyer all material information on, and about, the Vessel Owning Subsidiary and the Vessel and all such information is true, accurate and not misleading </w:t>
      </w:r>
      <w:r>
        <w:rPr>
          <w:rFonts w:ascii="Arial" w:cs="Arial" w:eastAsia="Arial" w:hAnsi="Arial"/>
          <w:sz w:val="18"/>
          <w:szCs w:val="18"/>
          <w:i w:val="1"/>
          <w:iCs w:val="1"/>
          <w:color w:val="auto"/>
        </w:rPr>
        <w:t>in</w:t>
      </w:r>
      <w:r>
        <w:rPr>
          <w:rFonts w:ascii="Arial" w:cs="Arial" w:eastAsia="Arial" w:hAnsi="Arial"/>
          <w:sz w:val="18"/>
          <w:szCs w:val="18"/>
          <w:color w:val="auto"/>
        </w:rPr>
        <w:t xml:space="preserve"> any material respect. Nothing has been withheld from the material provided to the Buyer which would render such information untrue or misleading.</w:t>
      </w:r>
    </w:p>
    <w:p>
      <w:pPr>
        <w:spacing w:after="0" w:line="18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retums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70" w:name="page371"/>
    <w:bookmarkEnd w:id="370"/>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 revocation or termination thereof or results or would result in any impairment of the rights of the holder of any such Permits,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7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December 31, 2015,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u w:val="single" w:color="auto"/>
          <w:color w:val="auto"/>
        </w:rPr>
        <w:t>Representations and Warranties of the Seller regarding the Vessel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jointly and severally, that as of the date hereof</w:t>
      </w:r>
    </w:p>
    <w:p>
      <w:pPr>
        <w:spacing w:after="0" w:line="225"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 or the Loan Agreement.</w:t>
      </w:r>
    </w:p>
    <w:p>
      <w:pPr>
        <w:spacing w:after="0" w:line="17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371" w:name="page372"/>
    <w:bookmarkEnd w:id="37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7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18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Joint and Several Liability of the Seller</w:t>
      </w:r>
      <w:r>
        <w:rPr>
          <w:rFonts w:ascii="Arial" w:cs="Arial" w:eastAsia="Arial" w:hAnsi="Arial"/>
          <w:sz w:val="18"/>
          <w:szCs w:val="18"/>
          <w:color w:val="auto"/>
        </w:rPr>
        <w:t>. Each of CM&amp;TC and Emma shall be jointly and severally liable for the representations, warranties, covenants and other obligations of the Seller (and of CM&amp;TC and Emma) under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jointly and severally liable for, and shall jointly and severally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ind w:right="80" w:firstLine="921"/>
        <w:spacing w:after="0" w:line="259" w:lineRule="auto"/>
        <w:tabs>
          <w:tab w:leader="none" w:pos="1158" w:val="left"/>
        </w:tabs>
        <w:numPr>
          <w:ilvl w:val="0"/>
          <w:numId w:val="583"/>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right="300" w:firstLine="921"/>
        <w:spacing w:after="0" w:line="308" w:lineRule="auto"/>
        <w:tabs>
          <w:tab w:leader="none" w:pos="1168" w:val="left"/>
        </w:tabs>
        <w:numPr>
          <w:ilvl w:val="0"/>
          <w:numId w:val="583"/>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firstLine="921"/>
        <w:spacing w:after="0" w:line="255" w:lineRule="auto"/>
        <w:tabs>
          <w:tab w:leader="none" w:pos="1158" w:val="left"/>
        </w:tabs>
        <w:numPr>
          <w:ilvl w:val="0"/>
          <w:numId w:val="583"/>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(i) Third Party Loan Agreement Breaches or (ii) obligations, liabilities, expenses, cost and claims relating to, arising from or otherwise attributable to (x) the Loan Agreement (other than those attributable to the Buyer Loan Parties, excluding any resulting from joint liability (or similar concepts) thereunder), including with respect to any amounts borrowed or otherwise owing thereunder other than the aggregate principal amount specified in Section 5.10) or (y) assets owned by the Vessel Owning Subsidiary or the assets, operations, and obligations of the Vessel Owning Subsidiary or the businesses thereof, in each case under clause (y), to the extent relating to, arising from, or otherwise attributable to facts, circumstances or events occurring prior to the Closing Date.</w:t>
      </w:r>
    </w:p>
    <w:p>
      <w:pPr>
        <w:spacing w:after="0" w:line="193"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o:t; the Buyer in or under this Agreement or in or under any document, instrument or agreement delivered pursuant to this Agreement by the Buyer.</w:t>
      </w:r>
    </w:p>
    <w:p>
      <w:pPr>
        <w:spacing w:after="0" w:line="17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73" w:name="page374"/>
    <w:bookmarkEnd w:id="37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Tbird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52" w:lineRule="exact"/>
        <w:rPr>
          <w:sz w:val="20"/>
          <w:szCs w:val="20"/>
          <w:color w:val="auto"/>
        </w:rPr>
      </w:pPr>
    </w:p>
    <w:p>
      <w:pPr>
        <w:ind w:left="1480" w:hanging="567"/>
        <w:spacing w:after="0"/>
        <w:tabs>
          <w:tab w:leader="none" w:pos="148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if to Capital Maritime &amp; Trading Cmp., as follows:</w:t>
      </w:r>
    </w:p>
    <w:p>
      <w:pPr>
        <w:spacing w:after="0" w:line="117" w:lineRule="exact"/>
        <w:rPr>
          <w:rFonts w:ascii="Arial" w:cs="Arial" w:eastAsia="Arial" w:hAnsi="Arial"/>
          <w:sz w:val="18"/>
          <w:szCs w:val="18"/>
          <w:color w:val="auto"/>
        </w:rPr>
      </w:pPr>
    </w:p>
    <w:p>
      <w:pPr>
        <w:ind w:left="1500" w:right="722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Gerassimos Kalogiratos Facsimile: +30 210 428 4285</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if to Emma Shipholdings Inc., as follows:</w:t>
      </w:r>
    </w:p>
    <w:p>
      <w:pPr>
        <w:spacing w:after="0" w:line="117" w:lineRule="exact"/>
        <w:rPr>
          <w:rFonts w:ascii="Arial" w:cs="Arial" w:eastAsia="Arial" w:hAnsi="Arial"/>
          <w:sz w:val="18"/>
          <w:szCs w:val="18"/>
          <w:color w:val="auto"/>
        </w:rPr>
      </w:pPr>
    </w:p>
    <w:p>
      <w:pPr>
        <w:ind w:left="1500" w:right="8000"/>
        <w:spacing w:after="0" w:line="288" w:lineRule="auto"/>
        <w:rPr>
          <w:rFonts w:ascii="Arial" w:cs="Arial" w:eastAsia="Arial" w:hAnsi="Arial"/>
          <w:sz w:val="18"/>
          <w:szCs w:val="18"/>
          <w:color w:val="auto"/>
        </w:rPr>
      </w:pPr>
      <w:r>
        <w:rPr>
          <w:rFonts w:ascii="Arial" w:cs="Arial" w:eastAsia="Arial" w:hAnsi="Arial"/>
          <w:sz w:val="16"/>
          <w:szCs w:val="16"/>
          <w:color w:val="auto"/>
        </w:rPr>
        <w:t>c/o Bairactaris &amp; Partners 130 Kolokotroni Street 18536 Piraeus, Greece</w:t>
      </w:r>
    </w:p>
    <w:p>
      <w:pPr>
        <w:ind w:left="1500"/>
        <w:spacing w:after="0"/>
        <w:rPr>
          <w:rFonts w:ascii="Arial" w:cs="Arial" w:eastAsia="Arial" w:hAnsi="Arial"/>
          <w:sz w:val="18"/>
          <w:szCs w:val="18"/>
          <w:color w:val="auto"/>
        </w:rPr>
      </w:pPr>
      <w:r>
        <w:rPr>
          <w:rFonts w:ascii="Arial" w:cs="Arial" w:eastAsia="Arial" w:hAnsi="Arial"/>
          <w:sz w:val="18"/>
          <w:szCs w:val="18"/>
          <w:color w:val="auto"/>
        </w:rPr>
        <w:t>E-mail: vbairactaris@bairactaris.com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374" w:name="page375"/>
    <w:bookmarkEnd w:id="374"/>
    <w:p>
      <w:pPr>
        <w:ind w:left="1480" w:hanging="567"/>
        <w:spacing w:after="0"/>
        <w:tabs>
          <w:tab w:leader="none" w:pos="1480" w:val="left"/>
        </w:tabs>
        <w:numPr>
          <w:ilvl w:val="0"/>
          <w:numId w:val="5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Capital Product Partners L.P., as follows:</w:t>
      </w:r>
    </w:p>
    <w:p>
      <w:pPr>
        <w:spacing w:after="0" w:line="117" w:lineRule="exact"/>
        <w:rPr>
          <w:rFonts w:ascii="Arial" w:cs="Arial" w:eastAsia="Arial" w:hAnsi="Arial"/>
          <w:sz w:val="18"/>
          <w:szCs w:val="18"/>
          <w:color w:val="auto"/>
        </w:rPr>
      </w:pPr>
    </w:p>
    <w:p>
      <w:pPr>
        <w:ind w:left="1500" w:right="7260"/>
        <w:spacing w:after="0" w:line="271" w:lineRule="auto"/>
        <w:rPr>
          <w:rFonts w:ascii="Arial" w:cs="Arial" w:eastAsia="Arial" w:hAnsi="Arial"/>
          <w:sz w:val="18"/>
          <w:szCs w:val="18"/>
          <w:color w:val="auto"/>
        </w:rPr>
      </w:pPr>
      <w:r>
        <w:rPr>
          <w:rFonts w:ascii="Arial" w:cs="Arial" w:eastAsia="Arial" w:hAnsi="Arial"/>
          <w:sz w:val="17"/>
          <w:szCs w:val="17"/>
          <w:color w:val="auto"/>
        </w:rPr>
        <w:t>c/o Capital Ship Management Corp., 3 Iassonos Street, Piraeus, Greece Attention: CEO/CFO</w:t>
      </w:r>
    </w:p>
    <w:p>
      <w:pPr>
        <w:ind w:left="1500"/>
        <w:spacing w:after="0"/>
        <w:rPr>
          <w:rFonts w:ascii="Arial" w:cs="Arial" w:eastAsia="Arial" w:hAnsi="Arial"/>
          <w:sz w:val="18"/>
          <w:szCs w:val="18"/>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75" w:name="page376"/>
    <w:bookmarkEnd w:id="37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27273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Gerasimos Kalogiratos</w:t>
      </w:r>
    </w:p>
    <w:p>
      <w:pPr>
        <w:spacing w:after="0" w:line="9" w:lineRule="exact"/>
        <w:rPr>
          <w:sz w:val="20"/>
          <w:szCs w:val="20"/>
          <w:color w:val="auto"/>
        </w:rPr>
      </w:pPr>
    </w:p>
    <w:p>
      <w:pPr>
        <w:ind w:left="59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EMMA SHIPHOLDINGS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Emmanouil Zannis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2727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Emmanouil Zannis</w:t>
      </w:r>
    </w:p>
    <w:p>
      <w:pPr>
        <w:spacing w:after="0" w:line="9" w:lineRule="exact"/>
        <w:rPr>
          <w:sz w:val="20"/>
          <w:szCs w:val="20"/>
          <w:color w:val="auto"/>
        </w:rPr>
      </w:pPr>
    </w:p>
    <w:p>
      <w:pPr>
        <w:ind w:left="59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27273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59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Chief Financial</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 of Capital GP, L.L.C.</w:t>
      </w:r>
    </w:p>
    <w:p>
      <w:pPr>
        <w:sectPr>
          <w:pgSz w:w="11900" w:h="16838" w:orient="portrait"/>
          <w:cols w:equalWidth="0" w:num="1">
            <w:col w:w="9660"/>
          </w:cols>
          <w:pgMar w:left="1440" w:top="273" w:right="79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4.48</w:t>
      </w:r>
    </w:p>
    <w:p>
      <w:pPr>
        <w:spacing w:after="0" w:line="252"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Norwegian Shipbrokers’ Association’s</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Memorandum of Agreement for sale and</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purchase of ships. Adopted by BIMCO in 1956. Code-name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SALEFORM 2012</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Revised 1966, 1983 and 1986/87, 1993 and 2012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OF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22 December 2017</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Aenaos Product Carriers SA, 80 Broad Street, Monrovia, Liberia </w:t>
      </w:r>
      <w:r>
        <w:rPr>
          <w:rFonts w:ascii="Arial" w:cs="Arial" w:eastAsia="Arial" w:hAnsi="Arial"/>
          <w:sz w:val="16"/>
          <w:szCs w:val="16"/>
          <w:color w:val="auto"/>
        </w:rPr>
        <w:t>(</w:t>
      </w:r>
      <w:r>
        <w:rPr>
          <w:rFonts w:ascii="Arial" w:cs="Arial" w:eastAsia="Arial" w:hAnsi="Arial"/>
          <w:sz w:val="16"/>
          <w:szCs w:val="16"/>
          <w:i w:val="1"/>
          <w:iCs w:val="1"/>
          <w:color w:val="auto"/>
        </w:rPr>
        <w:t>Name of sellers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hereinafter called the “Sellers”, have agreed to sell, and</w:t>
      </w:r>
    </w:p>
    <w:p>
      <w:pPr>
        <w:spacing w:after="0" w:line="140" w:lineRule="exact"/>
        <w:rPr>
          <w:sz w:val="20"/>
          <w:szCs w:val="20"/>
          <w:color w:val="auto"/>
        </w:rPr>
      </w:pPr>
    </w:p>
    <w:p>
      <w:pPr>
        <w:ind w:left="920" w:right="200"/>
        <w:spacing w:after="0" w:line="347" w:lineRule="auto"/>
        <w:rPr>
          <w:sz w:val="20"/>
          <w:szCs w:val="20"/>
          <w:color w:val="auto"/>
        </w:rPr>
      </w:pPr>
      <w:r>
        <w:rPr>
          <w:rFonts w:ascii="Arial" w:cs="Arial" w:eastAsia="Arial" w:hAnsi="Arial"/>
          <w:sz w:val="16"/>
          <w:szCs w:val="16"/>
          <w:b w:val="1"/>
          <w:bCs w:val="1"/>
          <w:color w:val="auto"/>
        </w:rPr>
        <w:t>Chelsea Shipping Corp., of 26th Floor Fort Legend Tower 3RD Avenue Corner 31</w:t>
      </w:r>
      <w:r>
        <w:rPr>
          <w:rFonts w:ascii="Arial" w:cs="Arial" w:eastAsia="Arial" w:hAnsi="Arial"/>
          <w:sz w:val="13"/>
          <w:szCs w:val="13"/>
          <w:b w:val="1"/>
          <w:bCs w:val="1"/>
          <w:color w:val="auto"/>
        </w:rPr>
        <w:t>st</w:t>
      </w:r>
      <w:r>
        <w:rPr>
          <w:rFonts w:ascii="Arial" w:cs="Arial" w:eastAsia="Arial" w:hAnsi="Arial"/>
          <w:sz w:val="16"/>
          <w:szCs w:val="16"/>
          <w:b w:val="1"/>
          <w:bCs w:val="1"/>
          <w:color w:val="auto"/>
        </w:rPr>
        <w:t xml:space="preserve"> Street Bonifacio Global City, Taguig 1634, Manila, Philippines or for a company to be nominated as buyer </w:t>
      </w:r>
      <w:r>
        <w:rPr>
          <w:rFonts w:ascii="Arial" w:cs="Arial" w:eastAsia="Arial" w:hAnsi="Arial"/>
          <w:sz w:val="16"/>
          <w:szCs w:val="16"/>
          <w:color w:val="auto"/>
        </w:rPr>
        <w:t>(</w:t>
      </w:r>
      <w:r>
        <w:rPr>
          <w:rFonts w:ascii="Arial" w:cs="Arial" w:eastAsia="Arial" w:hAnsi="Arial"/>
          <w:sz w:val="16"/>
          <w:szCs w:val="16"/>
          <w:i w:val="1"/>
          <w:iCs w:val="1"/>
          <w:color w:val="auto"/>
        </w:rPr>
        <w:t>Name of buyers</w:t>
      </w:r>
      <w:r>
        <w:rPr>
          <w:rFonts w:ascii="Arial" w:cs="Arial" w:eastAsia="Arial" w:hAnsi="Arial"/>
          <w:sz w:val="16"/>
          <w:szCs w:val="16"/>
          <w:color w:val="auto"/>
        </w:rPr>
        <w:t>), hereinafter called the “Buyers”, have agreed to buy:</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of vessel: “</w:t>
      </w:r>
      <w:r>
        <w:rPr>
          <w:rFonts w:ascii="Arial" w:cs="Arial" w:eastAsia="Arial" w:hAnsi="Arial"/>
          <w:sz w:val="18"/>
          <w:szCs w:val="18"/>
          <w:b w:val="1"/>
          <w:bCs w:val="1"/>
          <w:color w:val="auto"/>
        </w:rPr>
        <w:t>ARISTOTELIS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IMO Number: </w:t>
      </w:r>
      <w:r>
        <w:rPr>
          <w:rFonts w:ascii="Arial" w:cs="Arial" w:eastAsia="Arial" w:hAnsi="Arial"/>
          <w:sz w:val="18"/>
          <w:szCs w:val="18"/>
          <w:b w:val="1"/>
          <w:bCs w:val="1"/>
          <w:color w:val="auto"/>
        </w:rPr>
        <w:t>9633501</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Classification Society: </w:t>
      </w:r>
      <w:r>
        <w:rPr>
          <w:rFonts w:ascii="Arial" w:cs="Arial" w:eastAsia="Arial" w:hAnsi="Arial"/>
          <w:sz w:val="18"/>
          <w:szCs w:val="18"/>
          <w:b w:val="1"/>
          <w:bCs w:val="1"/>
          <w:color w:val="auto"/>
        </w:rPr>
        <w:t>Lloyds Register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Class Notation: </w:t>
      </w:r>
      <w:r>
        <w:rPr>
          <w:rFonts w:ascii="Arial" w:cs="Arial" w:eastAsia="Arial" w:hAnsi="Arial"/>
          <w:sz w:val="16"/>
          <w:szCs w:val="16"/>
          <w:b w:val="1"/>
          <w:bCs w:val="1"/>
          <w:color w:val="auto"/>
        </w:rPr>
        <w:t>+100A1, Double Hull Oil and Chemical Tanker, Ship Type 2 &amp; 3, CSR, ESP, Ship Right (CM, ACS(B)), *IWS, LI, SPM4,</w:t>
      </w:r>
    </w:p>
    <w:p>
      <w:pPr>
        <w:spacing w:after="0" w:line="50" w:lineRule="exact"/>
        <w:rPr>
          <w:sz w:val="20"/>
          <w:szCs w:val="20"/>
          <w:color w:val="auto"/>
        </w:rPr>
      </w:pPr>
    </w:p>
    <w:p>
      <w:pPr>
        <w:ind w:left="920" w:right="1620"/>
        <w:spacing w:after="0" w:line="261" w:lineRule="auto"/>
        <w:rPr>
          <w:sz w:val="20"/>
          <w:szCs w:val="20"/>
          <w:color w:val="auto"/>
        </w:rPr>
      </w:pPr>
      <w:r>
        <w:rPr>
          <w:rFonts w:ascii="Arial" w:cs="Arial" w:eastAsia="Arial" w:hAnsi="Arial"/>
          <w:sz w:val="18"/>
          <w:szCs w:val="18"/>
          <w:b w:val="1"/>
          <w:bCs w:val="1"/>
          <w:color w:val="auto"/>
        </w:rPr>
        <w:t>EP(Bt, P, Vc) +LMC, IGS, UMS Descriptive notes: COW(LR), ETA, Part Higher Tensile Steel, PL(LR), SBT(LOR), ShipRight(BWMP(S, T), SCM, SERS, IHM)</w:t>
      </w:r>
    </w:p>
    <w:p>
      <w:pPr>
        <w:spacing w:after="0" w:line="72" w:lineRule="exact"/>
        <w:rPr>
          <w:sz w:val="20"/>
          <w:szCs w:val="20"/>
          <w:color w:val="auto"/>
        </w:rPr>
      </w:pPr>
    </w:p>
    <w:p>
      <w:pPr>
        <w:ind w:left="920"/>
        <w:spacing w:after="0"/>
        <w:tabs>
          <w:tab w:leader="none" w:pos="2740" w:val="left"/>
        </w:tabs>
        <w:rPr>
          <w:sz w:val="20"/>
          <w:szCs w:val="20"/>
          <w:color w:val="auto"/>
        </w:rPr>
      </w:pPr>
      <w:r>
        <w:rPr>
          <w:rFonts w:ascii="Arial" w:cs="Arial" w:eastAsia="Arial" w:hAnsi="Arial"/>
          <w:sz w:val="18"/>
          <w:szCs w:val="18"/>
          <w:color w:val="auto"/>
        </w:rPr>
        <w:t xml:space="preserve">Year of Build: </w:t>
      </w:r>
      <w:r>
        <w:rPr>
          <w:rFonts w:ascii="Arial" w:cs="Arial" w:eastAsia="Arial" w:hAnsi="Arial"/>
          <w:sz w:val="18"/>
          <w:szCs w:val="18"/>
          <w:b w:val="1"/>
          <w:bCs w:val="1"/>
          <w:color w:val="auto"/>
        </w:rPr>
        <w:t>2013</w:t>
      </w:r>
      <w:r>
        <w:rPr>
          <w:sz w:val="20"/>
          <w:szCs w:val="20"/>
          <w:color w:val="auto"/>
        </w:rPr>
        <w:tab/>
      </w:r>
      <w:r>
        <w:rPr>
          <w:rFonts w:ascii="Arial" w:cs="Arial" w:eastAsia="Arial" w:hAnsi="Arial"/>
          <w:sz w:val="16"/>
          <w:szCs w:val="16"/>
          <w:color w:val="auto"/>
        </w:rPr>
        <w:t xml:space="preserve">Builder/Yard: </w:t>
      </w:r>
      <w:r>
        <w:rPr>
          <w:rFonts w:ascii="Arial" w:cs="Arial" w:eastAsia="Arial" w:hAnsi="Arial"/>
          <w:sz w:val="16"/>
          <w:szCs w:val="16"/>
          <w:b w:val="1"/>
          <w:bCs w:val="1"/>
          <w:color w:val="auto"/>
        </w:rPr>
        <w:t>Hyundai Mipo Dockyard Co., LTD.</w:t>
      </w:r>
    </w:p>
    <w:p>
      <w:pPr>
        <w:spacing w:after="0" w:line="117" w:lineRule="exact"/>
        <w:rPr>
          <w:sz w:val="20"/>
          <w:szCs w:val="20"/>
          <w:color w:val="auto"/>
        </w:rPr>
      </w:pPr>
    </w:p>
    <w:p>
      <w:pPr>
        <w:ind w:left="920"/>
        <w:spacing w:after="0"/>
        <w:tabs>
          <w:tab w:leader="none" w:pos="2740" w:val="left"/>
          <w:tab w:leader="none" w:pos="5420" w:val="left"/>
        </w:tabs>
        <w:rPr>
          <w:sz w:val="20"/>
          <w:szCs w:val="20"/>
          <w:color w:val="auto"/>
        </w:rPr>
      </w:pPr>
      <w:r>
        <w:rPr>
          <w:rFonts w:ascii="Arial" w:cs="Arial" w:eastAsia="Arial" w:hAnsi="Arial"/>
          <w:sz w:val="18"/>
          <w:szCs w:val="18"/>
          <w:color w:val="auto"/>
        </w:rPr>
        <w:t xml:space="preserve">Flag: </w:t>
      </w:r>
      <w:r>
        <w:rPr>
          <w:rFonts w:ascii="Arial" w:cs="Arial" w:eastAsia="Arial" w:hAnsi="Arial"/>
          <w:sz w:val="18"/>
          <w:szCs w:val="18"/>
          <w:b w:val="1"/>
          <w:bCs w:val="1"/>
          <w:color w:val="auto"/>
        </w:rPr>
        <w:t>Liberia</w:t>
      </w:r>
      <w:r>
        <w:rPr>
          <w:sz w:val="20"/>
          <w:szCs w:val="20"/>
          <w:color w:val="auto"/>
        </w:rPr>
        <w:tab/>
      </w:r>
      <w:r>
        <w:rPr>
          <w:rFonts w:ascii="Arial" w:cs="Arial" w:eastAsia="Arial" w:hAnsi="Arial"/>
          <w:sz w:val="18"/>
          <w:szCs w:val="18"/>
          <w:color w:val="auto"/>
        </w:rPr>
        <w:t xml:space="preserve">Place of Registration: </w:t>
      </w:r>
      <w:r>
        <w:rPr>
          <w:rFonts w:ascii="Arial" w:cs="Arial" w:eastAsia="Arial" w:hAnsi="Arial"/>
          <w:sz w:val="18"/>
          <w:szCs w:val="18"/>
          <w:b w:val="1"/>
          <w:bCs w:val="1"/>
          <w:color w:val="auto"/>
        </w:rPr>
        <w:t>Monrovia</w:t>
      </w:r>
      <w:r>
        <w:rPr>
          <w:sz w:val="20"/>
          <w:szCs w:val="20"/>
          <w:color w:val="auto"/>
        </w:rPr>
        <w:tab/>
      </w:r>
      <w:r>
        <w:rPr>
          <w:rFonts w:ascii="Arial" w:cs="Arial" w:eastAsia="Arial" w:hAnsi="Arial"/>
          <w:sz w:val="16"/>
          <w:szCs w:val="16"/>
          <w:color w:val="auto"/>
        </w:rPr>
        <w:t xml:space="preserve">GT/NT: </w:t>
      </w:r>
      <w:r>
        <w:rPr>
          <w:rFonts w:ascii="Arial" w:cs="Arial" w:eastAsia="Arial" w:hAnsi="Arial"/>
          <w:sz w:val="16"/>
          <w:szCs w:val="16"/>
          <w:b w:val="1"/>
          <w:bCs w:val="1"/>
          <w:color w:val="auto"/>
        </w:rPr>
        <w:t>29,877/14,127</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hereinafter called the “Vessel”, on the following terms and conditions: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 xml:space="preserve">“Banking Days” are days on which banks are open </w:t>
      </w:r>
      <w:r>
        <w:rPr>
          <w:rFonts w:ascii="Arial" w:cs="Arial" w:eastAsia="Arial" w:hAnsi="Arial"/>
          <w:sz w:val="18"/>
          <w:szCs w:val="18"/>
          <w:color w:val="auto"/>
          <w:strike w:val="1"/>
        </w:rPr>
        <w:t>both</w:t>
      </w:r>
      <w:r>
        <w:rPr>
          <w:rFonts w:ascii="Arial" w:cs="Arial" w:eastAsia="Arial" w:hAnsi="Arial"/>
          <w:sz w:val="18"/>
          <w:szCs w:val="18"/>
          <w:color w:val="auto"/>
        </w:rPr>
        <w:t xml:space="preserve"> in the country of the currency stipulated for the Purchase Price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(Purchase Price) and in the place of closing stipulated in </w:t>
      </w:r>
      <w:r>
        <w:rPr>
          <w:rFonts w:ascii="Arial" w:cs="Arial" w:eastAsia="Arial" w:hAnsi="Arial"/>
          <w:sz w:val="18"/>
          <w:szCs w:val="18"/>
          <w:u w:val="single" w:color="auto"/>
          <w:color w:val="auto"/>
        </w:rPr>
        <w:t>Clause 8</w:t>
      </w:r>
      <w:r>
        <w:rPr>
          <w:rFonts w:ascii="Arial" w:cs="Arial" w:eastAsia="Arial" w:hAnsi="Arial"/>
          <w:sz w:val="18"/>
          <w:szCs w:val="18"/>
          <w:color w:val="auto"/>
        </w:rPr>
        <w:t xml:space="preserve"> (Documentation), </w:t>
      </w:r>
      <w:r>
        <w:rPr>
          <w:rFonts w:ascii="Arial" w:cs="Arial" w:eastAsia="Arial" w:hAnsi="Arial"/>
          <w:sz w:val="18"/>
          <w:szCs w:val="18"/>
          <w:b w:val="1"/>
          <w:bCs w:val="1"/>
          <w:color w:val="auto"/>
        </w:rPr>
        <w:t>the Philippines, Germany, Singapore</w:t>
      </w:r>
      <w:r>
        <w:rPr>
          <w:rFonts w:ascii="Arial" w:cs="Arial" w:eastAsia="Arial" w:hAnsi="Arial"/>
          <w:sz w:val="18"/>
          <w:szCs w:val="18"/>
          <w:color w:val="auto"/>
        </w:rPr>
        <w:t xml:space="preserve"> and </w:t>
      </w:r>
      <w:r>
        <w:rPr>
          <w:rFonts w:ascii="Arial" w:cs="Arial" w:eastAsia="Arial" w:hAnsi="Arial"/>
          <w:sz w:val="18"/>
          <w:szCs w:val="18"/>
          <w:b w:val="1"/>
          <w:bCs w:val="1"/>
          <w:color w:val="auto"/>
        </w:rPr>
        <w:t>Greece</w:t>
      </w:r>
      <w:r>
        <w:rPr>
          <w:rFonts w:ascii="Arial" w:cs="Arial" w:eastAsia="Arial" w:hAnsi="Arial"/>
          <w:sz w:val="18"/>
          <w:szCs w:val="18"/>
          <w:color w:val="auto"/>
        </w:rPr>
        <w:t xml:space="preserve"> (</w:t>
      </w:r>
      <w:r>
        <w:rPr>
          <w:rFonts w:ascii="Arial" w:cs="Arial" w:eastAsia="Arial" w:hAnsi="Arial"/>
          <w:sz w:val="18"/>
          <w:szCs w:val="18"/>
          <w:i w:val="1"/>
          <w:iCs w:val="1"/>
          <w:color w:val="auto"/>
        </w:rPr>
        <w:t>add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jurisdictions as appropriate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“Buyers’ Nominated Flag State” means </w:t>
      </w:r>
      <w:r>
        <w:rPr>
          <w:rFonts w:ascii="Arial" w:cs="Arial" w:eastAsia="Arial" w:hAnsi="Arial"/>
          <w:sz w:val="18"/>
          <w:szCs w:val="18"/>
          <w:b w:val="1"/>
          <w:bCs w:val="1"/>
          <w:color w:val="auto"/>
        </w:rPr>
        <w:t>Philippines</w:t>
      </w:r>
      <w:r>
        <w:rPr>
          <w:rFonts w:ascii="Arial" w:cs="Arial" w:eastAsia="Arial" w:hAnsi="Arial"/>
          <w:sz w:val="18"/>
          <w:szCs w:val="18"/>
          <w:color w:val="auto"/>
        </w:rPr>
        <w:t xml:space="preserve"> (</w:t>
      </w:r>
      <w:r>
        <w:rPr>
          <w:rFonts w:ascii="Arial" w:cs="Arial" w:eastAsia="Arial" w:hAnsi="Arial"/>
          <w:sz w:val="18"/>
          <w:szCs w:val="18"/>
          <w:i w:val="1"/>
          <w:iCs w:val="1"/>
          <w:color w:val="auto"/>
        </w:rPr>
        <w:t>state flag state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“Class” means the class notation referred to above.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“Classification Society” means the Society referred to above.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“Deposit” shall have the meaning given in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(Deposit).</w:t>
      </w:r>
    </w:p>
    <w:p>
      <w:pPr>
        <w:spacing w:after="0" w:line="158" w:lineRule="exact"/>
        <w:rPr>
          <w:sz w:val="20"/>
          <w:szCs w:val="20"/>
          <w:color w:val="auto"/>
        </w:rPr>
      </w:pPr>
    </w:p>
    <w:p>
      <w:pPr>
        <w:jc w:val="center"/>
        <w:ind w:left="260" w:right="2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ectPr>
          <w:pgSz w:w="11900" w:h="16838" w:orient="portrait"/>
          <w:cols w:equalWidth="0" w:num="1">
            <w:col w:w="11420"/>
          </w:cols>
          <w:pgMar w:left="240" w:top="121" w:right="239" w:bottom="1440" w:gutter="0" w:footer="0" w:header="0"/>
        </w:sectPr>
      </w:pPr>
    </w:p>
    <w:bookmarkStart w:id="377" w:name="page378"/>
    <w:bookmarkEnd w:id="377"/>
    <w:p>
      <w:pPr>
        <w:ind w:right="38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“Deposit Holder” means </w:t>
      </w:r>
      <w:r>
        <w:rPr>
          <w:rFonts w:ascii="Arial" w:cs="Arial" w:eastAsia="Arial" w:hAnsi="Arial"/>
          <w:sz w:val="16"/>
          <w:szCs w:val="16"/>
          <w:b w:val="1"/>
          <w:bCs w:val="1"/>
          <w:color w:val="auto"/>
        </w:rPr>
        <w:t>Holman Fenwick Willan, Singapore, 10 Collyer Quay, #18-01 Ocean Financial Centre, Singapore 049315</w:t>
      </w:r>
      <w:r>
        <w:rPr>
          <w:rFonts w:ascii="Arial" w:cs="Arial" w:eastAsia="Arial" w:hAnsi="Arial"/>
          <w:sz w:val="16"/>
          <w:szCs w:val="16"/>
          <w:color w:val="auto"/>
        </w:rPr>
        <w:t xml:space="preserve"> (</w:t>
      </w:r>
      <w:r>
        <w:rPr>
          <w:rFonts w:ascii="Arial" w:cs="Arial" w:eastAsia="Arial" w:hAnsi="Arial"/>
          <w:sz w:val="16"/>
          <w:szCs w:val="16"/>
          <w:i w:val="1"/>
          <w:iCs w:val="1"/>
          <w:color w:val="auto"/>
        </w:rPr>
        <w:t>state name and</w:t>
      </w:r>
      <w:r>
        <w:rPr>
          <w:rFonts w:ascii="Arial" w:cs="Arial" w:eastAsia="Arial" w:hAnsi="Arial"/>
          <w:sz w:val="16"/>
          <w:szCs w:val="16"/>
          <w:color w:val="auto"/>
        </w:rPr>
        <w:t xml:space="preserve"> </w:t>
      </w:r>
      <w:r>
        <w:rPr>
          <w:rFonts w:ascii="Arial" w:cs="Arial" w:eastAsia="Arial" w:hAnsi="Arial"/>
          <w:sz w:val="16"/>
          <w:szCs w:val="16"/>
          <w:i w:val="1"/>
          <w:iCs w:val="1"/>
          <w:color w:val="auto"/>
        </w:rPr>
        <w:t>location of Deposit Holder</w:t>
      </w:r>
      <w:r>
        <w:rPr>
          <w:rFonts w:ascii="Arial" w:cs="Arial" w:eastAsia="Arial" w:hAnsi="Arial"/>
          <w:sz w:val="16"/>
          <w:szCs w:val="16"/>
          <w:color w:val="auto"/>
        </w:rPr>
        <w:t>) or, if left blank, the Sellers’ Bank, which shall hold and release the Deposit in accordance with this Agreement.</w:t>
      </w:r>
    </w:p>
    <w:p>
      <w:pPr>
        <w:spacing w:after="0" w:line="8"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The Deposit holder to be Sellers nominated bank or a UK Law Firm nominated by the Sellers for Buyers acceptance, such acceptance not to be unreasonably withheld (intention Holman Fenwick Willan, Singapore — Watson Farley Williams, Ince &amp; Co, Reed Smith, Hill Dickinson in the UK and any of the offices abroad are considered as accepted). Buyers to provide all requested ‘Know Your </w:t>
      </w:r>
      <w:r>
        <w:rPr>
          <w:rFonts w:ascii="Arial" w:cs="Arial" w:eastAsia="Arial" w:hAnsi="Arial"/>
          <w:sz w:val="17"/>
          <w:szCs w:val="17"/>
          <w:color w:val="auto"/>
        </w:rPr>
        <w:t>Customer’ (‘KYC’) documentation</w:t>
      </w:r>
      <w:r>
        <w:rPr>
          <w:rFonts w:ascii="Arial" w:cs="Arial" w:eastAsia="Arial" w:hAnsi="Arial"/>
          <w:sz w:val="17"/>
          <w:szCs w:val="17"/>
          <w:b w:val="1"/>
          <w:bCs w:val="1"/>
          <w:color w:val="auto"/>
        </w:rPr>
        <w:t xml:space="preserve"> to the Deposit Holder in a prompt manner and not later than 1 Banking Day after receipt of the relevant request.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“In writing” or “written” means a letter handed over from the Sellers to the Buyers or vice versa, a registered letter, e-mail or telefax.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“Parties” means the Sellers and the Buyers.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“Purchase Price” means the price for the Vessel as stated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“Sellers’ Account” means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 details of bank account</w:t>
      </w:r>
      <w:r>
        <w:rPr>
          <w:rFonts w:ascii="Arial" w:cs="Arial" w:eastAsia="Arial" w:hAnsi="Arial"/>
          <w:sz w:val="18"/>
          <w:szCs w:val="18"/>
          <w:color w:val="auto"/>
        </w:rPr>
        <w:t>) at the Sellers’ Bank.</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“Sellers Bank” means HSH Nordbank AG, Hamburg (</w:t>
      </w:r>
      <w:r>
        <w:rPr>
          <w:rFonts w:ascii="Arial" w:cs="Arial" w:eastAsia="Arial" w:hAnsi="Arial"/>
          <w:sz w:val="18"/>
          <w:szCs w:val="18"/>
          <w:i w:val="1"/>
          <w:iCs w:val="1"/>
          <w:color w:val="auto"/>
        </w:rPr>
        <w:t>state name of bank, branch and details</w:t>
      </w:r>
      <w:r>
        <w:rPr>
          <w:rFonts w:ascii="Arial" w:cs="Arial" w:eastAsia="Arial" w:hAnsi="Arial"/>
          <w:sz w:val="18"/>
          <w:szCs w:val="18"/>
          <w:color w:val="auto"/>
        </w:rPr>
        <w:t>) or, if left blank, the bank notified by the Sellers to the Buyers for receipt of the balance of the Purchase Price.</w:t>
      </w:r>
    </w:p>
    <w:p>
      <w:pPr>
        <w:spacing w:after="0" w:line="315" w:lineRule="exact"/>
        <w:rPr>
          <w:sz w:val="20"/>
          <w:szCs w:val="20"/>
          <w:color w:val="auto"/>
        </w:rPr>
      </w:pPr>
    </w:p>
    <w:p>
      <w:pPr>
        <w:ind w:left="920" w:hanging="912"/>
        <w:spacing w:after="0"/>
        <w:tabs>
          <w:tab w:leader="none" w:pos="920"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117" w:lineRule="exact"/>
        <w:rPr>
          <w:rFonts w:ascii="Arial" w:cs="Arial" w:eastAsia="Arial" w:hAnsi="Arial"/>
          <w:sz w:val="18"/>
          <w:szCs w:val="18"/>
          <w:b w:val="1"/>
          <w:bCs w:val="1"/>
          <w:color w:val="auto"/>
        </w:rPr>
      </w:pPr>
    </w:p>
    <w:p>
      <w:pPr>
        <w:ind w:left="920" w:right="2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The Purchase Price is </w:t>
      </w:r>
      <w:r>
        <w:rPr>
          <w:rFonts w:ascii="Arial" w:cs="Arial" w:eastAsia="Arial" w:hAnsi="Arial"/>
          <w:sz w:val="18"/>
          <w:szCs w:val="18"/>
          <w:b w:val="1"/>
          <w:bCs w:val="1"/>
          <w:color w:val="auto"/>
        </w:rPr>
        <w:t>United States Dollars Twenty Nine Million Four Hundred Thousand (USD 29,400,000)</w:t>
      </w:r>
      <w:r>
        <w:rPr>
          <w:rFonts w:ascii="Arial" w:cs="Arial" w:eastAsia="Arial" w:hAnsi="Arial"/>
          <w:sz w:val="18"/>
          <w:szCs w:val="18"/>
          <w:color w:val="auto"/>
        </w:rPr>
        <w:t xml:space="preserve"> (</w:t>
      </w:r>
      <w:r>
        <w:rPr>
          <w:rFonts w:ascii="Arial" w:cs="Arial" w:eastAsia="Arial" w:hAnsi="Arial"/>
          <w:sz w:val="18"/>
          <w:szCs w:val="18"/>
          <w:i w:val="1"/>
          <w:iCs w:val="1"/>
          <w:color w:val="auto"/>
        </w:rPr>
        <w:t>state currency and amount</w:t>
      </w:r>
      <w:r>
        <w:rPr>
          <w:rFonts w:ascii="Arial" w:cs="Arial" w:eastAsia="Arial" w:hAnsi="Arial"/>
          <w:sz w:val="18"/>
          <w:szCs w:val="18"/>
          <w:color w:val="auto"/>
        </w:rPr>
        <w:t xml:space="preserve"> </w:t>
      </w:r>
      <w:r>
        <w:rPr>
          <w:rFonts w:ascii="Arial" w:cs="Arial" w:eastAsia="Arial" w:hAnsi="Arial"/>
          <w:sz w:val="18"/>
          <w:szCs w:val="18"/>
          <w:i w:val="1"/>
          <w:iCs w:val="1"/>
          <w:color w:val="auto"/>
        </w:rPr>
        <w:t>both in words and figures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310" w:lineRule="exact"/>
        <w:rPr>
          <w:rFonts w:ascii="Arial" w:cs="Arial" w:eastAsia="Arial" w:hAnsi="Arial"/>
          <w:sz w:val="18"/>
          <w:szCs w:val="18"/>
          <w:b w:val="1"/>
          <w:bCs w:val="1"/>
          <w:color w:val="auto"/>
        </w:rPr>
      </w:pPr>
    </w:p>
    <w:p>
      <w:pPr>
        <w:ind w:left="920" w:hanging="912"/>
        <w:spacing w:after="0"/>
        <w:tabs>
          <w:tab w:leader="none" w:pos="920"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color w:val="auto"/>
        </w:rPr>
        <w:t>Deposit</w:t>
      </w:r>
    </w:p>
    <w:p>
      <w:pPr>
        <w:spacing w:after="0" w:line="121" w:lineRule="exact"/>
        <w:rPr>
          <w:sz w:val="20"/>
          <w:szCs w:val="20"/>
          <w:color w:val="auto"/>
        </w:rPr>
      </w:pPr>
    </w:p>
    <w:p>
      <w:pPr>
        <w:ind w:left="920"/>
        <w:spacing w:after="0"/>
        <w:tabs>
          <w:tab w:leader="none" w:pos="8180" w:val="left"/>
          <w:tab w:leader="none" w:pos="9200" w:val="left"/>
        </w:tabs>
        <w:rPr>
          <w:sz w:val="20"/>
          <w:szCs w:val="20"/>
          <w:color w:val="auto"/>
        </w:rPr>
      </w:pPr>
      <w:r>
        <w:rPr>
          <w:rFonts w:ascii="Arial" w:cs="Arial" w:eastAsia="Arial" w:hAnsi="Arial"/>
          <w:sz w:val="18"/>
          <w:szCs w:val="18"/>
          <w:color w:val="auto"/>
        </w:rPr>
        <w:t>As security for the correct fulfilment of this Agreement the Buyers shall lodge a deposit of</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strike w:val="1"/>
        </w:rPr>
        <w:t>per cent) or, if left blank,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4755515</wp:posOffset>
            </wp:positionH>
            <wp:positionV relativeFrom="paragraph">
              <wp:posOffset>-10160</wp:posOffset>
            </wp:positionV>
            <wp:extent cx="10763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6">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(ten per cent)</w:t>
      </w:r>
      <w:r>
        <w:rPr>
          <w:rFonts w:ascii="Arial" w:cs="Arial" w:eastAsia="Arial" w:hAnsi="Arial"/>
          <w:sz w:val="18"/>
          <w:szCs w:val="18"/>
          <w:color w:val="auto"/>
          <w:strike w:val="1"/>
        </w:rPr>
        <w:t>,</w:t>
      </w:r>
      <w:r>
        <w:rPr>
          <w:rFonts w:ascii="Arial" w:cs="Arial" w:eastAsia="Arial" w:hAnsi="Arial"/>
          <w:sz w:val="18"/>
          <w:szCs w:val="18"/>
          <w:color w:val="auto"/>
        </w:rPr>
        <w:t xml:space="preserve"> of the Purchase Price (the “Deposit”) in an interest bearing account for the Parties with the Deposit Holder within three</w:t>
      </w:r>
    </w:p>
    <w:p>
      <w:pPr>
        <w:spacing w:after="0" w:line="9" w:lineRule="exact"/>
        <w:rPr>
          <w:sz w:val="20"/>
          <w:szCs w:val="20"/>
          <w:color w:val="auto"/>
        </w:rPr>
      </w:pPr>
    </w:p>
    <w:p>
      <w:pPr>
        <w:ind w:left="1180" w:hanging="259"/>
        <w:spacing w:after="0"/>
        <w:tabs>
          <w:tab w:leader="none" w:pos="1180" w:val="left"/>
        </w:tabs>
        <w:numPr>
          <w:ilvl w:val="1"/>
          <w:numId w:val="587"/>
        </w:numPr>
        <w:rPr>
          <w:rFonts w:ascii="Arial" w:cs="Arial" w:eastAsia="Arial" w:hAnsi="Arial"/>
          <w:sz w:val="18"/>
          <w:szCs w:val="18"/>
          <w:color w:val="auto"/>
        </w:rPr>
      </w:pPr>
      <w:r>
        <w:rPr>
          <w:rFonts w:ascii="Arial" w:cs="Arial" w:eastAsia="Arial" w:hAnsi="Arial"/>
          <w:sz w:val="18"/>
          <w:szCs w:val="18"/>
          <w:color w:val="auto"/>
        </w:rPr>
        <w:t>Banking Days after the date that:</w:t>
      </w:r>
    </w:p>
    <w:p>
      <w:pPr>
        <w:spacing w:after="0" w:line="112" w:lineRule="exact"/>
        <w:rPr>
          <w:rFonts w:ascii="Arial" w:cs="Arial" w:eastAsia="Arial" w:hAnsi="Arial"/>
          <w:sz w:val="18"/>
          <w:szCs w:val="18"/>
          <w:color w:val="auto"/>
        </w:rPr>
      </w:pPr>
    </w:p>
    <w:p>
      <w:pPr>
        <w:ind w:left="1700" w:right="40" w:hanging="787"/>
        <w:spacing w:after="0" w:line="282" w:lineRule="auto"/>
        <w:tabs>
          <w:tab w:leader="none" w:pos="1700"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 xml:space="preserve">this Agreement has been signed </w:t>
      </w:r>
      <w:r>
        <w:rPr>
          <w:rFonts w:ascii="Arial" w:cs="Arial" w:eastAsia="Arial" w:hAnsi="Arial"/>
          <w:sz w:val="18"/>
          <w:szCs w:val="18"/>
          <w:b w:val="1"/>
          <w:bCs w:val="1"/>
          <w:color w:val="auto"/>
        </w:rPr>
        <w:t>and duly notarised and legalised/apostilled as required</w:t>
      </w:r>
      <w:r>
        <w:rPr>
          <w:rFonts w:ascii="Arial" w:cs="Arial" w:eastAsia="Arial" w:hAnsi="Arial"/>
          <w:sz w:val="18"/>
          <w:szCs w:val="18"/>
          <w:color w:val="auto"/>
        </w:rPr>
        <w:t xml:space="preserve"> by the Parties and exchanged in original or by e-mail or telefax; and</w:t>
      </w:r>
    </w:p>
    <w:p>
      <w:pPr>
        <w:spacing w:after="0" w:line="67" w:lineRule="exact"/>
        <w:rPr>
          <w:rFonts w:ascii="Arial" w:cs="Arial" w:eastAsia="Arial" w:hAnsi="Arial"/>
          <w:sz w:val="18"/>
          <w:szCs w:val="18"/>
          <w:b w:val="1"/>
          <w:bCs w:val="1"/>
          <w:color w:val="auto"/>
        </w:rPr>
      </w:pPr>
    </w:p>
    <w:p>
      <w:pPr>
        <w:ind w:left="1700" w:right="360" w:hanging="787"/>
        <w:spacing w:after="0" w:line="282" w:lineRule="auto"/>
        <w:tabs>
          <w:tab w:leader="none" w:pos="1700"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 xml:space="preserve">the Deposit Holder has confirmed in writing to the Parties that the </w:t>
      </w:r>
      <w:r>
        <w:rPr>
          <w:rFonts w:ascii="Arial" w:cs="Arial" w:eastAsia="Arial" w:hAnsi="Arial"/>
          <w:sz w:val="18"/>
          <w:szCs w:val="18"/>
          <w:color w:val="auto"/>
          <w:strike w:val="1"/>
        </w:rPr>
        <w:t>account has been opened</w:t>
      </w:r>
      <w:r>
        <w:rPr>
          <w:rFonts w:ascii="Arial" w:cs="Arial" w:eastAsia="Arial" w:hAnsi="Arial"/>
          <w:sz w:val="18"/>
          <w:szCs w:val="18"/>
          <w:color w:val="auto"/>
        </w:rPr>
        <w:t xml:space="preserve">. </w:t>
      </w:r>
      <w:r>
        <w:rPr>
          <w:rFonts w:ascii="Arial" w:cs="Arial" w:eastAsia="Arial" w:hAnsi="Arial"/>
          <w:sz w:val="18"/>
          <w:szCs w:val="18"/>
          <w:b w:val="1"/>
          <w:bCs w:val="1"/>
          <w:color w:val="auto"/>
        </w:rPr>
        <w:t>escrow agreement between Sellers,</w:t>
      </w:r>
      <w:r>
        <w:rPr>
          <w:rFonts w:ascii="Arial" w:cs="Arial" w:eastAsia="Arial" w:hAnsi="Arial"/>
          <w:sz w:val="18"/>
          <w:szCs w:val="18"/>
          <w:color w:val="auto"/>
        </w:rPr>
        <w:t xml:space="preserve"> </w:t>
      </w:r>
      <w:r>
        <w:rPr>
          <w:rFonts w:ascii="Arial" w:cs="Arial" w:eastAsia="Arial" w:hAnsi="Arial"/>
          <w:sz w:val="18"/>
          <w:szCs w:val="18"/>
          <w:b w:val="1"/>
          <w:bCs w:val="1"/>
          <w:color w:val="auto"/>
        </w:rPr>
        <w:t>Buyers and such Deposit Holder (the “Escrow Agreement”) is executed</w:t>
      </w:r>
      <w:r>
        <w:rPr>
          <w:rFonts w:ascii="Arial" w:cs="Arial" w:eastAsia="Arial" w:hAnsi="Arial"/>
          <w:sz w:val="18"/>
          <w:szCs w:val="18"/>
          <w:color w:val="auto"/>
        </w:rPr>
        <w:t>.</w:t>
      </w:r>
    </w:p>
    <w:p>
      <w:pPr>
        <w:spacing w:after="0" w:line="98"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9" w:right="259" w:bottom="1440" w:gutter="0" w:footer="0" w:header="0"/>
        </w:sectPr>
      </w:pPr>
    </w:p>
    <w:bookmarkStart w:id="378" w:name="page379"/>
    <w:bookmarkEnd w:id="378"/>
    <w:p>
      <w:pPr>
        <w:jc w:val="both"/>
        <w:ind w:left="912"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 shall be released in accordance with joint written instructions of the Parties. Interest, if any, shall be credited to the Buyers. Any fee charged for holding and releasing the Deposit shall be borne equally by the Parties. The Parties shall provide to the Deposit Holder all necessary documentation to open and maintain the account without delay.</w:t>
      </w:r>
    </w:p>
    <w:p>
      <w:pPr>
        <w:spacing w:after="0" w:line="326" w:lineRule="exact"/>
        <w:rPr>
          <w:sz w:val="20"/>
          <w:szCs w:val="20"/>
          <w:color w:val="auto"/>
        </w:rPr>
      </w:pPr>
    </w:p>
    <w:p>
      <w:pPr>
        <w:ind w:left="912" w:hanging="912"/>
        <w:spacing w:after="0"/>
        <w:tabs>
          <w:tab w:leader="none" w:pos="912"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121" w:lineRule="exact"/>
        <w:rPr>
          <w:rFonts w:ascii="Arial" w:cs="Arial" w:eastAsia="Arial" w:hAnsi="Arial"/>
          <w:sz w:val="18"/>
          <w:szCs w:val="18"/>
          <w:b w:val="1"/>
          <w:bCs w:val="1"/>
          <w:color w:val="auto"/>
        </w:rPr>
      </w:pPr>
    </w:p>
    <w:p>
      <w:pPr>
        <w:ind w:left="912"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On delivery of the Vessel, but not later than three (3) Banking Days after the date that Notice of Readiness has been given in accordance with </w:t>
      </w:r>
      <w:r>
        <w:rPr>
          <w:rFonts w:ascii="Arial" w:cs="Arial" w:eastAsia="Arial" w:hAnsi="Arial"/>
          <w:sz w:val="18"/>
          <w:szCs w:val="18"/>
          <w:u w:val="single" w:color="auto"/>
          <w:color w:val="auto"/>
        </w:rPr>
        <w:t>Clause 5</w:t>
      </w:r>
      <w:r>
        <w:rPr>
          <w:rFonts w:ascii="Arial" w:cs="Arial" w:eastAsia="Arial" w:hAnsi="Arial"/>
          <w:sz w:val="18"/>
          <w:szCs w:val="18"/>
          <w:color w:val="auto"/>
        </w:rPr>
        <w:t xml:space="preserve"> (Time and place of delivery and notices) (</w:t>
      </w:r>
      <w:r>
        <w:rPr>
          <w:rFonts w:ascii="Arial" w:cs="Arial" w:eastAsia="Arial" w:hAnsi="Arial"/>
          <w:sz w:val="18"/>
          <w:szCs w:val="18"/>
          <w:b w:val="1"/>
          <w:bCs w:val="1"/>
          <w:color w:val="auto"/>
        </w:rPr>
        <w:t>Date of such notice being inclusive</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1692" w:hanging="787"/>
        <w:spacing w:after="0"/>
        <w:tabs>
          <w:tab w:leader="none" w:pos="1692" w:val="left"/>
        </w:tabs>
        <w:numPr>
          <w:ilvl w:val="1"/>
          <w:numId w:val="589"/>
        </w:numPr>
        <w:rPr>
          <w:rFonts w:ascii="Arial" w:cs="Arial" w:eastAsia="Arial" w:hAnsi="Arial"/>
          <w:sz w:val="18"/>
          <w:szCs w:val="18"/>
          <w:b w:val="1"/>
          <w:bCs w:val="1"/>
          <w:color w:val="auto"/>
        </w:rPr>
      </w:pPr>
      <w:r>
        <w:rPr>
          <w:rFonts w:ascii="Arial" w:cs="Arial" w:eastAsia="Arial" w:hAnsi="Arial"/>
          <w:sz w:val="18"/>
          <w:szCs w:val="18"/>
          <w:color w:val="auto"/>
        </w:rPr>
        <w:t>the Deposit shall be released to the Sellers; and</w:t>
      </w:r>
    </w:p>
    <w:p>
      <w:pPr>
        <w:spacing w:after="0" w:line="130" w:lineRule="exact"/>
        <w:rPr>
          <w:rFonts w:ascii="Arial" w:cs="Arial" w:eastAsia="Arial" w:hAnsi="Arial"/>
          <w:sz w:val="18"/>
          <w:szCs w:val="18"/>
          <w:b w:val="1"/>
          <w:bCs w:val="1"/>
          <w:color w:val="auto"/>
        </w:rPr>
      </w:pPr>
    </w:p>
    <w:p>
      <w:pPr>
        <w:ind w:left="1692" w:right="240" w:hanging="787"/>
        <w:spacing w:after="0" w:line="277" w:lineRule="auto"/>
        <w:tabs>
          <w:tab w:leader="none" w:pos="1692" w:val="left"/>
        </w:tabs>
        <w:numPr>
          <w:ilvl w:val="1"/>
          <w:numId w:val="589"/>
        </w:numPr>
        <w:rPr>
          <w:rFonts w:ascii="Arial" w:cs="Arial" w:eastAsia="Arial" w:hAnsi="Arial"/>
          <w:sz w:val="18"/>
          <w:szCs w:val="18"/>
          <w:b w:val="1"/>
          <w:bCs w:val="1"/>
          <w:color w:val="auto"/>
        </w:rPr>
      </w:pPr>
      <w:r>
        <w:rPr>
          <w:rFonts w:ascii="Arial" w:cs="Arial" w:eastAsia="Arial" w:hAnsi="Arial"/>
          <w:sz w:val="18"/>
          <w:szCs w:val="18"/>
          <w:color w:val="auto"/>
        </w:rPr>
        <w:t>the balance of the Purchase Price and all other sums payable on delivery by the Buyers to the Sellers under this Agreement shall be paid in full free of bank charges to the Sellers’ Account.</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w:t>
      </w:r>
    </w:p>
    <w:p>
      <w:pPr>
        <w:spacing w:after="0" w:line="117" w:lineRule="exact"/>
        <w:rPr>
          <w:rFonts w:ascii="Arial" w:cs="Arial" w:eastAsia="Arial" w:hAnsi="Arial"/>
          <w:sz w:val="18"/>
          <w:szCs w:val="18"/>
          <w:b w:val="1"/>
          <w:bCs w:val="1"/>
          <w:color w:val="auto"/>
        </w:rPr>
      </w:pPr>
    </w:p>
    <w:p>
      <w:pPr>
        <w:jc w:val="both"/>
        <w:ind w:left="912" w:right="30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(a)* The Buyers have inspected and accepted the Vessel’s classification records. The Buyers have also inspected the Vessel at/in </w:t>
      </w:r>
      <w:r>
        <w:rPr>
          <w:rFonts w:ascii="Arial" w:cs="Arial" w:eastAsia="Arial" w:hAnsi="Arial"/>
          <w:sz w:val="18"/>
          <w:szCs w:val="18"/>
          <w:b w:val="1"/>
          <w:bCs w:val="1"/>
          <w:color w:val="auto"/>
        </w:rPr>
        <w:t>Chittagong</w:t>
      </w:r>
      <w:r>
        <w:rPr>
          <w:rFonts w:ascii="Arial" w:cs="Arial" w:eastAsia="Arial" w:hAnsi="Arial"/>
          <w:sz w:val="18"/>
          <w:szCs w:val="18"/>
          <w:color w:val="auto"/>
        </w:rPr>
        <w:t xml:space="preserve"> (</w:t>
      </w:r>
      <w:r>
        <w:rPr>
          <w:rFonts w:ascii="Arial" w:cs="Arial" w:eastAsia="Arial" w:hAnsi="Arial"/>
          <w:sz w:val="18"/>
          <w:szCs w:val="18"/>
          <w:i w:val="1"/>
          <w:iCs w:val="1"/>
          <w:color w:val="auto"/>
        </w:rPr>
        <w:t>state place</w:t>
      </w:r>
      <w:r>
        <w:rPr>
          <w:rFonts w:ascii="Arial" w:cs="Arial" w:eastAsia="Arial" w:hAnsi="Arial"/>
          <w:sz w:val="18"/>
          <w:szCs w:val="18"/>
          <w:color w:val="auto"/>
        </w:rPr>
        <w:t xml:space="preserve">) on </w:t>
      </w:r>
      <w:r>
        <w:rPr>
          <w:rFonts w:ascii="Arial" w:cs="Arial" w:eastAsia="Arial" w:hAnsi="Arial"/>
          <w:sz w:val="18"/>
          <w:szCs w:val="18"/>
          <w:b w:val="1"/>
          <w:bCs w:val="1"/>
          <w:color w:val="auto"/>
        </w:rPr>
        <w:t>24th October</w:t>
      </w:r>
      <w:r>
        <w:rPr>
          <w:rFonts w:ascii="Arial" w:cs="Arial" w:eastAsia="Arial" w:hAnsi="Arial"/>
          <w:sz w:val="18"/>
          <w:szCs w:val="18"/>
          <w:color w:val="auto"/>
        </w:rPr>
        <w:t xml:space="preserve"> (</w:t>
      </w:r>
      <w:r>
        <w:rPr>
          <w:rFonts w:ascii="Arial" w:cs="Arial" w:eastAsia="Arial" w:hAnsi="Arial"/>
          <w:sz w:val="18"/>
          <w:szCs w:val="18"/>
          <w:i w:val="1"/>
          <w:iCs w:val="1"/>
          <w:color w:val="auto"/>
        </w:rPr>
        <w:t>state date</w:t>
      </w:r>
      <w:r>
        <w:rPr>
          <w:rFonts w:ascii="Arial" w:cs="Arial" w:eastAsia="Arial" w:hAnsi="Arial"/>
          <w:sz w:val="18"/>
          <w:szCs w:val="18"/>
          <w:color w:val="auto"/>
        </w:rPr>
        <w:t>) and have accepted the Vessel following this inspection and the sale is outright and definite, subject only to the terms and conditions of this. Agreement.</w:t>
      </w:r>
    </w:p>
    <w:p>
      <w:pPr>
        <w:spacing w:after="0" w:line="72" w:lineRule="exact"/>
        <w:rPr>
          <w:sz w:val="20"/>
          <w:szCs w:val="20"/>
          <w:color w:val="auto"/>
        </w:rPr>
      </w:pPr>
    </w:p>
    <w:p>
      <w:pPr>
        <w:ind w:left="2392" w:right="860" w:hanging="1484"/>
        <w:spacing w:after="0" w:line="277" w:lineRule="auto"/>
        <w:rPr>
          <w:sz w:val="20"/>
          <w:szCs w:val="20"/>
          <w:color w:val="auto"/>
        </w:rPr>
      </w:pPr>
      <w:r>
        <w:rPr>
          <w:rFonts w:ascii="Arial" w:cs="Arial" w:eastAsia="Arial" w:hAnsi="Arial"/>
          <w:sz w:val="18"/>
          <w:szCs w:val="18"/>
          <w:color w:val="auto"/>
          <w:strike w:val="1"/>
        </w:rPr>
        <w:t>(b)* The Buyers shall have the right to inspect the Vessel’s classification records and declare whether same are accepted or not within (state date/period).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-87630</wp:posOffset>
            </wp:positionV>
            <wp:extent cx="17995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8">
                      <a:extLst>
                        <a:ext uri="{28A0092B-C50C-407E-A947-70E740481C1C}"/>
                      </a:extLst>
                    </a:blip>
                    <a:srcRect/>
                    <a:stretch>
                      <a:fillRect/>
                    </a:stretch>
                  </pic:blipFill>
                  <pic:spPr bwMode="auto">
                    <a:xfrm>
                      <a:off x="0" y="0"/>
                      <a:ext cx="1799590" cy="8890"/>
                    </a:xfrm>
                    <a:prstGeom prst="rect">
                      <a:avLst/>
                    </a:prstGeom>
                    <a:noFill/>
                  </pic:spPr>
                </pic:pic>
              </a:graphicData>
            </a:graphic>
          </wp:anchor>
        </w:drawing>
      </w:r>
    </w:p>
    <w:p>
      <w:pPr>
        <w:spacing w:after="0" w:line="42" w:lineRule="exact"/>
        <w:rPr>
          <w:sz w:val="20"/>
          <w:szCs w:val="20"/>
          <w:color w:val="auto"/>
        </w:rPr>
      </w:pPr>
    </w:p>
    <w:p>
      <w:pPr>
        <w:ind w:left="912"/>
        <w:spacing w:after="0"/>
        <w:tabs>
          <w:tab w:leader="none" w:pos="6212" w:val="left"/>
          <w:tab w:leader="none" w:pos="8852" w:val="left"/>
        </w:tabs>
        <w:rPr>
          <w:sz w:val="20"/>
          <w:szCs w:val="20"/>
          <w:color w:val="auto"/>
        </w:rPr>
      </w:pPr>
      <w:r>
        <w:rPr>
          <w:rFonts w:ascii="Arial" w:cs="Arial" w:eastAsia="Arial" w:hAnsi="Arial"/>
          <w:sz w:val="18"/>
          <w:szCs w:val="18"/>
          <w:color w:val="auto"/>
        </w:rPr>
        <w:t>The Sellers shall make the Vessel available for inspection at/in</w:t>
      </w:r>
      <w:r>
        <w:rPr>
          <w:sz w:val="20"/>
          <w:szCs w:val="20"/>
          <w:color w:val="auto"/>
        </w:rPr>
        <w:tab/>
      </w:r>
      <w:r>
        <w:rPr>
          <w:rFonts w:ascii="Arial" w:cs="Arial" w:eastAsia="Arial" w:hAnsi="Arial"/>
          <w:sz w:val="18"/>
          <w:szCs w:val="18"/>
          <w:color w:val="auto"/>
        </w:rPr>
        <w:t>(state place/range) within</w:t>
      </w:r>
      <w:r>
        <w:rPr>
          <w:sz w:val="20"/>
          <w:szCs w:val="20"/>
          <w:color w:val="auto"/>
        </w:rPr>
        <w:tab/>
      </w:r>
      <w:r>
        <w:rPr>
          <w:rFonts w:ascii="Arial" w:cs="Arial" w:eastAsia="Arial" w:hAnsi="Arial"/>
          <w:sz w:val="15"/>
          <w:szCs w:val="15"/>
          <w:color w:val="auto"/>
        </w:rPr>
        <w:t>(state date/period).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-53340</wp:posOffset>
            </wp:positionV>
            <wp:extent cx="59067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9">
                      <a:extLst>
                        <a:ext uri="{28A0092B-C50C-407E-A947-70E740481C1C}"/>
                      </a:extLst>
                    </a:blip>
                    <a:srcRect/>
                    <a:stretch>
                      <a:fillRect/>
                    </a:stretch>
                  </pic:blipFill>
                  <pic:spPr bwMode="auto">
                    <a:xfrm>
                      <a:off x="0" y="0"/>
                      <a:ext cx="5906770" cy="8890"/>
                    </a:xfrm>
                    <a:prstGeom prst="rect">
                      <a:avLst/>
                    </a:prstGeom>
                    <a:noFill/>
                  </pic:spPr>
                </pic:pic>
              </a:graphicData>
            </a:graphic>
          </wp:anchor>
        </w:drawing>
      </w:r>
    </w:p>
    <w:p>
      <w:pPr>
        <w:spacing w:after="0" w:line="97" w:lineRule="exact"/>
        <w:rPr>
          <w:sz w:val="20"/>
          <w:szCs w:val="20"/>
          <w:color w:val="auto"/>
        </w:rPr>
      </w:pPr>
    </w:p>
    <w:p>
      <w:pPr>
        <w:ind w:left="912" w:right="300"/>
        <w:spacing w:after="0" w:line="277" w:lineRule="auto"/>
        <w:rPr>
          <w:sz w:val="20"/>
          <w:szCs w:val="20"/>
          <w:color w:val="auto"/>
        </w:rPr>
      </w:pPr>
      <w:r>
        <w:rPr>
          <w:rFonts w:ascii="Arial" w:cs="Arial" w:eastAsia="Arial" w:hAnsi="Arial"/>
          <w:sz w:val="18"/>
          <w:szCs w:val="18"/>
          <w:color w:val="auto"/>
          <w:strike w:val="1"/>
        </w:rPr>
        <w:t>The Buyers shall undertake the inspection without undue delay to the Vessel. Should the Buyers cause undue delay they shall compensate the Sellers for the losses thereby incurred.</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8"/>
          <w:szCs w:val="18"/>
          <w:color w:val="auto"/>
          <w:strike w:val="1"/>
        </w:rPr>
        <w:t>The Buyers shall inspect the Vessel without opening up and without cost to the Sellers.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strike w:val="1"/>
        </w:rPr>
        <w:t>During the inspection, the Vessel’s desk and engine log books shall be made available for examination by the Buyers.</w:t>
      </w:r>
    </w:p>
    <w:p>
      <w:pPr>
        <w:spacing w:after="0" w:line="117" w:lineRule="exact"/>
        <w:rPr>
          <w:sz w:val="20"/>
          <w:szCs w:val="20"/>
          <w:color w:val="auto"/>
        </w:rPr>
      </w:pPr>
    </w:p>
    <w:p>
      <w:pPr>
        <w:jc w:val="both"/>
        <w:ind w:left="912" w:right="60"/>
        <w:spacing w:after="0" w:line="264" w:lineRule="auto"/>
        <w:rPr>
          <w:sz w:val="20"/>
          <w:szCs w:val="20"/>
          <w:color w:val="auto"/>
        </w:rPr>
      </w:pPr>
      <w:r>
        <w:rPr>
          <w:rFonts w:ascii="Arial" w:cs="Arial" w:eastAsia="Arial" w:hAnsi="Arial"/>
          <w:sz w:val="18"/>
          <w:szCs w:val="18"/>
          <w:color w:val="auto"/>
          <w:strike w:val="1"/>
        </w:rPr>
        <w:t>The sale shall become outright and definite, subject only to the terms and conditions of this Agreement, provided that the Sellers receive written notice of acceptance of the Vessel from the Buyers within seventy two (72) hours after completion of such inspection or after the date/last day of the period stated in Line 59, whichever is earlier.</w:t>
      </w:r>
    </w:p>
    <w:p>
      <w:pPr>
        <w:spacing w:after="0" w:line="114"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379" w:name="page380"/>
    <w:bookmarkEnd w:id="379"/>
    <w:p>
      <w:pPr>
        <w:ind w:left="912" w:right="160"/>
        <w:spacing w:after="0" w:line="264"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Should the Buyers fail to undertake the inspection as scheduled and/or notice of acceptance of the Vessel’s classification records and/or of the Vessel not be received by the Sellers as aforesaid, the Deposit together with interest earned, if any, shall be released immediately to the Buyers, whereafter this Agreement shall be null and void.</w:t>
      </w:r>
    </w:p>
    <w:p>
      <w:pPr>
        <w:spacing w:after="0" w:line="73" w:lineRule="exact"/>
        <w:rPr>
          <w:sz w:val="20"/>
          <w:szCs w:val="20"/>
          <w:color w:val="auto"/>
        </w:rPr>
      </w:pPr>
    </w:p>
    <w:p>
      <w:pPr>
        <w:ind w:left="912"/>
        <w:spacing w:after="0"/>
        <w:rPr>
          <w:sz w:val="20"/>
          <w:szCs w:val="20"/>
          <w:color w:val="auto"/>
        </w:rPr>
      </w:pPr>
      <w:r>
        <w:rPr>
          <w:rFonts w:ascii="Arial" w:cs="Arial" w:eastAsia="Arial" w:hAnsi="Arial"/>
          <w:sz w:val="18"/>
          <w:szCs w:val="18"/>
          <w:i w:val="1"/>
          <w:iCs w:val="1"/>
          <w:color w:val="auto"/>
          <w:strike w:val="1"/>
        </w:rPr>
        <w:t>*4(a) and 4(b) are alternatives; delete whichever is not applicable. In the absence of deletions, alternative 4(a) shall apply.</w:t>
      </w:r>
    </w:p>
    <w:p>
      <w:pPr>
        <w:spacing w:after="0" w:line="370" w:lineRule="exact"/>
        <w:rPr>
          <w:sz w:val="20"/>
          <w:szCs w:val="20"/>
          <w:color w:val="auto"/>
        </w:rPr>
      </w:pPr>
    </w:p>
    <w:p>
      <w:pPr>
        <w:ind w:left="912" w:hanging="912"/>
        <w:spacing w:after="0"/>
        <w:tabs>
          <w:tab w:leader="none" w:pos="912"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color w:val="auto"/>
        </w:rPr>
        <w:t>Time and place of delivery and notices</w:t>
      </w:r>
    </w:p>
    <w:p>
      <w:pPr>
        <w:spacing w:after="0" w:line="117" w:lineRule="exact"/>
        <w:rPr>
          <w:sz w:val="20"/>
          <w:szCs w:val="20"/>
          <w:color w:val="auto"/>
        </w:rPr>
      </w:pPr>
    </w:p>
    <w:p>
      <w:pPr>
        <w:ind w:left="912" w:right="40" w:firstLine="1"/>
        <w:spacing w:after="0" w:line="282" w:lineRule="auto"/>
        <w:tabs>
          <w:tab w:leader="none" w:pos="1167" w:val="left"/>
        </w:tabs>
        <w:numPr>
          <w:ilvl w:val="0"/>
          <w:numId w:val="591"/>
        </w:numPr>
        <w:rPr>
          <w:rFonts w:ascii="Arial" w:cs="Arial" w:eastAsia="Arial" w:hAnsi="Arial"/>
          <w:sz w:val="18"/>
          <w:szCs w:val="18"/>
          <w:b w:val="1"/>
          <w:bCs w:val="1"/>
          <w:color w:val="auto"/>
        </w:rPr>
      </w:pPr>
      <w:r>
        <w:rPr>
          <w:rFonts w:ascii="Arial" w:cs="Arial" w:eastAsia="Arial" w:hAnsi="Arial"/>
          <w:sz w:val="18"/>
          <w:szCs w:val="18"/>
          <w:color w:val="auto"/>
        </w:rPr>
        <w:t xml:space="preserve">The Vessel shall be delivered and taken over safely afloat at a safe and accessible berth or anchorage at/in </w:t>
      </w:r>
      <w:r>
        <w:rPr>
          <w:rFonts w:ascii="Arial" w:cs="Arial" w:eastAsia="Arial" w:hAnsi="Arial"/>
          <w:sz w:val="18"/>
          <w:szCs w:val="18"/>
          <w:b w:val="1"/>
          <w:bCs w:val="1"/>
          <w:color w:val="auto"/>
        </w:rPr>
        <w:t>Manila, Philippines or Singapore</w:t>
      </w:r>
      <w:r>
        <w:rPr>
          <w:rFonts w:ascii="Arial" w:cs="Arial" w:eastAsia="Arial" w:hAnsi="Arial"/>
          <w:sz w:val="18"/>
          <w:szCs w:val="18"/>
          <w:color w:val="auto"/>
        </w:rPr>
        <w:t xml:space="preserve"> (</w:t>
      </w:r>
      <w:r>
        <w:rPr>
          <w:rFonts w:ascii="Arial" w:cs="Arial" w:eastAsia="Arial" w:hAnsi="Arial"/>
          <w:sz w:val="18"/>
          <w:szCs w:val="18"/>
          <w:i w:val="1"/>
          <w:iCs w:val="1"/>
          <w:color w:val="auto"/>
        </w:rPr>
        <w:t>state place/range</w:t>
      </w:r>
      <w:r>
        <w:rPr>
          <w:rFonts w:ascii="Arial" w:cs="Arial" w:eastAsia="Arial" w:hAnsi="Arial"/>
          <w:sz w:val="18"/>
          <w:szCs w:val="18"/>
          <w:color w:val="auto"/>
        </w:rPr>
        <w:t>) in the Sellers’ option.</w:t>
      </w:r>
    </w:p>
    <w:p>
      <w:pPr>
        <w:spacing w:after="0" w:line="5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Notice of Readiness shall not be tendered before: </w:t>
      </w:r>
      <w:r>
        <w:rPr>
          <w:rFonts w:ascii="Arial" w:cs="Arial" w:eastAsia="Arial" w:hAnsi="Arial"/>
          <w:sz w:val="18"/>
          <w:szCs w:val="18"/>
          <w:b w:val="1"/>
          <w:bCs w:val="1"/>
          <w:color w:val="auto"/>
        </w:rPr>
        <w:t>7th February 2018</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Cancelling Date (see </w:t>
      </w:r>
      <w:r>
        <w:rPr>
          <w:rFonts w:ascii="Arial" w:cs="Arial" w:eastAsia="Arial" w:hAnsi="Arial"/>
          <w:sz w:val="18"/>
          <w:szCs w:val="18"/>
          <w:u w:val="single" w:color="auto"/>
          <w:color w:val="auto"/>
        </w:rPr>
        <w:t>Clauses 5(c), 6 (a)(i), 6 (a)(iii)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b w:val="1"/>
          <w:bCs w:val="1"/>
          <w:color w:val="auto"/>
        </w:rPr>
        <w:t>12th March 2018</w:t>
      </w:r>
    </w:p>
    <w:p>
      <w:pPr>
        <w:spacing w:after="0" w:line="117" w:lineRule="exact"/>
        <w:rPr>
          <w:sz w:val="20"/>
          <w:szCs w:val="20"/>
          <w:color w:val="auto"/>
        </w:rPr>
      </w:pPr>
    </w:p>
    <w:p>
      <w:pPr>
        <w:ind w:left="912" w:firstLine="1"/>
        <w:spacing w:after="0" w:line="266" w:lineRule="auto"/>
        <w:tabs>
          <w:tab w:leader="none" w:pos="1177" w:val="left"/>
        </w:tabs>
        <w:numPr>
          <w:ilvl w:val="0"/>
          <w:numId w:val="592"/>
        </w:numPr>
        <w:rPr>
          <w:rFonts w:ascii="Arial" w:cs="Arial" w:eastAsia="Arial" w:hAnsi="Arial"/>
          <w:sz w:val="18"/>
          <w:szCs w:val="18"/>
          <w:b w:val="1"/>
          <w:bCs w:val="1"/>
          <w:color w:val="auto"/>
        </w:rPr>
      </w:pPr>
      <w:r>
        <w:rPr>
          <w:rFonts w:ascii="Arial" w:cs="Arial" w:eastAsia="Arial" w:hAnsi="Arial"/>
          <w:sz w:val="18"/>
          <w:szCs w:val="18"/>
          <w:color w:val="auto"/>
        </w:rPr>
        <w:t xml:space="preserve">The Sellers shall keep the Buyers well informed of the Vessel’s itinerary and shall provide the Buyers with </w:t>
      </w:r>
      <w:r>
        <w:rPr>
          <w:rFonts w:ascii="Arial" w:cs="Arial" w:eastAsia="Arial" w:hAnsi="Arial"/>
          <w:sz w:val="18"/>
          <w:szCs w:val="18"/>
          <w:b w:val="1"/>
          <w:bCs w:val="1"/>
          <w:color w:val="auto"/>
        </w:rPr>
        <w:t>thirty (30)</w:t>
      </w:r>
      <w:r>
        <w:rPr>
          <w:rFonts w:ascii="Arial" w:cs="Arial" w:eastAsia="Arial" w:hAnsi="Arial"/>
          <w:sz w:val="18"/>
          <w:szCs w:val="18"/>
          <w:color w:val="auto"/>
        </w:rPr>
        <w:t xml:space="preserve">, twenty (20), ten (10), five (5) </w:t>
      </w:r>
      <w:r>
        <w:rPr>
          <w:rFonts w:ascii="Arial" w:cs="Arial" w:eastAsia="Arial" w:hAnsi="Arial"/>
          <w:sz w:val="18"/>
          <w:szCs w:val="18"/>
          <w:b w:val="1"/>
          <w:bCs w:val="1"/>
          <w:color w:val="auto"/>
        </w:rPr>
        <w:t>approximate days</w:t>
      </w:r>
      <w:r>
        <w:rPr>
          <w:rFonts w:ascii="Arial" w:cs="Arial" w:eastAsia="Arial" w:hAnsi="Arial"/>
          <w:sz w:val="18"/>
          <w:szCs w:val="18"/>
          <w:color w:val="auto"/>
        </w:rPr>
        <w:t xml:space="preserve"> and three (3), </w:t>
      </w:r>
      <w:r>
        <w:rPr>
          <w:rFonts w:ascii="Arial" w:cs="Arial" w:eastAsia="Arial" w:hAnsi="Arial"/>
          <w:sz w:val="18"/>
          <w:szCs w:val="18"/>
          <w:b w:val="1"/>
          <w:bCs w:val="1"/>
          <w:color w:val="auto"/>
        </w:rPr>
        <w:t>two (2), one (1) definite</w:t>
      </w:r>
      <w:r>
        <w:rPr>
          <w:rFonts w:ascii="Arial" w:cs="Arial" w:eastAsia="Arial" w:hAnsi="Arial"/>
          <w:sz w:val="18"/>
          <w:szCs w:val="18"/>
          <w:color w:val="auto"/>
        </w:rPr>
        <w:t xml:space="preserve"> days’ notice of the date the Sellers intend to tender Notice of Readiness and of the intended place of delivery.</w:t>
      </w:r>
    </w:p>
    <w:p>
      <w:pPr>
        <w:spacing w:after="0" w:line="72" w:lineRule="exact"/>
        <w:rPr>
          <w:sz w:val="20"/>
          <w:szCs w:val="20"/>
          <w:color w:val="auto"/>
        </w:rPr>
      </w:pPr>
    </w:p>
    <w:p>
      <w:pPr>
        <w:ind w:left="912" w:right="40"/>
        <w:spacing w:after="0" w:line="277" w:lineRule="auto"/>
        <w:rPr>
          <w:sz w:val="20"/>
          <w:szCs w:val="20"/>
          <w:color w:val="auto"/>
        </w:rPr>
      </w:pPr>
      <w:r>
        <w:rPr>
          <w:rFonts w:ascii="Arial" w:cs="Arial" w:eastAsia="Arial" w:hAnsi="Arial"/>
          <w:sz w:val="18"/>
          <w:szCs w:val="18"/>
          <w:color w:val="auto"/>
        </w:rPr>
        <w:t>When the Vessel is at the place of delivery and physically ready for delivery in accordance with this Agreement, the Sellers shall give the Buyers a written Notice of Readiness for delivery.</w:t>
      </w:r>
    </w:p>
    <w:p>
      <w:pPr>
        <w:spacing w:after="0" w:line="62" w:lineRule="exact"/>
        <w:rPr>
          <w:sz w:val="20"/>
          <w:szCs w:val="20"/>
          <w:color w:val="auto"/>
        </w:rPr>
      </w:pPr>
    </w:p>
    <w:p>
      <w:pPr>
        <w:ind w:left="912" w:firstLine="1"/>
        <w:spacing w:after="0" w:line="257" w:lineRule="auto"/>
        <w:tabs>
          <w:tab w:leader="none" w:pos="1157" w:val="left"/>
        </w:tabs>
        <w:numPr>
          <w:ilvl w:val="0"/>
          <w:numId w:val="593"/>
        </w:numPr>
        <w:rPr>
          <w:rFonts w:ascii="Arial" w:cs="Arial" w:eastAsia="Arial" w:hAnsi="Arial"/>
          <w:sz w:val="18"/>
          <w:szCs w:val="18"/>
          <w:b w:val="1"/>
          <w:bCs w:val="1"/>
          <w:color w:val="auto"/>
        </w:rPr>
      </w:pPr>
      <w:r>
        <w:rPr>
          <w:rFonts w:ascii="Arial" w:cs="Arial" w:eastAsia="Arial" w:hAnsi="Arial"/>
          <w:sz w:val="18"/>
          <w:szCs w:val="18"/>
          <w:color w:val="auto"/>
        </w:rPr>
        <w:t xml:space="preserve">If the Sellers anticipate that, notwithstanding the exercise of due diligence by them, the Vessel will not be ready for delivery by the Cancelling Date they may notify the Buyers in writing stating the date when they anticipate that the Vessel will be ready for delivery and proposing a new Cancelling Date. Upon receipt of such notification the Buyers shall have the option of either cancelling this Agreement in accordance with </w:t>
      </w:r>
      <w:r>
        <w:rPr>
          <w:rFonts w:ascii="Arial" w:cs="Arial" w:eastAsia="Arial" w:hAnsi="Arial"/>
          <w:sz w:val="18"/>
          <w:szCs w:val="18"/>
          <w:u w:val="single" w:color="auto"/>
          <w:color w:val="auto"/>
        </w:rPr>
        <w:t>Clause 14</w:t>
      </w:r>
      <w:r>
        <w:rPr>
          <w:rFonts w:ascii="Arial" w:cs="Arial" w:eastAsia="Arial" w:hAnsi="Arial"/>
          <w:sz w:val="18"/>
          <w:szCs w:val="18"/>
          <w:color w:val="auto"/>
        </w:rPr>
        <w:t xml:space="preserve"> (Sellers’ Default) within </w:t>
      </w:r>
      <w:r>
        <w:rPr>
          <w:rFonts w:ascii="Arial" w:cs="Arial" w:eastAsia="Arial" w:hAnsi="Arial"/>
          <w:sz w:val="18"/>
          <w:szCs w:val="18"/>
          <w:color w:val="auto"/>
          <w:strike w:val="1"/>
        </w:rPr>
        <w:t>three (3) Banking Days</w:t>
      </w:r>
      <w:r>
        <w:rPr>
          <w:rFonts w:ascii="Arial" w:cs="Arial" w:eastAsia="Arial" w:hAnsi="Arial"/>
          <w:sz w:val="18"/>
          <w:szCs w:val="18"/>
          <w:color w:val="auto"/>
        </w:rPr>
        <w:t xml:space="preserve"> </w:t>
      </w:r>
      <w:r>
        <w:rPr>
          <w:rFonts w:ascii="Arial" w:cs="Arial" w:eastAsia="Arial" w:hAnsi="Arial"/>
          <w:sz w:val="18"/>
          <w:szCs w:val="18"/>
          <w:b w:val="1"/>
          <w:bCs w:val="1"/>
          <w:color w:val="auto"/>
        </w:rPr>
        <w:t>48 hours</w:t>
      </w:r>
      <w:r>
        <w:rPr>
          <w:rFonts w:ascii="Arial" w:cs="Arial" w:eastAsia="Arial" w:hAnsi="Arial"/>
          <w:sz w:val="18"/>
          <w:szCs w:val="18"/>
          <w:color w:val="auto"/>
        </w:rPr>
        <w:t xml:space="preserve"> of receipt of the notice or of accepting the new date as the new Cancelling Date.</w:t>
      </w:r>
    </w:p>
    <w:p>
      <w:pPr>
        <w:spacing w:after="0" w:line="76" w:lineRule="exact"/>
        <w:rPr>
          <w:sz w:val="20"/>
          <w:szCs w:val="20"/>
          <w:color w:val="auto"/>
        </w:rPr>
      </w:pPr>
    </w:p>
    <w:p>
      <w:pPr>
        <w:ind w:left="912" w:right="60"/>
        <w:spacing w:after="0" w:line="266" w:lineRule="auto"/>
        <w:rPr>
          <w:sz w:val="20"/>
          <w:szCs w:val="20"/>
          <w:color w:val="auto"/>
        </w:rPr>
      </w:pPr>
      <w:r>
        <w:rPr>
          <w:rFonts w:ascii="Arial" w:cs="Arial" w:eastAsia="Arial" w:hAnsi="Arial"/>
          <w:sz w:val="18"/>
          <w:szCs w:val="18"/>
          <w:color w:val="auto"/>
        </w:rPr>
        <w:t xml:space="preserve">If the Buyers have not declared their option within </w:t>
      </w:r>
      <w:r>
        <w:rPr>
          <w:rFonts w:ascii="Arial" w:cs="Arial" w:eastAsia="Arial" w:hAnsi="Arial"/>
          <w:sz w:val="18"/>
          <w:szCs w:val="18"/>
          <w:color w:val="auto"/>
          <w:strike w:val="1"/>
        </w:rPr>
        <w:t>three (3) Banking Days</w:t>
      </w:r>
      <w:r>
        <w:rPr>
          <w:rFonts w:ascii="Arial" w:cs="Arial" w:eastAsia="Arial" w:hAnsi="Arial"/>
          <w:sz w:val="18"/>
          <w:szCs w:val="18"/>
          <w:color w:val="auto"/>
        </w:rPr>
        <w:t xml:space="preserve"> </w:t>
      </w:r>
      <w:r>
        <w:rPr>
          <w:rFonts w:ascii="Arial" w:cs="Arial" w:eastAsia="Arial" w:hAnsi="Arial"/>
          <w:sz w:val="18"/>
          <w:szCs w:val="18"/>
          <w:b w:val="1"/>
          <w:bCs w:val="1"/>
          <w:color w:val="auto"/>
        </w:rPr>
        <w:t>48 hours</w:t>
      </w:r>
      <w:r>
        <w:rPr>
          <w:rFonts w:ascii="Arial" w:cs="Arial" w:eastAsia="Arial" w:hAnsi="Arial"/>
          <w:sz w:val="18"/>
          <w:szCs w:val="18"/>
          <w:color w:val="auto"/>
        </w:rPr>
        <w:t xml:space="preserve"> of receipt of the Sellers’ notification or if the Buyers accept the new date, the date proposed in the Sellers’ notification shall be deemed to be the new Cancelling Date and shall be substituted for the Cancelling Date stipulated in </w:t>
      </w:r>
      <w:r>
        <w:rPr>
          <w:rFonts w:ascii="Arial" w:cs="Arial" w:eastAsia="Arial" w:hAnsi="Arial"/>
          <w:sz w:val="18"/>
          <w:szCs w:val="18"/>
          <w:u w:val="single" w:color="auto"/>
          <w:color w:val="auto"/>
        </w:rPr>
        <w:t>line 79</w:t>
      </w:r>
      <w:r>
        <w:rPr>
          <w:rFonts w:ascii="Arial" w:cs="Arial" w:eastAsia="Arial" w:hAnsi="Arial"/>
          <w:sz w:val="18"/>
          <w:szCs w:val="18"/>
          <w:color w:val="auto"/>
        </w:rPr>
        <w:t>.</w:t>
      </w:r>
    </w:p>
    <w:p>
      <w:pPr>
        <w:spacing w:after="0" w:line="72" w:lineRule="exact"/>
        <w:rPr>
          <w:sz w:val="20"/>
          <w:szCs w:val="20"/>
          <w:color w:val="auto"/>
        </w:rPr>
      </w:pPr>
    </w:p>
    <w:p>
      <w:pPr>
        <w:ind w:left="912"/>
        <w:spacing w:after="0" w:line="277" w:lineRule="auto"/>
        <w:rPr>
          <w:sz w:val="20"/>
          <w:szCs w:val="20"/>
          <w:color w:val="auto"/>
        </w:rPr>
      </w:pPr>
      <w:r>
        <w:rPr>
          <w:rFonts w:ascii="Arial" w:cs="Arial" w:eastAsia="Arial" w:hAnsi="Arial"/>
          <w:sz w:val="18"/>
          <w:szCs w:val="18"/>
          <w:color w:val="auto"/>
        </w:rPr>
        <w:t xml:space="preserve">If this Agreement is maintained with the new Cancelling Date all other terms and conditions hereof including those contained in </w:t>
      </w:r>
      <w:r>
        <w:rPr>
          <w:rFonts w:ascii="Arial" w:cs="Arial" w:eastAsia="Arial" w:hAnsi="Arial"/>
          <w:sz w:val="18"/>
          <w:szCs w:val="18"/>
          <w:u w:val="single" w:color="auto"/>
          <w:color w:val="auto"/>
        </w:rPr>
        <w:t>Clauses 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5(d)</w:t>
      </w:r>
      <w:r>
        <w:rPr>
          <w:rFonts w:ascii="Arial" w:cs="Arial" w:eastAsia="Arial" w:hAnsi="Arial"/>
          <w:sz w:val="18"/>
          <w:szCs w:val="18"/>
          <w:color w:val="auto"/>
        </w:rPr>
        <w:t xml:space="preserve"> shall remain unaltered and in full force and effect.</w:t>
      </w:r>
    </w:p>
    <w:p>
      <w:pPr>
        <w:spacing w:after="0" w:line="103"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380" w:name="page381"/>
    <w:bookmarkEnd w:id="380"/>
    <w:p>
      <w:pPr>
        <w:ind w:left="912" w:right="380" w:firstLine="1"/>
        <w:spacing w:after="0" w:line="308" w:lineRule="auto"/>
        <w:tabs>
          <w:tab w:leader="none" w:pos="1177" w:val="left"/>
        </w:tabs>
        <w:numPr>
          <w:ilvl w:val="1"/>
          <w:numId w:val="59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Cancellation, failure to cancel or acceptance of the new Cancelling Date shall be entirely without prejudice to any claim for damages the Buyers may have under </w:t>
      </w:r>
      <w:r>
        <w:rPr>
          <w:rFonts w:ascii="Arial" w:cs="Arial" w:eastAsia="Arial" w:hAnsi="Arial"/>
          <w:sz w:val="17"/>
          <w:szCs w:val="17"/>
          <w:u w:val="single" w:color="auto"/>
          <w:color w:val="auto"/>
        </w:rPr>
        <w:t>Clause 14</w:t>
      </w:r>
      <w:r>
        <w:rPr>
          <w:rFonts w:ascii="Arial" w:cs="Arial" w:eastAsia="Arial" w:hAnsi="Arial"/>
          <w:sz w:val="17"/>
          <w:szCs w:val="17"/>
          <w:color w:val="auto"/>
        </w:rPr>
        <w:t xml:space="preserve"> (Sellers’ Default) for the Vessel not being ready by the original Cancelling Date.</w:t>
      </w:r>
    </w:p>
    <w:p>
      <w:pPr>
        <w:spacing w:after="0" w:line="38" w:lineRule="exact"/>
        <w:rPr>
          <w:rFonts w:ascii="Arial" w:cs="Arial" w:eastAsia="Arial" w:hAnsi="Arial"/>
          <w:sz w:val="17"/>
          <w:szCs w:val="17"/>
          <w:b w:val="1"/>
          <w:bCs w:val="1"/>
          <w:color w:val="auto"/>
        </w:rPr>
      </w:pPr>
    </w:p>
    <w:p>
      <w:pPr>
        <w:ind w:left="912" w:right="140" w:firstLine="1"/>
        <w:spacing w:after="0" w:line="277" w:lineRule="auto"/>
        <w:tabs>
          <w:tab w:leader="none" w:pos="1157" w:val="left"/>
        </w:tabs>
        <w:numPr>
          <w:ilvl w:val="1"/>
          <w:numId w:val="594"/>
        </w:numPr>
        <w:rPr>
          <w:rFonts w:ascii="Arial" w:cs="Arial" w:eastAsia="Arial" w:hAnsi="Arial"/>
          <w:sz w:val="18"/>
          <w:szCs w:val="18"/>
          <w:b w:val="1"/>
          <w:bCs w:val="1"/>
          <w:color w:val="auto"/>
        </w:rPr>
      </w:pPr>
      <w:r>
        <w:rPr>
          <w:rFonts w:ascii="Arial" w:cs="Arial" w:eastAsia="Arial" w:hAnsi="Arial"/>
          <w:sz w:val="18"/>
          <w:szCs w:val="18"/>
          <w:color w:val="auto"/>
        </w:rPr>
        <w:t>Should the Vessel become an actual, constructive or compromised total loss before delivery the Deposit together with interest earned, if any, shall be released immediately to the Buyers whereafter this Agreement shall be null and void.</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595"/>
        </w:numPr>
        <w:rPr>
          <w:rFonts w:ascii="Arial" w:cs="Arial" w:eastAsia="Arial" w:hAnsi="Arial"/>
          <w:sz w:val="18"/>
          <w:szCs w:val="18"/>
          <w:b w:val="1"/>
          <w:bCs w:val="1"/>
          <w:color w:val="auto"/>
        </w:rPr>
      </w:pPr>
      <w:r>
        <w:rPr>
          <w:rFonts w:ascii="Arial" w:cs="Arial" w:eastAsia="Arial" w:hAnsi="Arial"/>
          <w:sz w:val="18"/>
          <w:szCs w:val="18"/>
          <w:b w:val="1"/>
          <w:bCs w:val="1"/>
          <w:color w:val="auto"/>
        </w:rPr>
        <w:t>Divers Inspection / Drydocking</w:t>
      </w:r>
    </w:p>
    <w:p>
      <w:pPr>
        <w:spacing w:after="0" w:line="117" w:lineRule="exact"/>
        <w:rPr>
          <w:rFonts w:ascii="Arial" w:cs="Arial" w:eastAsia="Arial" w:hAnsi="Arial"/>
          <w:sz w:val="18"/>
          <w:szCs w:val="18"/>
          <w:b w:val="1"/>
          <w:bCs w:val="1"/>
          <w:color w:val="auto"/>
        </w:rPr>
      </w:pPr>
    </w:p>
    <w:p>
      <w:pPr>
        <w:ind w:left="912"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Vessel is to be delivered without drydocking. However, the Buyers shall have the right at their expense to arrange for an underwater inspection by a diver approved by the Classification Society at the Delivery Port.</w:t>
      </w:r>
    </w:p>
    <w:p>
      <w:pPr>
        <w:spacing w:after="0" w:line="53" w:lineRule="exact"/>
        <w:rPr>
          <w:rFonts w:ascii="Arial" w:cs="Arial" w:eastAsia="Arial" w:hAnsi="Arial"/>
          <w:sz w:val="18"/>
          <w:szCs w:val="18"/>
          <w:b w:val="1"/>
          <w:bCs w:val="1"/>
          <w:color w:val="auto"/>
        </w:rPr>
      </w:pPr>
    </w:p>
    <w:p>
      <w:pPr>
        <w:ind w:left="912" w:right="1240"/>
        <w:spacing w:after="0" w:line="397" w:lineRule="auto"/>
        <w:rPr>
          <w:rFonts w:ascii="Arial" w:cs="Arial" w:eastAsia="Arial" w:hAnsi="Arial"/>
          <w:sz w:val="18"/>
          <w:szCs w:val="18"/>
          <w:b w:val="1"/>
          <w:bCs w:val="1"/>
          <w:color w:val="auto"/>
        </w:rPr>
      </w:pPr>
      <w:r>
        <w:rPr>
          <w:rFonts w:ascii="Arial" w:cs="Arial" w:eastAsia="Arial" w:hAnsi="Arial"/>
          <w:sz w:val="17"/>
          <w:szCs w:val="17"/>
          <w:b w:val="1"/>
          <w:bCs w:val="1"/>
          <w:color w:val="auto"/>
        </w:rPr>
        <w:t>Buyers to declare this option latest within 24 hours from receiving the 20 days approximate notice as per Clause 5 above. Such Inspection to be attended by a Class surveyor to be arranged by the Sellers at the Sellers’ expense.</w:t>
      </w:r>
    </w:p>
    <w:p>
      <w:pPr>
        <w:spacing w:after="0" w:line="1" w:lineRule="exact"/>
        <w:rPr>
          <w:rFonts w:ascii="Arial" w:cs="Arial" w:eastAsia="Arial" w:hAnsi="Arial"/>
          <w:sz w:val="18"/>
          <w:szCs w:val="18"/>
          <w:b w:val="1"/>
          <w:bCs w:val="1"/>
          <w:color w:val="auto"/>
        </w:rPr>
      </w:pPr>
    </w:p>
    <w:p>
      <w:pPr>
        <w:ind w:left="912"/>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Sellers shall at their cost make the Vessel available for such inspection. The extent of the inspection and the conditions under which it is performed shall be to the satisfaction of the attending Class Surveyor. If the conditions at the port of delivery are unsuitable for such inspection in the opinion of the attending Class Surveyor, the Sellers shall make the Vessel available at a suitable alternative place near to the delivery port.</w:t>
      </w:r>
    </w:p>
    <w:p>
      <w:pPr>
        <w:spacing w:after="0" w:line="71" w:lineRule="exact"/>
        <w:rPr>
          <w:rFonts w:ascii="Arial" w:cs="Arial" w:eastAsia="Arial" w:hAnsi="Arial"/>
          <w:sz w:val="18"/>
          <w:szCs w:val="18"/>
          <w:b w:val="1"/>
          <w:bCs w:val="1"/>
          <w:color w:val="auto"/>
        </w:rPr>
      </w:pPr>
    </w:p>
    <w:p>
      <w:pPr>
        <w:ind w:left="912" w:right="80"/>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a) If damage to underwater parts affecting Vessel’s Class is found which the Classification Society requires to be rectified at the Vessel’s next scheduled dry-dock, the Sellers shall have the option to deliver the vessel without rectifying the damage but paying the Buyers an estimated repair cost, by way of reduction from the purchase price, which amount shall be an average amount reasonably quoted by the Sellers and the Buyers respectively from two (2) reputable repairers in China. In this case, only direct cost to repair such damage shall be for the Sellers’ account, and not to include dry dock dues, docking or un-docking costs. This direct costs is to be deducted from Vessel’s Purchase Price at the time of Delivery. If the Classification Society requires the damage to be repaired earlier than Vessel’s next scheduled drydocking, clauses (b) and (c) to apply:</w:t>
      </w:r>
    </w:p>
    <w:p>
      <w:pPr>
        <w:spacing w:after="0" w:line="64" w:lineRule="exact"/>
        <w:rPr>
          <w:rFonts w:ascii="Arial" w:cs="Arial" w:eastAsia="Arial" w:hAnsi="Arial"/>
          <w:sz w:val="18"/>
          <w:szCs w:val="18"/>
          <w:b w:val="1"/>
          <w:bCs w:val="1"/>
          <w:color w:val="auto"/>
        </w:rPr>
      </w:pPr>
    </w:p>
    <w:p>
      <w:pPr>
        <w:ind w:left="912" w:right="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b) If the Classification Society requires Sellers to carry out afloat repairs of such damages promptly, then the Sellers shall repair such damages afloat at their expense to the satisfaction of Classification Society prior delivery. In this case, the Cancelling Date specified shall be extended by the time necessary for such repairing works.</w:t>
      </w:r>
    </w:p>
    <w:p>
      <w:pPr>
        <w:spacing w:after="0" w:line="113"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3" w:right="259" w:bottom="1440" w:gutter="0" w:footer="0" w:header="0"/>
        </w:sectPr>
      </w:pPr>
    </w:p>
    <w:bookmarkStart w:id="381" w:name="page382"/>
    <w:bookmarkEnd w:id="381"/>
    <w:p>
      <w:pPr>
        <w:jc w:val="both"/>
        <w:ind w:left="880" w:right="40" w:firstLine="1"/>
        <w:spacing w:after="0" w:line="261" w:lineRule="auto"/>
        <w:tabs>
          <w:tab w:leader="none" w:pos="1065"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Classification Society requires to carry out repairs at a drydocking facility, the Sellers shall arrange for the vessel to be repaired at a suitable drydocking facility at their expense. The Buyers have the right to clean and paint the vessel’s bottom and other underwater parts during drydock at their time, risk and expenses without interference to the Sellers’ works subject to prior consent of the Sellers, which not to be unreasonably withheld.</w:t>
      </w:r>
    </w:p>
    <w:p>
      <w:pPr>
        <w:spacing w:after="0" w:line="72" w:lineRule="exact"/>
        <w:rPr>
          <w:sz w:val="20"/>
          <w:szCs w:val="20"/>
          <w:color w:val="auto"/>
        </w:rPr>
      </w:pPr>
    </w:p>
    <w:p>
      <w:pPr>
        <w:ind w:left="880" w:right="380"/>
        <w:spacing w:after="0" w:line="266" w:lineRule="auto"/>
        <w:rPr>
          <w:sz w:val="20"/>
          <w:szCs w:val="20"/>
          <w:color w:val="auto"/>
        </w:rPr>
      </w:pPr>
      <w:r>
        <w:rPr>
          <w:rFonts w:ascii="Arial" w:cs="Arial" w:eastAsia="Arial" w:hAnsi="Arial"/>
          <w:sz w:val="18"/>
          <w:szCs w:val="18"/>
          <w:b w:val="1"/>
          <w:bCs w:val="1"/>
          <w:color w:val="auto"/>
        </w:rPr>
        <w:t>In the event that the Sellers’ works are completed prior to the Buyers’ completion of their works, if any, the Sellers have the right to tender a Notice of Readiness for delivery whilst the Vessel is in drydock and deliver the vessel in drydock, and the Buyers shall be obliged to take delivery of the Vessel, whether the Vessel is in drydock or not.</w:t>
      </w:r>
    </w:p>
    <w:p>
      <w:pPr>
        <w:spacing w:after="0" w:line="68" w:lineRule="exact"/>
        <w:rPr>
          <w:sz w:val="20"/>
          <w:szCs w:val="20"/>
          <w:color w:val="auto"/>
        </w:rPr>
      </w:pPr>
    </w:p>
    <w:p>
      <w:pPr>
        <w:jc w:val="both"/>
        <w:ind w:left="880"/>
        <w:spacing w:after="0" w:line="314" w:lineRule="auto"/>
        <w:rPr>
          <w:sz w:val="20"/>
          <w:szCs w:val="20"/>
          <w:color w:val="auto"/>
        </w:rPr>
      </w:pPr>
      <w:r>
        <w:rPr>
          <w:rFonts w:ascii="Arial" w:cs="Arial" w:eastAsia="Arial" w:hAnsi="Arial"/>
          <w:sz w:val="16"/>
          <w:szCs w:val="16"/>
          <w:b w:val="1"/>
          <w:bCs w:val="1"/>
          <w:color w:val="auto"/>
        </w:rPr>
        <w:t>If there are no suitable drydocking facilities within the delivery range as per Clause 5(b) herein, the Sellers shall drydock the Vessel in an alternative port, which shall become for the purpose of this clause the new delivery port. In such event the Cancelling Date as per Clause 5(b) herein shall be extended by the additional time required for the dry-docking and extra steaming.</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strike w:val="1"/>
        </w:rPr>
        <w:t>(a)*</w:t>
      </w:r>
    </w:p>
    <w:p>
      <w:pPr>
        <w:spacing w:after="0" w:line="135" w:lineRule="exact"/>
        <w:rPr>
          <w:sz w:val="20"/>
          <w:szCs w:val="20"/>
          <w:color w:val="auto"/>
        </w:rPr>
      </w:pPr>
    </w:p>
    <w:p>
      <w:pPr>
        <w:ind w:left="1660" w:right="20" w:hanging="787"/>
        <w:spacing w:after="0" w:line="269" w:lineRule="auto"/>
        <w:tabs>
          <w:tab w:leader="none" w:pos="1660" w:val="left"/>
        </w:tabs>
        <w:numPr>
          <w:ilvl w:val="0"/>
          <w:numId w:val="597"/>
        </w:numPr>
        <w:rPr>
          <w:rFonts w:ascii="Arial" w:cs="Arial" w:eastAsia="Arial" w:hAnsi="Arial"/>
          <w:sz w:val="17"/>
          <w:szCs w:val="17"/>
          <w:b w:val="1"/>
          <w:bCs w:val="1"/>
          <w:color w:val="auto"/>
          <w:strike w:val="1"/>
        </w:rPr>
      </w:pPr>
      <w:r>
        <w:rPr>
          <w:rFonts w:ascii="Arial" w:cs="Arial" w:eastAsia="Arial" w:hAnsi="Arial"/>
          <w:sz w:val="17"/>
          <w:szCs w:val="17"/>
          <w:color w:val="auto"/>
          <w:strike w:val="1"/>
        </w:rPr>
        <w:t>The Buyers shall have the option at their cost and expense to arrange for an underwater inspection by a diver approved by the Classification Society prior to the delivery of the Vessel. Such option shall be declared latest nine (9) days prior to the Vessel’s intended date of readiness for delivery as notified by the Sellers pursuant to Clause 5(b) of this Agreement. The Sellers shall at their cost and expense make the Vessel available for such inspection. This inspection shall be carried out without undue delay and in the presence of a Classification Society surveyor arranged for by the Sellers and paid for by the Buyers. The Buyers’ representative(s) shall have the right to be present at the diver’s inspection as observer(s) only without interfering with the work or decisions of the Classification Society surveyor. The extent of the inspection and the conditions under which it is performed shall be the satisfaction of the Classification Society. If the conditions at the place of delivery are unsuitable for such inspection, the Sellers shall at their cost and expense make the Vessel available at a suitable alternative place near to the delivery port, in which event the Canceling Date shall be extended by the additional time required for such positioning and the subsequent re-positioning. The Sellers may not tender Notice of Readiness prior to completion of the underwater inspection.</w:t>
      </w:r>
    </w:p>
    <w:p>
      <w:pPr>
        <w:spacing w:after="0" w:line="88" w:lineRule="exact"/>
        <w:rPr>
          <w:rFonts w:ascii="Arial" w:cs="Arial" w:eastAsia="Arial" w:hAnsi="Arial"/>
          <w:sz w:val="17"/>
          <w:szCs w:val="17"/>
          <w:b w:val="1"/>
          <w:bCs w:val="1"/>
          <w:color w:val="auto"/>
          <w:strike w:val="1"/>
        </w:rPr>
      </w:pPr>
    </w:p>
    <w:p>
      <w:pPr>
        <w:ind w:left="1660" w:right="100" w:hanging="787"/>
        <w:spacing w:after="0" w:line="264" w:lineRule="auto"/>
        <w:tabs>
          <w:tab w:leader="none" w:pos="1660" w:val="left"/>
        </w:tabs>
        <w:numPr>
          <w:ilvl w:val="0"/>
          <w:numId w:val="597"/>
        </w:numPr>
        <w:rPr>
          <w:rFonts w:ascii="Arial" w:cs="Arial" w:eastAsia="Arial" w:hAnsi="Arial"/>
          <w:sz w:val="18"/>
          <w:szCs w:val="18"/>
          <w:b w:val="1"/>
          <w:bCs w:val="1"/>
          <w:color w:val="auto"/>
          <w:strike w:val="1"/>
        </w:rPr>
      </w:pPr>
      <w:r>
        <w:rPr>
          <w:rFonts w:ascii="Arial" w:cs="Arial" w:eastAsia="Arial" w:hAnsi="Arial"/>
          <w:sz w:val="18"/>
          <w:szCs w:val="18"/>
          <w:color w:val="auto"/>
          <w:strike w:val="1"/>
        </w:rPr>
        <w:t>If the rudder, propeller, bottom or other underwater parts below the deepest load line are found broken, damaged or defective so as to affect the Vessel’s class, then (1) unless repairs can be carried out afloat to the satisfaction of the Classification Society, the Sellers shall arrange for the Vessel to be drydocked at their expense for inspection by the</w:t>
      </w:r>
    </w:p>
    <w:p>
      <w:pPr>
        <w:spacing w:after="0" w:line="114" w:lineRule="exact"/>
        <w:rPr>
          <w:sz w:val="20"/>
          <w:szCs w:val="20"/>
          <w:color w:val="auto"/>
        </w:rPr>
      </w:pPr>
    </w:p>
    <w:p>
      <w:pPr>
        <w:jc w:val="center"/>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70" w:right="259" w:bottom="1440" w:gutter="0" w:footer="0" w:header="0"/>
        </w:sectPr>
      </w:pPr>
    </w:p>
    <w:bookmarkStart w:id="382" w:name="page383"/>
    <w:bookmarkEnd w:id="382"/>
    <w:p>
      <w:pPr>
        <w:ind w:left="1660"/>
        <w:spacing w:after="0" w:line="259"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Classification Society of the Vessel’s underwater parts below the deepest load line, the extent of the inspection being in accordance with the Classification Society’s rules (2) such defects shall be made good by the Sellers at their cost and expense to the satisfaction of the Classification Society without condition/recommendation** and (3) the Sellers shall pay for the underwater inspection and the Classification Society’s attendance.</w:t>
      </w:r>
    </w:p>
    <w:p>
      <w:pPr>
        <w:spacing w:after="0" w:line="79" w:lineRule="exact"/>
        <w:rPr>
          <w:sz w:val="20"/>
          <w:szCs w:val="20"/>
          <w:color w:val="auto"/>
        </w:rPr>
      </w:pPr>
    </w:p>
    <w:p>
      <w:pPr>
        <w:ind w:left="1680" w:right="60"/>
        <w:spacing w:after="0" w:line="289" w:lineRule="auto"/>
        <w:rPr>
          <w:sz w:val="20"/>
          <w:szCs w:val="20"/>
          <w:color w:val="auto"/>
        </w:rPr>
      </w:pPr>
      <w:r>
        <w:rPr>
          <w:rFonts w:ascii="Arial" w:cs="Arial" w:eastAsia="Arial" w:hAnsi="Arial"/>
          <w:sz w:val="16"/>
          <w:szCs w:val="16"/>
          <w:color w:val="auto"/>
          <w:strike w:val="1"/>
        </w:rPr>
        <w:t>Notwithstanding anything to the contrary in this Agreement, if the Classification Society do not require the aforementioned defects to be rectified before the next class drydocking survey, the Sellers shall be entitled to deliver the Vessel with these defects against a deduction from the Purchase Price of the estimated direct cost (of labour and materials) of carrying out the repairs to the satisfaction of the Classification Society, whereafter the Buyers shall have no further rights whatsoever in respect of the defects and/or repairs. The estimated direct cost of the repairs shall be the average of quotes for the repair work obtained from two reputable independent shipyards at or in the vicinity of the port of delivery, one to be obtained by each of the Parties within two (2) Banking Days from the date of the imposition of the condition/recommendation, unless the Parties agree otherwise. Should either of the Parties fail to obtain such a quote within the stipulated time then the quote duly obtained by the other Party shall be the sole basis for the estimate of the direct repair costs. The Sellers may no tender Notice of Readiness prior to such estimate having been established.</w:t>
      </w:r>
    </w:p>
    <w:p>
      <w:pPr>
        <w:spacing w:after="0" w:line="72" w:lineRule="exact"/>
        <w:rPr>
          <w:sz w:val="20"/>
          <w:szCs w:val="20"/>
          <w:color w:val="auto"/>
        </w:rPr>
      </w:pPr>
    </w:p>
    <w:p>
      <w:pPr>
        <w:ind w:left="1660" w:right="20" w:hanging="787"/>
        <w:spacing w:after="0" w:line="297" w:lineRule="auto"/>
        <w:tabs>
          <w:tab w:leader="none" w:pos="1660" w:val="left"/>
        </w:tabs>
        <w:numPr>
          <w:ilvl w:val="0"/>
          <w:numId w:val="598"/>
        </w:numPr>
        <w:rPr>
          <w:rFonts w:ascii="Arial" w:cs="Arial" w:eastAsia="Arial" w:hAnsi="Arial"/>
          <w:sz w:val="16"/>
          <w:szCs w:val="16"/>
          <w:b w:val="1"/>
          <w:bCs w:val="1"/>
          <w:color w:val="auto"/>
          <w:strike w:val="1"/>
        </w:rPr>
      </w:pPr>
      <w:r>
        <w:rPr>
          <w:rFonts w:ascii="Arial" w:cs="Arial" w:eastAsia="Arial" w:hAnsi="Arial"/>
          <w:sz w:val="16"/>
          <w:szCs w:val="16"/>
          <w:color w:val="auto"/>
          <w:strike w:val="1"/>
        </w:rPr>
        <w:t>If the Vessel is to be drydocked pursuant to Clause 6(a)(ii) and no suitable dry-docking facilities are available at the port of delivery, the Sellers shall take the Vessel to a port where suitable drydocking facilities are available, whether within or outside the delivery range as per Clause 5(a). Once drydocking has taken place the Sellers shall deliver the Vessel at a port within the delivery range as per Clause 5(a) which shall, for the purpose of this Clause, become the new port of delivery. In such event the Cancelling Date shall be extended by the additional time required for the drydocking and extra steaming, but limited to a maximum of fourteen (14 days.</w:t>
      </w:r>
    </w:p>
    <w:p>
      <w:pPr>
        <w:spacing w:after="0" w:line="46" w:lineRule="exact"/>
        <w:rPr>
          <w:sz w:val="20"/>
          <w:szCs w:val="20"/>
          <w:color w:val="auto"/>
        </w:rPr>
      </w:pPr>
    </w:p>
    <w:p>
      <w:pPr>
        <w:ind w:left="880" w:right="40"/>
        <w:spacing w:after="0" w:line="274" w:lineRule="auto"/>
        <w:rPr>
          <w:sz w:val="20"/>
          <w:szCs w:val="20"/>
          <w:color w:val="auto"/>
        </w:rPr>
      </w:pPr>
      <w:r>
        <w:rPr>
          <w:rFonts w:ascii="Arial" w:cs="Arial" w:eastAsia="Arial" w:hAnsi="Arial"/>
          <w:sz w:val="17"/>
          <w:szCs w:val="17"/>
          <w:b w:val="1"/>
          <w:bCs w:val="1"/>
          <w:color w:val="auto"/>
          <w:strike w:val="1"/>
        </w:rPr>
        <w:t xml:space="preserve">(b)* </w:t>
      </w:r>
      <w:r>
        <w:rPr>
          <w:rFonts w:ascii="Arial" w:cs="Arial" w:eastAsia="Arial" w:hAnsi="Arial"/>
          <w:sz w:val="17"/>
          <w:szCs w:val="17"/>
          <w:color w:val="auto"/>
          <w:strike w:val="1"/>
        </w:rPr>
        <w:t>The Sellers shall place the Vessel in drydock at the port or delivery for inspection by the Classification Society of the Vessel’s underwater</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parts below the deepest load line, the extent of the inspection being in accordance with the Classification Society’s rules, If the rudder, propeller, bottom or other underwater parts below the deepest load line are found broken, damaged or defective so as to affect the Vessel’s class, such defects shall be made good at the Sellers’ cost and expense to the satisfaction of the Classification Society without condition/recommendation**. In such event the Sellers are also to pay for the costs and expenses in connection with putting the Vessel in and taking her out of drydock, including the drydock dues and the Classification Society’s fees. The</w:t>
      </w:r>
    </w:p>
    <w:p>
      <w:pPr>
        <w:spacing w:after="0" w:line="110" w:lineRule="exact"/>
        <w:rPr>
          <w:sz w:val="20"/>
          <w:szCs w:val="20"/>
          <w:color w:val="auto"/>
        </w:rPr>
      </w:pPr>
    </w:p>
    <w:p>
      <w:pPr>
        <w:jc w:val="center"/>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73" w:right="259" w:bottom="1440" w:gutter="0" w:footer="0" w:header="0"/>
        </w:sectPr>
      </w:pPr>
    </w:p>
    <w:bookmarkStart w:id="383" w:name="page384"/>
    <w:bookmarkEnd w:id="383"/>
    <w:p>
      <w:pPr>
        <w:ind w:left="880" w:right="180"/>
        <w:spacing w:after="0" w:line="277"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Sellers shall also pay for these costs and expenses if parts of the tailshaft system are condemned or found defective or broken so as to affect the Vessel’s class. In all other cases, the Buyers shall pay the aforesaid costs and expenses, dues and fees.</w:t>
      </w:r>
    </w:p>
    <w:p>
      <w:pPr>
        <w:spacing w:after="0" w:line="62" w:lineRule="exact"/>
        <w:rPr>
          <w:sz w:val="20"/>
          <w:szCs w:val="20"/>
          <w:color w:val="auto"/>
        </w:rPr>
      </w:pPr>
    </w:p>
    <w:p>
      <w:pPr>
        <w:ind w:left="1120" w:hanging="239"/>
        <w:spacing w:after="0"/>
        <w:tabs>
          <w:tab w:leader="none" w:pos="1120" w:val="left"/>
        </w:tabs>
        <w:numPr>
          <w:ilvl w:val="1"/>
          <w:numId w:val="599"/>
        </w:numPr>
        <w:rPr>
          <w:rFonts w:ascii="Arial" w:cs="Arial" w:eastAsia="Arial" w:hAnsi="Arial"/>
          <w:sz w:val="18"/>
          <w:szCs w:val="18"/>
          <w:b w:val="1"/>
          <w:bCs w:val="1"/>
          <w:color w:val="auto"/>
          <w:strike w:val="1"/>
        </w:rPr>
      </w:pPr>
      <w:r>
        <w:rPr>
          <w:rFonts w:ascii="Arial" w:cs="Arial" w:eastAsia="Arial" w:hAnsi="Arial"/>
          <w:sz w:val="18"/>
          <w:szCs w:val="18"/>
          <w:color w:val="auto"/>
          <w:strike w:val="1"/>
        </w:rPr>
        <w:t>If the Vessel is drydocked pursuant to Clause 6 (a)(ii) or 6 (b) above:</w:t>
      </w:r>
    </w:p>
    <w:p>
      <w:pPr>
        <w:spacing w:after="0" w:line="130" w:lineRule="exact"/>
        <w:rPr>
          <w:rFonts w:ascii="Arial" w:cs="Arial" w:eastAsia="Arial" w:hAnsi="Arial"/>
          <w:sz w:val="18"/>
          <w:szCs w:val="18"/>
          <w:b w:val="1"/>
          <w:bCs w:val="1"/>
          <w:color w:val="auto"/>
          <w:strike w:val="1"/>
        </w:rPr>
      </w:pPr>
    </w:p>
    <w:p>
      <w:pPr>
        <w:ind w:left="1660" w:hanging="787"/>
        <w:spacing w:after="0" w:line="271" w:lineRule="auto"/>
        <w:tabs>
          <w:tab w:leader="none" w:pos="1660" w:val="left"/>
        </w:tabs>
        <w:numPr>
          <w:ilvl w:val="1"/>
          <w:numId w:val="600"/>
        </w:numPr>
        <w:rPr>
          <w:rFonts w:ascii="Arial" w:cs="Arial" w:eastAsia="Arial" w:hAnsi="Arial"/>
          <w:sz w:val="17"/>
          <w:szCs w:val="17"/>
          <w:b w:val="1"/>
          <w:bCs w:val="1"/>
          <w:color w:val="auto"/>
          <w:strike w:val="1"/>
        </w:rPr>
      </w:pPr>
      <w:r>
        <w:rPr>
          <w:rFonts w:ascii="Arial" w:cs="Arial" w:eastAsia="Arial" w:hAnsi="Arial"/>
          <w:sz w:val="17"/>
          <w:szCs w:val="17"/>
          <w:color w:val="auto"/>
          <w:strike w:val="1"/>
        </w:rPr>
        <w:t>The Classification Society may require survey of the tailshaft system, the extent of the survey being to the satisfaction of the Classification surveyor. If such survey is not required by the Classification Society, the Buyers shall have the option to require the tailshaft to be drawn and surveyed by the Classification Society, the extent of the survey being in accordance with the Classification Society’s rules for tailshaft survey and consistent with the current stage of the Vessel’s survey cycle. The Buyers shall declare whether they require the tailshaft to be drawn and surveyed not later than by the completion of the inspection by the Classification Society. The drawing and refitting of the tailshaft shall be arranged by the Sellers. Should any parts of the tailshaft system be condemned or found defective so as to affect the Vessel’s class, those parts shall be renewed or made good at the Sellers’ cost and expense to the satisfaction of Classification Society without condition/recommendation**.</w:t>
      </w:r>
    </w:p>
    <w:p>
      <w:pPr>
        <w:spacing w:after="0" w:line="84" w:lineRule="exact"/>
        <w:rPr>
          <w:rFonts w:ascii="Arial" w:cs="Arial" w:eastAsia="Arial" w:hAnsi="Arial"/>
          <w:sz w:val="17"/>
          <w:szCs w:val="17"/>
          <w:b w:val="1"/>
          <w:bCs w:val="1"/>
          <w:color w:val="auto"/>
          <w:strike w:val="1"/>
        </w:rPr>
      </w:pPr>
    </w:p>
    <w:p>
      <w:pPr>
        <w:ind w:left="1660" w:right="100" w:hanging="787"/>
        <w:spacing w:after="0" w:line="264" w:lineRule="auto"/>
        <w:tabs>
          <w:tab w:leader="none" w:pos="1660" w:val="left"/>
        </w:tabs>
        <w:numPr>
          <w:ilvl w:val="1"/>
          <w:numId w:val="601"/>
        </w:numPr>
        <w:rPr>
          <w:rFonts w:ascii="Arial" w:cs="Arial" w:eastAsia="Arial" w:hAnsi="Arial"/>
          <w:sz w:val="18"/>
          <w:szCs w:val="18"/>
          <w:b w:val="1"/>
          <w:bCs w:val="1"/>
          <w:color w:val="auto"/>
          <w:strike w:val="1"/>
        </w:rPr>
      </w:pPr>
      <w:r>
        <w:rPr>
          <w:rFonts w:ascii="Arial" w:cs="Arial" w:eastAsia="Arial" w:hAnsi="Arial"/>
          <w:sz w:val="18"/>
          <w:szCs w:val="18"/>
          <w:color w:val="auto"/>
          <w:strike w:val="1"/>
        </w:rPr>
        <w:t>The costs and expenses relating to the survey of the tailshaft system shall be borne by the Buyers unless the Classification Society requires such survey to be carried out or if parts of the system are condemned or found defective or broken so as to affect the Vessel’s class, in which case the Sellers shall pay these costs and expenses.</w:t>
      </w:r>
    </w:p>
    <w:p>
      <w:pPr>
        <w:spacing w:after="0" w:line="86" w:lineRule="exact"/>
        <w:rPr>
          <w:rFonts w:ascii="Arial" w:cs="Arial" w:eastAsia="Arial" w:hAnsi="Arial"/>
          <w:sz w:val="18"/>
          <w:szCs w:val="18"/>
          <w:b w:val="1"/>
          <w:bCs w:val="1"/>
          <w:color w:val="auto"/>
          <w:strike w:val="1"/>
        </w:rPr>
      </w:pPr>
    </w:p>
    <w:p>
      <w:pPr>
        <w:ind w:left="1660" w:hanging="787"/>
        <w:spacing w:after="0" w:line="277" w:lineRule="auto"/>
        <w:tabs>
          <w:tab w:leader="none" w:pos="1660" w:val="left"/>
        </w:tabs>
        <w:numPr>
          <w:ilvl w:val="1"/>
          <w:numId w:val="602"/>
        </w:numPr>
        <w:rPr>
          <w:rFonts w:ascii="Arial" w:cs="Arial" w:eastAsia="Arial" w:hAnsi="Arial"/>
          <w:sz w:val="18"/>
          <w:szCs w:val="18"/>
          <w:b w:val="1"/>
          <w:bCs w:val="1"/>
          <w:color w:val="auto"/>
          <w:strike w:val="1"/>
        </w:rPr>
      </w:pPr>
      <w:r>
        <w:rPr>
          <w:rFonts w:ascii="Arial" w:cs="Arial" w:eastAsia="Arial" w:hAnsi="Arial"/>
          <w:sz w:val="18"/>
          <w:szCs w:val="18"/>
          <w:color w:val="auto"/>
          <w:strike w:val="1"/>
        </w:rPr>
        <w:t>The Buyers’ representative(s) shall have the right to be present in the drydock, as observer(s) only without interfering with the work or decisions of the Classification Society surveyor.</w:t>
      </w:r>
    </w:p>
    <w:p>
      <w:pPr>
        <w:spacing w:after="0" w:line="75" w:lineRule="exact"/>
        <w:rPr>
          <w:rFonts w:ascii="Arial" w:cs="Arial" w:eastAsia="Arial" w:hAnsi="Arial"/>
          <w:sz w:val="18"/>
          <w:szCs w:val="18"/>
          <w:b w:val="1"/>
          <w:bCs w:val="1"/>
          <w:color w:val="auto"/>
          <w:strike w:val="1"/>
        </w:rPr>
      </w:pPr>
    </w:p>
    <w:p>
      <w:pPr>
        <w:ind w:left="1660" w:right="40" w:hanging="787"/>
        <w:spacing w:after="0" w:line="272" w:lineRule="auto"/>
        <w:tabs>
          <w:tab w:leader="none" w:pos="1660" w:val="left"/>
        </w:tabs>
        <w:numPr>
          <w:ilvl w:val="0"/>
          <w:numId w:val="603"/>
        </w:numPr>
        <w:rPr>
          <w:rFonts w:ascii="Arial" w:cs="Arial" w:eastAsia="Arial" w:hAnsi="Arial"/>
          <w:sz w:val="17"/>
          <w:szCs w:val="17"/>
          <w:b w:val="1"/>
          <w:bCs w:val="1"/>
          <w:color w:val="auto"/>
          <w:strike w:val="1"/>
        </w:rPr>
      </w:pPr>
      <w:r>
        <w:rPr>
          <w:rFonts w:ascii="Arial" w:cs="Arial" w:eastAsia="Arial" w:hAnsi="Arial"/>
          <w:sz w:val="17"/>
          <w:szCs w:val="17"/>
          <w:color w:val="auto"/>
          <w:strike w:val="1"/>
        </w:rPr>
        <w:t>The Buyers shall have the right to have the underwater parts of the Vessel cleaned and painted at their risk, cost and expense without interfering with the Sellers’ or the Classification Society surveyor’s work, if any, and without affecting the Vessel’s timely delivery. If, however, the Buyers’ work in drydock is still in progress when the Sellers have completed the work which the Sellers are required to do, the additional docking time needed to complete the Buyers’ work shall be for the Buyers’ risk, cost and expense. In the event that the Buyers’ work required such additional time, the Sellers may upon completion of the Sellers’ work tender Notice of Readiness for delivery whilst the Vessel is still in drydock and, notwithstanding Clause 5(a), the Buyers shall be obliged to take delivery in accordance with Clause 3 (Payment), whether the Vessel is in drydock or not.</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strike w:val="1"/>
        </w:rPr>
        <w:t xml:space="preserve">*6 </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a</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 xml:space="preserve"> and 6 </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b</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 xml:space="preserve"> are alternatives; delete whichever is not applicable. In the absence of deletions, alternative 6 </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a</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 xml:space="preserve"> shall apply.</w:t>
      </w:r>
    </w:p>
    <w:p>
      <w:pPr>
        <w:spacing w:after="0" w:line="158" w:lineRule="exact"/>
        <w:rPr>
          <w:sz w:val="20"/>
          <w:szCs w:val="20"/>
          <w:color w:val="auto"/>
        </w:rPr>
      </w:pPr>
    </w:p>
    <w:p>
      <w:pPr>
        <w:jc w:val="center"/>
        <w:ind w:right="2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80" w:top="274" w:right="239" w:bottom="1440" w:gutter="0" w:footer="0" w:header="0"/>
        </w:sectPr>
      </w:pPr>
    </w:p>
    <w:bookmarkStart w:id="384" w:name="page385"/>
    <w:bookmarkEnd w:id="384"/>
    <w:p>
      <w:pPr>
        <w:ind w:left="912" w:right="160"/>
        <w:spacing w:after="0" w:line="277"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or memoranda, if any, in the surveyor’s report which are accepted by the Classification Society without condition/recommendation are not to be taken into account.</w:t>
      </w:r>
    </w:p>
    <w:p>
      <w:pPr>
        <w:spacing w:after="0" w:line="72" w:lineRule="exact"/>
        <w:rPr>
          <w:sz w:val="20"/>
          <w:szCs w:val="20"/>
          <w:color w:val="auto"/>
        </w:rPr>
      </w:pPr>
    </w:p>
    <w:p>
      <w:pPr>
        <w:ind w:left="912" w:hanging="912"/>
        <w:spacing w:after="0"/>
        <w:tabs>
          <w:tab w:leader="none" w:pos="912"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t>Spares, bunkers and other items</w:t>
      </w:r>
    </w:p>
    <w:p>
      <w:pPr>
        <w:spacing w:after="0" w:line="117" w:lineRule="exact"/>
        <w:rPr>
          <w:rFonts w:ascii="Arial" w:cs="Arial" w:eastAsia="Arial" w:hAnsi="Arial"/>
          <w:sz w:val="18"/>
          <w:szCs w:val="18"/>
          <w:b w:val="1"/>
          <w:bCs w:val="1"/>
          <w:color w:val="auto"/>
        </w:rPr>
      </w:pPr>
    </w:p>
    <w:p>
      <w:pPr>
        <w:ind w:left="912"/>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 xml:space="preserve">The Sellers shall deliver the Vessel to the Buyers with everything belonging to her on board and on shore </w:t>
      </w:r>
      <w:r>
        <w:rPr>
          <w:rFonts w:ascii="Arial" w:cs="Arial" w:eastAsia="Arial" w:hAnsi="Arial"/>
          <w:sz w:val="16"/>
          <w:szCs w:val="16"/>
          <w:b w:val="1"/>
          <w:bCs w:val="1"/>
          <w:color w:val="auto"/>
        </w:rPr>
        <w:t>and on order</w:t>
      </w:r>
      <w:r>
        <w:rPr>
          <w:rFonts w:ascii="Arial" w:cs="Arial" w:eastAsia="Arial" w:hAnsi="Arial"/>
          <w:sz w:val="16"/>
          <w:szCs w:val="16"/>
          <w:color w:val="auto"/>
        </w:rPr>
        <w:t xml:space="preserve">. All spare parts and spare equipment </w:t>
      </w:r>
      <w:r>
        <w:rPr>
          <w:rFonts w:ascii="Arial" w:cs="Arial" w:eastAsia="Arial" w:hAnsi="Arial"/>
          <w:sz w:val="16"/>
          <w:szCs w:val="16"/>
          <w:color w:val="auto"/>
          <w:strike w:val="1"/>
        </w:rPr>
        <w:t>including spare tail-end shaft(s) and/or spare propeller(s)/propeller blade(s)</w:t>
      </w:r>
      <w:r>
        <w:rPr>
          <w:rFonts w:ascii="Arial" w:cs="Arial" w:eastAsia="Arial" w:hAnsi="Arial"/>
          <w:sz w:val="16"/>
          <w:szCs w:val="16"/>
          <w:color w:val="auto"/>
        </w:rPr>
        <w:t>, if any, belonging to the Vessel at the time of inspection used or unused, whether on board or not shall become the Buyers’ property, but spares on order are excluded. Forwarding charges, if any, shall be for the Buyers’ account. The Sellers are not required to replace spare parts including spare tail-end shaft(s) and spare propeller(s)/propeller blade(s) which are taken out of spare and used as replacement prior to delivery, but the replaced items shall be the property of the Buyers. Unused stores and provisions shall be included in the sale and be taken over by the Buyers without extra payment.</w:t>
      </w:r>
    </w:p>
    <w:p>
      <w:pPr>
        <w:spacing w:after="0" w:line="51" w:lineRule="exact"/>
        <w:rPr>
          <w:rFonts w:ascii="Arial" w:cs="Arial" w:eastAsia="Arial" w:hAnsi="Arial"/>
          <w:sz w:val="18"/>
          <w:szCs w:val="18"/>
          <w:b w:val="1"/>
          <w:bCs w:val="1"/>
          <w:color w:val="auto"/>
        </w:rPr>
      </w:pPr>
    </w:p>
    <w:p>
      <w:pPr>
        <w:ind w:left="912"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Library and forms exclusively for use in the Sellers’ vessel(s) and captain’s, officers’ and crew’s personal belongings including the slop chest are excluded from the sale without compensation, as well as the following additional items: </w:t>
      </w:r>
      <w:r>
        <w:rPr>
          <w:rFonts w:ascii="Arial" w:cs="Arial" w:eastAsia="Arial" w:hAnsi="Arial"/>
          <w:sz w:val="18"/>
          <w:szCs w:val="18"/>
          <w:b w:val="1"/>
          <w:bCs w:val="1"/>
          <w:color w:val="auto"/>
        </w:rPr>
        <w:t>As below, but to be reconfirmed by Sellers</w:t>
      </w:r>
      <w:r>
        <w:rPr>
          <w:rFonts w:ascii="Arial" w:cs="Arial" w:eastAsia="Arial" w:hAnsi="Arial"/>
          <w:sz w:val="18"/>
          <w:szCs w:val="18"/>
          <w:color w:val="auto"/>
        </w:rPr>
        <w:t xml:space="preserve"> (</w:t>
      </w:r>
      <w:r>
        <w:rPr>
          <w:rFonts w:ascii="Arial" w:cs="Arial" w:eastAsia="Arial" w:hAnsi="Arial"/>
          <w:sz w:val="18"/>
          <w:szCs w:val="18"/>
          <w:i w:val="1"/>
          <w:iCs w:val="1"/>
          <w:color w:val="auto"/>
        </w:rPr>
        <w:t>include</w:t>
      </w:r>
      <w:r>
        <w:rPr>
          <w:rFonts w:ascii="Arial" w:cs="Arial" w:eastAsia="Arial" w:hAnsi="Arial"/>
          <w:sz w:val="18"/>
          <w:szCs w:val="18"/>
          <w:color w:val="auto"/>
        </w:rPr>
        <w:t xml:space="preserve"> </w:t>
      </w:r>
      <w:r>
        <w:rPr>
          <w:rFonts w:ascii="Arial" w:cs="Arial" w:eastAsia="Arial" w:hAnsi="Arial"/>
          <w:sz w:val="18"/>
          <w:szCs w:val="18"/>
          <w:i w:val="1"/>
          <w:iCs w:val="1"/>
          <w:color w:val="auto"/>
        </w:rPr>
        <w:t>list</w:t>
      </w:r>
      <w:r>
        <w:rPr>
          <w:rFonts w:ascii="Arial" w:cs="Arial" w:eastAsia="Arial" w:hAnsi="Arial"/>
          <w:sz w:val="18"/>
          <w:szCs w:val="18"/>
          <w:color w:val="auto"/>
        </w:rPr>
        <w:t>)</w:t>
      </w:r>
    </w:p>
    <w:p>
      <w:pPr>
        <w:spacing w:after="0" w:line="86" w:lineRule="exact"/>
        <w:rPr>
          <w:rFonts w:ascii="Arial" w:cs="Arial" w:eastAsia="Arial" w:hAnsi="Arial"/>
          <w:sz w:val="18"/>
          <w:szCs w:val="18"/>
          <w:b w:val="1"/>
          <w:b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Flag Certificates i.e., Registry, Safe Manning and Radio License</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certificates of insurance and financial responsibility, COFR Federal or California Certificates</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Safety Management Certificate / SMC</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International Ship Security Certificate / ISSC</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MLC Certificate (Maritime Labour Certificate)</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Declarations to Flag i.e, Company, CSO and DPA.</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Engine and Deck Logbooks. (Copies may be given to buyers)</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Oil Record Books. (copies for last 6 months of O.R.B. stamped as certified true copies will left on board for buyers)</w:t>
      </w:r>
    </w:p>
    <w:p>
      <w:pPr>
        <w:spacing w:after="0" w:line="142" w:lineRule="exact"/>
        <w:rPr>
          <w:rFonts w:ascii="Arial" w:cs="Arial" w:eastAsia="Arial" w:hAnsi="Arial"/>
          <w:sz w:val="17"/>
          <w:szCs w:val="17"/>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Garbage Record Book. (Copies stamped as certified true copies will left on board for buyers)</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Ship’s stamps</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Ship Security Plan and Security File / SMS Manuals / VRP</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Masters, Officers and crew personal effects</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Hand held VHF radios (not part of GMDSS equipment)</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certificates required by the registration authorities for the purpose of issuing the deletion certificate</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Seagull CBT Training equipment</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ECDIS (electronic charts), program</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Chartco system and ISF Watch-keeper software programs</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ISF Watchkeeper software program</w:t>
      </w:r>
    </w:p>
    <w:p>
      <w:pPr>
        <w:spacing w:after="0" w:line="130" w:lineRule="exact"/>
        <w:rPr>
          <w:rFonts w:ascii="Arial" w:cs="Arial" w:eastAsia="Arial" w:hAnsi="Arial"/>
          <w:sz w:val="18"/>
          <w:szCs w:val="18"/>
          <w:b w:val="1"/>
          <w:bCs w:val="1"/>
          <w:i w:val="1"/>
          <w:iCs w:val="1"/>
          <w:color w:val="auto"/>
        </w:rPr>
      </w:pPr>
    </w:p>
    <w:p>
      <w:pPr>
        <w:ind w:left="1692" w:hanging="787"/>
        <w:spacing w:after="0"/>
        <w:tabs>
          <w:tab w:leader="none" w:pos="1692" w:val="left"/>
        </w:tabs>
        <w:numPr>
          <w:ilvl w:val="1"/>
          <w:numId w:val="6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Company Mobile Phone</w:t>
      </w:r>
    </w:p>
    <w:p>
      <w:pPr>
        <w:spacing w:after="0" w:line="158" w:lineRule="exact"/>
        <w:rPr>
          <w:sz w:val="20"/>
          <w:szCs w:val="20"/>
          <w:color w:val="auto"/>
        </w:rPr>
      </w:pPr>
    </w:p>
    <w:p>
      <w:pPr>
        <w:jc w:val="center"/>
        <w:ind w:left="260" w:right="2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385" w:name="page386"/>
    <w:bookmarkEnd w:id="385"/>
    <w:p>
      <w:pPr>
        <w:ind w:left="1660" w:hanging="787"/>
        <w:spacing w:after="0"/>
        <w:tabs>
          <w:tab w:leader="none" w:pos="1660" w:val="left"/>
        </w:tabs>
        <w:numPr>
          <w:ilvl w:val="0"/>
          <w:numId w:val="6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IRRIDIUM PILOT SYSTEM</w:t>
      </w:r>
    </w:p>
    <w:p>
      <w:pPr>
        <w:spacing w:after="0" w:line="130" w:lineRule="exact"/>
        <w:rPr>
          <w:rFonts w:ascii="Arial" w:cs="Arial" w:eastAsia="Arial" w:hAnsi="Arial"/>
          <w:sz w:val="18"/>
          <w:szCs w:val="18"/>
          <w:b w:val="1"/>
          <w:bCs w:val="1"/>
          <w:i w:val="1"/>
          <w:iCs w:val="1"/>
          <w:color w:val="auto"/>
        </w:rPr>
      </w:pPr>
    </w:p>
    <w:p>
      <w:pPr>
        <w:ind w:left="1660" w:hanging="787"/>
        <w:spacing w:after="0"/>
        <w:tabs>
          <w:tab w:leader="none" w:pos="1660" w:val="left"/>
        </w:tabs>
        <w:numPr>
          <w:ilvl w:val="0"/>
          <w:numId w:val="6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Server</w:t>
      </w:r>
    </w:p>
    <w:p>
      <w:pPr>
        <w:spacing w:after="0" w:line="130" w:lineRule="exact"/>
        <w:rPr>
          <w:rFonts w:ascii="Arial" w:cs="Arial" w:eastAsia="Arial" w:hAnsi="Arial"/>
          <w:sz w:val="18"/>
          <w:szCs w:val="18"/>
          <w:b w:val="1"/>
          <w:bCs w:val="1"/>
          <w:i w:val="1"/>
          <w:iCs w:val="1"/>
          <w:color w:val="auto"/>
        </w:rPr>
      </w:pPr>
    </w:p>
    <w:p>
      <w:pPr>
        <w:ind w:left="1660" w:hanging="787"/>
        <w:spacing w:after="0"/>
        <w:tabs>
          <w:tab w:leader="none" w:pos="1660" w:val="left"/>
        </w:tabs>
        <w:numPr>
          <w:ilvl w:val="0"/>
          <w:numId w:val="6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NAS (dlink storage device)</w:t>
      </w:r>
    </w:p>
    <w:p>
      <w:pPr>
        <w:spacing w:after="0" w:line="32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Following may remain on board if requested but Sellers name and contact details to be removed</w:t>
      </w:r>
    </w:p>
    <w:p>
      <w:pPr>
        <w:spacing w:after="0" w:line="135" w:lineRule="exact"/>
        <w:rPr>
          <w:sz w:val="20"/>
          <w:szCs w:val="20"/>
          <w:color w:val="auto"/>
        </w:rPr>
      </w:pPr>
    </w:p>
    <w:p>
      <w:pPr>
        <w:ind w:left="1420" w:hanging="547"/>
        <w:spacing w:after="0"/>
        <w:tabs>
          <w:tab w:leader="none" w:pos="1420" w:val="left"/>
        </w:tabs>
        <w:numPr>
          <w:ilvl w:val="0"/>
          <w:numId w:val="606"/>
        </w:numPr>
        <w:rPr>
          <w:rFonts w:ascii="Arial" w:cs="Arial" w:eastAsia="Arial" w:hAnsi="Arial"/>
          <w:sz w:val="18"/>
          <w:szCs w:val="18"/>
          <w:color w:val="auto"/>
        </w:rPr>
      </w:pPr>
      <w:r>
        <w:rPr>
          <w:rFonts w:ascii="Arial" w:cs="Arial" w:eastAsia="Arial" w:hAnsi="Arial"/>
          <w:sz w:val="18"/>
          <w:szCs w:val="18"/>
          <w:b w:val="1"/>
          <w:bCs w:val="1"/>
          <w:i w:val="1"/>
          <w:iCs w:val="1"/>
          <w:color w:val="auto"/>
        </w:rPr>
        <w:t>Solas Training Manuals</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606"/>
        </w:numPr>
        <w:rPr>
          <w:rFonts w:ascii="Arial" w:cs="Arial" w:eastAsia="Arial" w:hAnsi="Arial"/>
          <w:sz w:val="18"/>
          <w:szCs w:val="18"/>
          <w:color w:val="auto"/>
        </w:rPr>
      </w:pPr>
      <w:r>
        <w:rPr>
          <w:rFonts w:ascii="Arial" w:cs="Arial" w:eastAsia="Arial" w:hAnsi="Arial"/>
          <w:sz w:val="18"/>
          <w:szCs w:val="18"/>
          <w:b w:val="1"/>
          <w:bCs w:val="1"/>
          <w:i w:val="1"/>
          <w:iCs w:val="1"/>
          <w:color w:val="auto"/>
        </w:rPr>
        <w:t>Fire Fighting Training Manuals</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606"/>
        </w:numPr>
        <w:rPr>
          <w:rFonts w:ascii="Arial" w:cs="Arial" w:eastAsia="Arial" w:hAnsi="Arial"/>
          <w:sz w:val="18"/>
          <w:szCs w:val="18"/>
          <w:color w:val="auto"/>
        </w:rPr>
      </w:pPr>
      <w:r>
        <w:rPr>
          <w:rFonts w:ascii="Arial" w:cs="Arial" w:eastAsia="Arial" w:hAnsi="Arial"/>
          <w:sz w:val="18"/>
          <w:szCs w:val="18"/>
          <w:b w:val="1"/>
          <w:bCs w:val="1"/>
          <w:i w:val="1"/>
          <w:iCs w:val="1"/>
          <w:color w:val="auto"/>
        </w:rPr>
        <w:t>Ballast Water Management Plan</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606"/>
        </w:numPr>
        <w:rPr>
          <w:rFonts w:ascii="Arial" w:cs="Arial" w:eastAsia="Arial" w:hAnsi="Arial"/>
          <w:sz w:val="18"/>
          <w:szCs w:val="18"/>
          <w:color w:val="auto"/>
        </w:rPr>
      </w:pPr>
      <w:r>
        <w:rPr>
          <w:rFonts w:ascii="Arial" w:cs="Arial" w:eastAsia="Arial" w:hAnsi="Arial"/>
          <w:sz w:val="18"/>
          <w:szCs w:val="18"/>
          <w:b w:val="1"/>
          <w:bCs w:val="1"/>
          <w:i w:val="1"/>
          <w:iCs w:val="1"/>
          <w:color w:val="auto"/>
        </w:rPr>
        <w:t>ETA Booklet</w:t>
      </w:r>
    </w:p>
    <w:p>
      <w:pPr>
        <w:spacing w:after="0" w:line="113" w:lineRule="exact"/>
        <w:rPr>
          <w:sz w:val="20"/>
          <w:szCs w:val="20"/>
          <w:color w:val="auto"/>
        </w:rPr>
      </w:pPr>
    </w:p>
    <w:p>
      <w:pPr>
        <w:ind w:left="880" w:right="40"/>
        <w:spacing w:after="0" w:line="282" w:lineRule="auto"/>
        <w:rPr>
          <w:sz w:val="20"/>
          <w:szCs w:val="20"/>
          <w:color w:val="auto"/>
        </w:rPr>
      </w:pPr>
      <w:r>
        <w:rPr>
          <w:rFonts w:ascii="Arial" w:cs="Arial" w:eastAsia="Arial" w:hAnsi="Arial"/>
          <w:sz w:val="18"/>
          <w:szCs w:val="18"/>
          <w:color w:val="auto"/>
        </w:rPr>
        <w:t xml:space="preserve">Items on board which are on hire or owned by third parties, listed as follows, are excluded from the sale without compensation: </w:t>
      </w:r>
      <w:r>
        <w:rPr>
          <w:rFonts w:ascii="Arial" w:cs="Arial" w:eastAsia="Arial" w:hAnsi="Arial"/>
          <w:sz w:val="18"/>
          <w:szCs w:val="18"/>
          <w:b w:val="1"/>
          <w:bCs w:val="1"/>
          <w:color w:val="auto"/>
        </w:rPr>
        <w:t>As below, but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be reconfirmed by Sellers </w:t>
      </w:r>
      <w:r>
        <w:rPr>
          <w:rFonts w:ascii="Arial" w:cs="Arial" w:eastAsia="Arial" w:hAnsi="Arial"/>
          <w:sz w:val="18"/>
          <w:szCs w:val="18"/>
          <w:color w:val="auto"/>
        </w:rPr>
        <w:t>(</w:t>
      </w:r>
      <w:r>
        <w:rPr>
          <w:rFonts w:ascii="Arial" w:cs="Arial" w:eastAsia="Arial" w:hAnsi="Arial"/>
          <w:sz w:val="18"/>
          <w:szCs w:val="18"/>
          <w:i w:val="1"/>
          <w:iCs w:val="1"/>
          <w:color w:val="auto"/>
        </w:rPr>
        <w:t>include list</w:t>
      </w:r>
      <w:r>
        <w:rPr>
          <w:rFonts w:ascii="Arial" w:cs="Arial" w:eastAsia="Arial" w:hAnsi="Arial"/>
          <w:sz w:val="18"/>
          <w:szCs w:val="18"/>
          <w:color w:val="auto"/>
        </w:rPr>
        <w:t>)</w:t>
      </w:r>
    </w:p>
    <w:p>
      <w:pPr>
        <w:spacing w:after="0" w:line="71" w:lineRule="exact"/>
        <w:rPr>
          <w:sz w:val="20"/>
          <w:szCs w:val="20"/>
          <w:color w:val="auto"/>
        </w:rPr>
      </w:pPr>
    </w:p>
    <w:p>
      <w:pPr>
        <w:ind w:left="1660" w:hanging="787"/>
        <w:spacing w:after="0"/>
        <w:tabs>
          <w:tab w:leader="none" w:pos="1660" w:val="left"/>
        </w:tabs>
        <w:numPr>
          <w:ilvl w:val="0"/>
          <w:numId w:val="6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Butterworth portable tank cleaning machines</w:t>
      </w:r>
    </w:p>
    <w:p>
      <w:pPr>
        <w:spacing w:after="0" w:line="23" w:lineRule="exact"/>
        <w:rPr>
          <w:rFonts w:ascii="Arial" w:cs="Arial" w:eastAsia="Arial" w:hAnsi="Arial"/>
          <w:sz w:val="18"/>
          <w:szCs w:val="18"/>
          <w:b w:val="1"/>
          <w:bCs w:val="1"/>
          <w:i w:val="1"/>
          <w:iCs w:val="1"/>
          <w:color w:val="auto"/>
        </w:rPr>
      </w:pPr>
    </w:p>
    <w:p>
      <w:pPr>
        <w:ind w:left="1660" w:hanging="787"/>
        <w:spacing w:after="0"/>
        <w:tabs>
          <w:tab w:leader="none" w:pos="1660" w:val="left"/>
        </w:tabs>
        <w:numPr>
          <w:ilvl w:val="0"/>
          <w:numId w:val="6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GAS/OXY/ACETYLENE/MEDICAL OXYGEN/FREON BOTTLES from Wilhelmsen Ship Service of Drew Ameroid</w:t>
      </w:r>
    </w:p>
    <w:p>
      <w:pPr>
        <w:spacing w:after="0" w:line="103"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Items on board at the time of inspection which are on hire or owned by third parties, not listed above, shall be replaced or procured by the Sellers prior to delivery at their cost and expense.</w:t>
      </w:r>
    </w:p>
    <w:p>
      <w:pPr>
        <w:spacing w:after="0" w:line="62" w:lineRule="exact"/>
        <w:rPr>
          <w:sz w:val="20"/>
          <w:szCs w:val="20"/>
          <w:color w:val="auto"/>
        </w:rPr>
      </w:pPr>
    </w:p>
    <w:p>
      <w:pPr>
        <w:ind w:left="880" w:right="240"/>
        <w:spacing w:after="0" w:line="277" w:lineRule="auto"/>
        <w:rPr>
          <w:sz w:val="20"/>
          <w:szCs w:val="20"/>
          <w:color w:val="auto"/>
        </w:rPr>
      </w:pPr>
      <w:r>
        <w:rPr>
          <w:rFonts w:ascii="Arial" w:cs="Arial" w:eastAsia="Arial" w:hAnsi="Arial"/>
          <w:sz w:val="18"/>
          <w:szCs w:val="18"/>
          <w:color w:val="auto"/>
        </w:rPr>
        <w:t>The Buyers shall take over remaining bunkers and unused lubricating and hydraulic oils and greases in storage tanks and unopened drums and pay either:</w:t>
      </w:r>
    </w:p>
    <w:p>
      <w:pPr>
        <w:spacing w:after="0" w:line="62" w:lineRule="exact"/>
        <w:rPr>
          <w:sz w:val="20"/>
          <w:szCs w:val="20"/>
          <w:color w:val="auto"/>
        </w:rPr>
      </w:pPr>
    </w:p>
    <w:p>
      <w:pPr>
        <w:ind w:left="1140" w:hanging="259"/>
        <w:spacing w:after="0"/>
        <w:tabs>
          <w:tab w:leader="none" w:pos="1140" w:val="left"/>
        </w:tabs>
        <w:numPr>
          <w:ilvl w:val="0"/>
          <w:numId w:val="608"/>
        </w:numPr>
        <w:rPr>
          <w:rFonts w:ascii="Arial" w:cs="Arial" w:eastAsia="Arial" w:hAnsi="Arial"/>
          <w:sz w:val="18"/>
          <w:szCs w:val="18"/>
          <w:b w:val="1"/>
          <w:bCs w:val="1"/>
          <w:color w:val="auto"/>
        </w:rPr>
      </w:pPr>
      <w:r>
        <w:rPr>
          <w:rFonts w:ascii="Arial" w:cs="Arial" w:eastAsia="Arial" w:hAnsi="Arial"/>
          <w:sz w:val="18"/>
          <w:szCs w:val="18"/>
          <w:color w:val="auto"/>
        </w:rPr>
        <w:t xml:space="preserve">*the actual net price </w:t>
      </w:r>
      <w:r>
        <w:rPr>
          <w:rFonts w:ascii="Arial" w:cs="Arial" w:eastAsia="Arial" w:hAnsi="Arial"/>
          <w:sz w:val="18"/>
          <w:szCs w:val="18"/>
          <w:color w:val="auto"/>
          <w:strike w:val="1"/>
        </w:rPr>
        <w:t>(excluding barging expenses)</w:t>
      </w:r>
      <w:r>
        <w:rPr>
          <w:rFonts w:ascii="Arial" w:cs="Arial" w:eastAsia="Arial" w:hAnsi="Arial"/>
          <w:sz w:val="18"/>
          <w:szCs w:val="18"/>
          <w:color w:val="auto"/>
        </w:rPr>
        <w:t xml:space="preserve"> as evidenced by invoices or vouchers; or</w:t>
      </w:r>
    </w:p>
    <w:p>
      <w:pPr>
        <w:spacing w:after="0" w:line="117" w:lineRule="exact"/>
        <w:rPr>
          <w:rFonts w:ascii="Arial" w:cs="Arial" w:eastAsia="Arial" w:hAnsi="Arial"/>
          <w:sz w:val="18"/>
          <w:szCs w:val="18"/>
          <w:b w:val="1"/>
          <w:bCs w:val="1"/>
          <w:color w:val="auto"/>
        </w:rPr>
      </w:pPr>
    </w:p>
    <w:p>
      <w:pPr>
        <w:ind w:left="880" w:right="460" w:firstLine="1"/>
        <w:spacing w:after="0" w:line="277" w:lineRule="auto"/>
        <w:tabs>
          <w:tab w:leader="none" w:pos="1135" w:val="left"/>
        </w:tabs>
        <w:numPr>
          <w:ilvl w:val="0"/>
          <w:numId w:val="608"/>
        </w:numPr>
        <w:rPr>
          <w:rFonts w:ascii="Arial" w:cs="Arial" w:eastAsia="Arial" w:hAnsi="Arial"/>
          <w:sz w:val="18"/>
          <w:szCs w:val="18"/>
          <w:color w:val="auto"/>
          <w:strike w:val="1"/>
        </w:rPr>
      </w:pPr>
      <w:r>
        <w:rPr>
          <w:rFonts w:ascii="Arial" w:cs="Arial" w:eastAsia="Arial" w:hAnsi="Arial"/>
          <w:sz w:val="18"/>
          <w:szCs w:val="18"/>
          <w:color w:val="auto"/>
          <w:strike w:val="1"/>
        </w:rPr>
        <w:t>*the current net market price (excluding barging expenses) at the port and date of delivery of the Vessel or, if unavailable, at the nearest bunkering port,</w:t>
      </w:r>
    </w:p>
    <w:p>
      <w:pPr>
        <w:spacing w:after="0" w:line="58" w:lineRule="exact"/>
        <w:rPr>
          <w:sz w:val="20"/>
          <w:szCs w:val="20"/>
          <w:color w:val="auto"/>
        </w:rPr>
      </w:pPr>
    </w:p>
    <w:p>
      <w:pPr>
        <w:ind w:left="880" w:right="240"/>
        <w:spacing w:after="0" w:line="282" w:lineRule="auto"/>
        <w:rPr>
          <w:sz w:val="20"/>
          <w:szCs w:val="20"/>
          <w:color w:val="auto"/>
        </w:rPr>
      </w:pPr>
      <w:r>
        <w:rPr>
          <w:rFonts w:ascii="Arial" w:cs="Arial" w:eastAsia="Arial" w:hAnsi="Arial"/>
          <w:sz w:val="18"/>
          <w:szCs w:val="18"/>
          <w:color w:val="auto"/>
        </w:rPr>
        <w:t xml:space="preserve">for the quantities taken over. </w:t>
      </w:r>
      <w:r>
        <w:rPr>
          <w:rFonts w:ascii="Arial" w:cs="Arial" w:eastAsia="Arial" w:hAnsi="Arial"/>
          <w:sz w:val="18"/>
          <w:szCs w:val="18"/>
          <w:b w:val="1"/>
          <w:bCs w:val="1"/>
          <w:color w:val="auto"/>
        </w:rPr>
        <w:t>Bunkers and luboil quantity survey to be mutually performed by Sellers and Buyers representatives at the</w:t>
      </w:r>
      <w:r>
        <w:rPr>
          <w:rFonts w:ascii="Arial" w:cs="Arial" w:eastAsia="Arial" w:hAnsi="Arial"/>
          <w:sz w:val="18"/>
          <w:szCs w:val="18"/>
          <w:color w:val="auto"/>
        </w:rPr>
        <w:t xml:space="preserve"> </w:t>
      </w:r>
      <w:r>
        <w:rPr>
          <w:rFonts w:ascii="Arial" w:cs="Arial" w:eastAsia="Arial" w:hAnsi="Arial"/>
          <w:sz w:val="18"/>
          <w:szCs w:val="18"/>
          <w:b w:val="1"/>
          <w:bCs w:val="1"/>
          <w:color w:val="auto"/>
        </w:rPr>
        <w:t>time of Delivery.</w:t>
      </w:r>
    </w:p>
    <w:p>
      <w:pPr>
        <w:spacing w:after="0" w:line="54" w:lineRule="exact"/>
        <w:rPr>
          <w:sz w:val="20"/>
          <w:szCs w:val="20"/>
          <w:color w:val="auto"/>
        </w:rPr>
      </w:pPr>
    </w:p>
    <w:p>
      <w:pPr>
        <w:ind w:left="880" w:right="100"/>
        <w:spacing w:after="0" w:line="266" w:lineRule="auto"/>
        <w:rPr>
          <w:sz w:val="20"/>
          <w:szCs w:val="20"/>
          <w:color w:val="auto"/>
        </w:rPr>
      </w:pPr>
      <w:r>
        <w:rPr>
          <w:rFonts w:ascii="Arial" w:cs="Arial" w:eastAsia="Arial" w:hAnsi="Arial"/>
          <w:sz w:val="18"/>
          <w:szCs w:val="18"/>
          <w:b w:val="1"/>
          <w:bCs w:val="1"/>
          <w:color w:val="auto"/>
        </w:rPr>
        <w:t>All plans, drawings and instruction manuals which are onboard shall be delivered to the Buyers as they are upon Delivery of the Vessel. All remaining plans, drawings and instructions manuals in the Sellers’ possession shall be forwarded to the Buyers’ designated place after Delivery at Sellers’ account.</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 under this Clause shall be made at the same time and place and in the same currency as the Purchase Price.</w:t>
      </w:r>
    </w:p>
    <w:p>
      <w:pPr>
        <w:spacing w:after="0" w:line="158" w:lineRule="exact"/>
        <w:rPr>
          <w:sz w:val="20"/>
          <w:szCs w:val="20"/>
          <w:color w:val="auto"/>
        </w:rPr>
      </w:pPr>
    </w:p>
    <w:p>
      <w:pPr>
        <w:jc w:val="center"/>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3" w:right="259" w:bottom="1440" w:gutter="0" w:footer="0" w:header="0"/>
        </w:sectPr>
      </w:pPr>
    </w:p>
    <w:bookmarkStart w:id="386" w:name="page387"/>
    <w:bookmarkEnd w:id="386"/>
    <w:p>
      <w:pPr>
        <w:ind w:left="912"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“inspection” in this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shall mean the Buyers’ inspection according to </w:t>
      </w:r>
      <w:r>
        <w:rPr>
          <w:rFonts w:ascii="Arial" w:cs="Arial" w:eastAsia="Arial" w:hAnsi="Arial"/>
          <w:sz w:val="18"/>
          <w:szCs w:val="18"/>
          <w:u w:val="single" w:color="auto"/>
          <w:color w:val="auto"/>
        </w:rPr>
        <w:t>Clause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4(b)</w:t>
      </w:r>
      <w:r>
        <w:rPr>
          <w:rFonts w:ascii="Arial" w:cs="Arial" w:eastAsia="Arial" w:hAnsi="Arial"/>
          <w:sz w:val="18"/>
          <w:szCs w:val="18"/>
          <w:color w:val="auto"/>
        </w:rPr>
        <w:t xml:space="preserve"> (Inspection), if applicable. If the Vessel is taken over without inspection, the date of this Agreement shall be the relevant date.</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8"/>
          <w:szCs w:val="18"/>
          <w:i w:val="1"/>
          <w:iCs w:val="1"/>
          <w:color w:val="auto"/>
          <w:strike w:val="1"/>
        </w:rPr>
        <w:t>*(a) and (b) are alternatives, delete whichever is not applicable. In the absence of deletions alternative (a) shall apply.</w:t>
      </w:r>
    </w:p>
    <w:p>
      <w:pPr>
        <w:spacing w:after="0" w:line="370" w:lineRule="exact"/>
        <w:rPr>
          <w:sz w:val="20"/>
          <w:szCs w:val="20"/>
          <w:color w:val="auto"/>
        </w:rPr>
      </w:pPr>
    </w:p>
    <w:p>
      <w:pPr>
        <w:ind w:left="912" w:hanging="912"/>
        <w:spacing w:after="0"/>
        <w:tabs>
          <w:tab w:leader="none" w:pos="912"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w:t>
      </w:r>
    </w:p>
    <w:p>
      <w:pPr>
        <w:spacing w:after="0" w:line="117"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place of closing: </w:t>
      </w:r>
      <w:r>
        <w:rPr>
          <w:rFonts w:ascii="Arial" w:cs="Arial" w:eastAsia="Arial" w:hAnsi="Arial"/>
          <w:sz w:val="18"/>
          <w:szCs w:val="18"/>
          <w:b w:val="1"/>
          <w:bCs w:val="1"/>
          <w:color w:val="auto"/>
        </w:rPr>
        <w:t>Holman Fenwick Willan, Singapore</w:t>
      </w:r>
    </w:p>
    <w:p>
      <w:pPr>
        <w:spacing w:after="0" w:line="117" w:lineRule="exact"/>
        <w:rPr>
          <w:rFonts w:ascii="Arial" w:cs="Arial" w:eastAsia="Arial" w:hAnsi="Arial"/>
          <w:sz w:val="18"/>
          <w:szCs w:val="18"/>
          <w:b w:val="1"/>
          <w:bCs w:val="1"/>
          <w:color w:val="auto"/>
        </w:rPr>
      </w:pPr>
    </w:p>
    <w:p>
      <w:pPr>
        <w:ind w:left="912" w:right="300"/>
        <w:spacing w:after="0" w:line="329" w:lineRule="auto"/>
        <w:rPr>
          <w:rFonts w:ascii="Arial" w:cs="Arial" w:eastAsia="Arial" w:hAnsi="Arial"/>
          <w:sz w:val="18"/>
          <w:szCs w:val="18"/>
          <w:b w:val="1"/>
          <w:bCs w:val="1"/>
          <w:color w:val="auto"/>
        </w:rPr>
      </w:pPr>
      <w:r>
        <w:rPr>
          <w:rFonts w:ascii="Arial" w:cs="Arial" w:eastAsia="Arial" w:hAnsi="Arial"/>
          <w:sz w:val="15"/>
          <w:szCs w:val="15"/>
          <w:b w:val="1"/>
          <w:bCs w:val="1"/>
          <w:color w:val="auto"/>
        </w:rPr>
        <w:t>In exchange for payment of the Purchase Price and all other monies due to the Sellers pursuant to this Agreement, the Sellers shall furnish the Buyers with delivery documents as may be reasonably required by the Buyers, for the purpose of enabling the Buyers to register the Vessel under their ownership wider the flag chosen by the Buyers. All such documents to be listed in an addendum to this Agreement to be prepared by the Buyers and approved by the Sellers as soon as practically possible after the date of this Agreement.</w:t>
      </w:r>
    </w:p>
    <w:p>
      <w:pPr>
        <w:spacing w:after="0" w:line="26" w:lineRule="exact"/>
        <w:rPr>
          <w:rFonts w:ascii="Arial" w:cs="Arial" w:eastAsia="Arial" w:hAnsi="Arial"/>
          <w:sz w:val="18"/>
          <w:szCs w:val="18"/>
          <w:b w:val="1"/>
          <w:bCs w:val="1"/>
          <w:color w:val="auto"/>
        </w:rPr>
      </w:pPr>
    </w:p>
    <w:p>
      <w:pPr>
        <w:ind w:left="912" w:right="1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However such addendum not to delay the signing of this Agreement and consequently the payment of the Deposit as per Clause 2 of this Agreement.</w:t>
      </w:r>
    </w:p>
    <w:p>
      <w:pPr>
        <w:spacing w:after="0" w:line="57" w:lineRule="exact"/>
        <w:rPr>
          <w:rFonts w:ascii="Arial" w:cs="Arial" w:eastAsia="Arial" w:hAnsi="Arial"/>
          <w:sz w:val="18"/>
          <w:szCs w:val="18"/>
          <w:b w:val="1"/>
          <w:bCs w:val="1"/>
          <w:color w:val="auto"/>
        </w:rPr>
      </w:pPr>
    </w:p>
    <w:p>
      <w:pPr>
        <w:ind w:left="1172" w:hanging="259"/>
        <w:spacing w:after="0"/>
        <w:tabs>
          <w:tab w:leader="none" w:pos="1172" w:val="left"/>
        </w:tabs>
        <w:numPr>
          <w:ilvl w:val="2"/>
          <w:numId w:val="609"/>
        </w:numPr>
        <w:rPr>
          <w:rFonts w:ascii="Arial" w:cs="Arial" w:eastAsia="Arial" w:hAnsi="Arial"/>
          <w:sz w:val="18"/>
          <w:szCs w:val="18"/>
          <w:b w:val="1"/>
          <w:bCs w:val="1"/>
          <w:color w:val="auto"/>
          <w:strike w:val="1"/>
        </w:rPr>
      </w:pPr>
      <w:r>
        <w:rPr>
          <w:rFonts w:ascii="Arial" w:cs="Arial" w:eastAsia="Arial" w:hAnsi="Arial"/>
          <w:sz w:val="18"/>
          <w:szCs w:val="18"/>
          <w:color w:val="auto"/>
          <w:strike w:val="1"/>
        </w:rPr>
        <w:t>In exchange for payment of the Purchase Price the Sellers shall provide the Buyers with the following delivery documents:</w:t>
      </w:r>
    </w:p>
    <w:p>
      <w:pPr>
        <w:spacing w:after="0" w:line="130" w:lineRule="exact"/>
        <w:rPr>
          <w:rFonts w:ascii="Arial" w:cs="Arial" w:eastAsia="Arial" w:hAnsi="Arial"/>
          <w:sz w:val="18"/>
          <w:szCs w:val="18"/>
          <w:b w:val="1"/>
          <w:bCs w:val="1"/>
          <w:color w:val="auto"/>
          <w:strike w:val="1"/>
        </w:rPr>
      </w:pPr>
    </w:p>
    <w:p>
      <w:pPr>
        <w:ind w:left="1692" w:right="360" w:hanging="787"/>
        <w:spacing w:after="0" w:line="264" w:lineRule="auto"/>
        <w:tabs>
          <w:tab w:leader="none" w:pos="1692" w:val="left"/>
        </w:tabs>
        <w:numPr>
          <w:ilvl w:val="2"/>
          <w:numId w:val="610"/>
        </w:numPr>
        <w:rPr>
          <w:rFonts w:ascii="Arial" w:cs="Arial" w:eastAsia="Arial" w:hAnsi="Arial"/>
          <w:sz w:val="18"/>
          <w:szCs w:val="18"/>
          <w:b w:val="1"/>
          <w:bCs w:val="1"/>
          <w:color w:val="auto"/>
          <w:strike w:val="1"/>
        </w:rPr>
      </w:pPr>
      <w:r>
        <w:rPr>
          <w:rFonts w:ascii="Arial" w:cs="Arial" w:eastAsia="Arial" w:hAnsi="Arial"/>
          <w:sz w:val="18"/>
          <w:szCs w:val="18"/>
          <w:color w:val="auto"/>
          <w:strike w:val="1"/>
        </w:rPr>
        <w:t>Legal Bills(s) of Sale in a form recordable in the Buyers’ Nominated Flag State, transferring title of the Vessel and stating that the Vessel is free from all mortgages, encumbrances and maritime liens or any other debts whatsoever, duly notarially attested and legalised or apostilled, as required by the Buyers’ Nominated Flag State;</w:t>
      </w:r>
    </w:p>
    <w:p>
      <w:pPr>
        <w:spacing w:after="0" w:line="86" w:lineRule="exact"/>
        <w:rPr>
          <w:rFonts w:ascii="Arial" w:cs="Arial" w:eastAsia="Arial" w:hAnsi="Arial"/>
          <w:sz w:val="18"/>
          <w:szCs w:val="18"/>
          <w:b w:val="1"/>
          <w:bCs w:val="1"/>
          <w:color w:val="auto"/>
          <w:strike w:val="1"/>
        </w:rPr>
      </w:pPr>
    </w:p>
    <w:p>
      <w:pPr>
        <w:ind w:left="1692" w:right="180" w:hanging="787"/>
        <w:spacing w:after="0" w:line="277" w:lineRule="auto"/>
        <w:tabs>
          <w:tab w:leader="none" w:pos="1692" w:val="left"/>
        </w:tabs>
        <w:numPr>
          <w:ilvl w:val="2"/>
          <w:numId w:val="611"/>
        </w:numPr>
        <w:rPr>
          <w:rFonts w:ascii="Arial" w:cs="Arial" w:eastAsia="Arial" w:hAnsi="Arial"/>
          <w:sz w:val="18"/>
          <w:szCs w:val="18"/>
          <w:b w:val="1"/>
          <w:bCs w:val="1"/>
          <w:color w:val="auto"/>
          <w:strike w:val="1"/>
        </w:rPr>
      </w:pPr>
      <w:r>
        <w:rPr>
          <w:rFonts w:ascii="Arial" w:cs="Arial" w:eastAsia="Arial" w:hAnsi="Arial"/>
          <w:sz w:val="18"/>
          <w:szCs w:val="18"/>
          <w:color w:val="auto"/>
          <w:strike w:val="1"/>
        </w:rPr>
        <w:t>Evidence that all necessary corporate, shareholder and other action has been taken by the Sellers to authorise the execution, delivery and performance of this Agreement;</w:t>
      </w:r>
    </w:p>
    <w:p>
      <w:pPr>
        <w:spacing w:after="0" w:line="75" w:lineRule="exact"/>
        <w:rPr>
          <w:rFonts w:ascii="Arial" w:cs="Arial" w:eastAsia="Arial" w:hAnsi="Arial"/>
          <w:sz w:val="18"/>
          <w:szCs w:val="18"/>
          <w:b w:val="1"/>
          <w:bCs w:val="1"/>
          <w:color w:val="auto"/>
          <w:strike w:val="1"/>
        </w:rPr>
      </w:pPr>
    </w:p>
    <w:p>
      <w:pPr>
        <w:ind w:left="1692" w:right="460" w:hanging="787"/>
        <w:spacing w:after="0" w:line="277" w:lineRule="auto"/>
        <w:tabs>
          <w:tab w:leader="none" w:pos="1692" w:val="left"/>
        </w:tabs>
        <w:numPr>
          <w:ilvl w:val="2"/>
          <w:numId w:val="612"/>
        </w:numPr>
        <w:rPr>
          <w:rFonts w:ascii="Arial" w:cs="Arial" w:eastAsia="Arial" w:hAnsi="Arial"/>
          <w:sz w:val="18"/>
          <w:szCs w:val="18"/>
          <w:b w:val="1"/>
          <w:bCs w:val="1"/>
          <w:color w:val="auto"/>
          <w:strike w:val="1"/>
        </w:rPr>
      </w:pPr>
      <w:r>
        <w:rPr>
          <w:rFonts w:ascii="Arial" w:cs="Arial" w:eastAsia="Arial" w:hAnsi="Arial"/>
          <w:sz w:val="18"/>
          <w:szCs w:val="18"/>
          <w:color w:val="auto"/>
          <w:strike w:val="1"/>
        </w:rPr>
        <w:t>Power of Attorney of the Sellers appointing one or more representatives to act on behalf of the Sellers in the performance of this Agreement, duly notarially attested and legalised or apostilled (as appropriate);</w:t>
      </w:r>
    </w:p>
    <w:p>
      <w:pPr>
        <w:spacing w:after="0" w:line="75" w:lineRule="exact"/>
        <w:rPr>
          <w:rFonts w:ascii="Arial" w:cs="Arial" w:eastAsia="Arial" w:hAnsi="Arial"/>
          <w:sz w:val="18"/>
          <w:szCs w:val="18"/>
          <w:b w:val="1"/>
          <w:bCs w:val="1"/>
          <w:color w:val="auto"/>
          <w:strike w:val="1"/>
        </w:rPr>
      </w:pPr>
    </w:p>
    <w:p>
      <w:pPr>
        <w:ind w:left="1692" w:right="20" w:hanging="787"/>
        <w:spacing w:after="0" w:line="312" w:lineRule="auto"/>
        <w:tabs>
          <w:tab w:leader="none" w:pos="1692" w:val="left"/>
        </w:tabs>
        <w:numPr>
          <w:ilvl w:val="1"/>
          <w:numId w:val="613"/>
        </w:numPr>
        <w:rPr>
          <w:rFonts w:ascii="Arial" w:cs="Arial" w:eastAsia="Arial" w:hAnsi="Arial"/>
          <w:sz w:val="16"/>
          <w:szCs w:val="16"/>
          <w:b w:val="1"/>
          <w:bCs w:val="1"/>
          <w:color w:val="auto"/>
          <w:strike w:val="1"/>
        </w:rPr>
      </w:pPr>
      <w:r>
        <w:rPr>
          <w:rFonts w:ascii="Arial" w:cs="Arial" w:eastAsia="Arial" w:hAnsi="Arial"/>
          <w:sz w:val="16"/>
          <w:szCs w:val="16"/>
          <w:color w:val="auto"/>
          <w:strike w:val="1"/>
        </w:rPr>
        <w:t>Certificate or Transcript of Registry issued by the competent authorities of the flag state on the date of delivery evidencing the Sellers’ ownership of the Vessel and that the Vessel is free from registered encumbrances and mortgages, to be faxed or e-mailed by such authority to the closing meeting with the original to be sent to the Buyers as soon as possible after delivery of the Vessel;</w:t>
      </w:r>
    </w:p>
    <w:p>
      <w:pPr>
        <w:spacing w:after="0" w:line="52" w:lineRule="exact"/>
        <w:rPr>
          <w:rFonts w:ascii="Arial" w:cs="Arial" w:eastAsia="Arial" w:hAnsi="Arial"/>
          <w:sz w:val="16"/>
          <w:szCs w:val="16"/>
          <w:b w:val="1"/>
          <w:bCs w:val="1"/>
          <w:color w:val="auto"/>
          <w:strike w:val="1"/>
        </w:rPr>
      </w:pPr>
    </w:p>
    <w:p>
      <w:pPr>
        <w:ind w:left="1692" w:hanging="787"/>
        <w:spacing w:after="0" w:line="277" w:lineRule="auto"/>
        <w:tabs>
          <w:tab w:leader="none" w:pos="1692" w:val="left"/>
        </w:tabs>
        <w:numPr>
          <w:ilvl w:val="1"/>
          <w:numId w:val="613"/>
        </w:numPr>
        <w:rPr>
          <w:rFonts w:ascii="Arial" w:cs="Arial" w:eastAsia="Arial" w:hAnsi="Arial"/>
          <w:sz w:val="18"/>
          <w:szCs w:val="18"/>
          <w:b w:val="1"/>
          <w:bCs w:val="1"/>
          <w:color w:val="auto"/>
          <w:strike w:val="1"/>
        </w:rPr>
      </w:pPr>
      <w:r>
        <w:rPr>
          <w:rFonts w:ascii="Arial" w:cs="Arial" w:eastAsia="Arial" w:hAnsi="Arial"/>
          <w:sz w:val="18"/>
          <w:szCs w:val="18"/>
          <w:color w:val="auto"/>
          <w:strike w:val="1"/>
        </w:rPr>
        <w:t>Declaration of Class or (depending on the Classification Society) a Class Maintenance Certificate issued within three (3) Bankng Days prior to delivery confirming that the Vessel in Class free of condition/recommendation;</w:t>
      </w:r>
    </w:p>
    <w:p>
      <w:pPr>
        <w:spacing w:after="0" w:line="103" w:lineRule="exact"/>
        <w:rPr>
          <w:sz w:val="20"/>
          <w:szCs w:val="20"/>
          <w:color w:val="auto"/>
        </w:rPr>
      </w:pPr>
    </w:p>
    <w:p>
      <w:pPr>
        <w:jc w:val="center"/>
        <w:ind w:left="260" w:right="2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4" w:right="239" w:bottom="1440" w:gutter="0" w:footer="0" w:header="0"/>
        </w:sectPr>
      </w:pPr>
    </w:p>
    <w:bookmarkStart w:id="387" w:name="page388"/>
    <w:bookmarkEnd w:id="387"/>
    <w:p>
      <w:pPr>
        <w:ind w:left="1660" w:right="20" w:hanging="787"/>
        <w:spacing w:after="0" w:line="257" w:lineRule="auto"/>
        <w:tabs>
          <w:tab w:leader="none" w:pos="1660" w:val="left"/>
        </w:tabs>
        <w:numPr>
          <w:ilvl w:val="0"/>
          <w:numId w:val="614"/>
        </w:numPr>
        <w:rPr>
          <w:rFonts w:ascii="Arial" w:cs="Arial" w:eastAsia="Arial" w:hAnsi="Arial"/>
          <w:sz w:val="18"/>
          <w:szCs w:val="18"/>
          <w:b w:val="1"/>
          <w:bCs w:val="1"/>
          <w:color w:val="auto"/>
          <w:strike w:val="1"/>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Deletion of the Vessel from the Vessel’s registry or other official evidence of deletion appropriate to the Vessel’s registry at the time of delivery, or, in the event that the registry does not as a matter of practice issue such documentation immediately, a written undertaking by the Sellers to effect deletion from the Vessel’s registry forthwith and provide a certificate or other official evidence or deletion to the Buyers promptly and latest within four (4) weeks after the Purchase Price has been paid and the Vessel has been delivered;</w:t>
      </w:r>
    </w:p>
    <w:p>
      <w:pPr>
        <w:spacing w:after="0" w:line="94" w:lineRule="exact"/>
        <w:rPr>
          <w:sz w:val="20"/>
          <w:szCs w:val="20"/>
          <w:color w:val="auto"/>
        </w:rPr>
      </w:pPr>
    </w:p>
    <w:p>
      <w:pPr>
        <w:ind w:left="1660" w:right="20" w:hanging="787"/>
        <w:spacing w:after="0" w:line="302" w:lineRule="auto"/>
        <w:tabs>
          <w:tab w:leader="none" w:pos="1660" w:val="left"/>
        </w:tabs>
        <w:numPr>
          <w:ilvl w:val="0"/>
          <w:numId w:val="615"/>
        </w:numPr>
        <w:rPr>
          <w:rFonts w:ascii="Arial" w:cs="Arial" w:eastAsia="Arial" w:hAnsi="Arial"/>
          <w:sz w:val="16"/>
          <w:szCs w:val="16"/>
          <w:b w:val="1"/>
          <w:bCs w:val="1"/>
          <w:color w:val="auto"/>
          <w:strike w:val="1"/>
        </w:rPr>
      </w:pPr>
      <w:r>
        <w:rPr>
          <w:rFonts w:ascii="Arial" w:cs="Arial" w:eastAsia="Arial" w:hAnsi="Arial"/>
          <w:sz w:val="16"/>
          <w:szCs w:val="16"/>
          <w:color w:val="auto"/>
          <w:strike w:val="1"/>
        </w:rPr>
        <w:t>A copy of the Vessel’s Continuous Synopsis Record certifying the date on which the Vessel ceased to be registered with the Vessel’s registry, or, in the event that the registry does not as a matter of practice issue such certificate immediately, a written undertaking from the Sellers to provide the copy of this certificate promptly upon it being issued together with evidence of submission by the Sellers of a duly executed Form 2 stating the date on which the Vessel shall cease to be registered with the Vessel’s registry;</w:t>
      </w:r>
    </w:p>
    <w:p>
      <w:pPr>
        <w:spacing w:after="0" w:line="60" w:lineRule="exact"/>
        <w:rPr>
          <w:sz w:val="20"/>
          <w:szCs w:val="20"/>
          <w:color w:val="auto"/>
        </w:rPr>
      </w:pPr>
    </w:p>
    <w:p>
      <w:pPr>
        <w:ind w:left="1660" w:hanging="787"/>
        <w:spacing w:after="0"/>
        <w:tabs>
          <w:tab w:leader="none" w:pos="1660" w:val="left"/>
        </w:tabs>
        <w:numPr>
          <w:ilvl w:val="0"/>
          <w:numId w:val="616"/>
        </w:numPr>
        <w:rPr>
          <w:rFonts w:ascii="Arial" w:cs="Arial" w:eastAsia="Arial" w:hAnsi="Arial"/>
          <w:sz w:val="18"/>
          <w:szCs w:val="18"/>
          <w:b w:val="1"/>
          <w:bCs w:val="1"/>
          <w:color w:val="auto"/>
          <w:strike w:val="1"/>
        </w:rPr>
      </w:pPr>
      <w:r>
        <w:rPr>
          <w:rFonts w:ascii="Arial" w:cs="Arial" w:eastAsia="Arial" w:hAnsi="Arial"/>
          <w:sz w:val="18"/>
          <w:szCs w:val="18"/>
          <w:color w:val="auto"/>
          <w:strike w:val="1"/>
        </w:rPr>
        <w:t>Commercial invoice for the Vessel;</w:t>
      </w:r>
    </w:p>
    <w:p>
      <w:pPr>
        <w:spacing w:after="0" w:line="131" w:lineRule="exact"/>
        <w:rPr>
          <w:sz w:val="20"/>
          <w:szCs w:val="20"/>
          <w:color w:val="auto"/>
        </w:rPr>
      </w:pPr>
    </w:p>
    <w:p>
      <w:pPr>
        <w:ind w:left="1660" w:hanging="787"/>
        <w:spacing w:after="0"/>
        <w:tabs>
          <w:tab w:leader="none" w:pos="1660" w:val="left"/>
        </w:tabs>
        <w:numPr>
          <w:ilvl w:val="0"/>
          <w:numId w:val="617"/>
        </w:numPr>
        <w:rPr>
          <w:rFonts w:ascii="Arial" w:cs="Arial" w:eastAsia="Arial" w:hAnsi="Arial"/>
          <w:sz w:val="18"/>
          <w:szCs w:val="18"/>
          <w:b w:val="1"/>
          <w:bCs w:val="1"/>
          <w:color w:val="auto"/>
          <w:strike w:val="1"/>
        </w:rPr>
      </w:pPr>
      <w:r>
        <w:rPr>
          <w:rFonts w:ascii="Arial" w:cs="Arial" w:eastAsia="Arial" w:hAnsi="Arial"/>
          <w:sz w:val="18"/>
          <w:szCs w:val="18"/>
          <w:color w:val="auto"/>
          <w:strike w:val="1"/>
        </w:rPr>
        <w:t>Commercial Invoice(s) for bunkers, lubricating and hydraulic oils and greases;</w:t>
      </w:r>
    </w:p>
    <w:p>
      <w:pPr>
        <w:spacing w:after="0" w:line="130" w:lineRule="exact"/>
        <w:rPr>
          <w:rFonts w:ascii="Arial" w:cs="Arial" w:eastAsia="Arial" w:hAnsi="Arial"/>
          <w:sz w:val="18"/>
          <w:szCs w:val="18"/>
          <w:b w:val="1"/>
          <w:bCs w:val="1"/>
          <w:color w:val="auto"/>
          <w:strike w:val="1"/>
        </w:rPr>
      </w:pPr>
    </w:p>
    <w:p>
      <w:pPr>
        <w:ind w:left="1660" w:right="120" w:hanging="787"/>
        <w:spacing w:after="0" w:line="277" w:lineRule="auto"/>
        <w:tabs>
          <w:tab w:leader="none" w:pos="1660" w:val="left"/>
        </w:tabs>
        <w:numPr>
          <w:ilvl w:val="0"/>
          <w:numId w:val="617"/>
        </w:numPr>
        <w:rPr>
          <w:rFonts w:ascii="Arial" w:cs="Arial" w:eastAsia="Arial" w:hAnsi="Arial"/>
          <w:sz w:val="18"/>
          <w:szCs w:val="18"/>
          <w:b w:val="1"/>
          <w:bCs w:val="1"/>
          <w:color w:val="auto"/>
          <w:strike w:val="1"/>
        </w:rPr>
      </w:pPr>
      <w:r>
        <w:rPr>
          <w:rFonts w:ascii="Arial" w:cs="Arial" w:eastAsia="Arial" w:hAnsi="Arial"/>
          <w:sz w:val="18"/>
          <w:szCs w:val="18"/>
          <w:color w:val="auto"/>
          <w:strike w:val="1"/>
        </w:rPr>
        <w:t>A copy of the Sellers’ letter to their satellite communication provider cancelling the Vessel’s communications contract which is to be sent immediately after delivery of the Vessel;</w:t>
      </w:r>
    </w:p>
    <w:p>
      <w:pPr>
        <w:spacing w:after="0" w:line="75" w:lineRule="exact"/>
        <w:rPr>
          <w:rFonts w:ascii="Arial" w:cs="Arial" w:eastAsia="Arial" w:hAnsi="Arial"/>
          <w:sz w:val="18"/>
          <w:szCs w:val="18"/>
          <w:b w:val="1"/>
          <w:bCs w:val="1"/>
          <w:color w:val="auto"/>
          <w:strike w:val="1"/>
        </w:rPr>
      </w:pPr>
    </w:p>
    <w:p>
      <w:pPr>
        <w:jc w:val="both"/>
        <w:ind w:left="1660" w:right="220" w:hanging="787"/>
        <w:spacing w:after="0" w:line="264" w:lineRule="auto"/>
        <w:tabs>
          <w:tab w:leader="none" w:pos="1660" w:val="left"/>
        </w:tabs>
        <w:numPr>
          <w:ilvl w:val="0"/>
          <w:numId w:val="617"/>
        </w:numPr>
        <w:rPr>
          <w:rFonts w:ascii="Arial" w:cs="Arial" w:eastAsia="Arial" w:hAnsi="Arial"/>
          <w:sz w:val="18"/>
          <w:szCs w:val="18"/>
          <w:b w:val="1"/>
          <w:bCs w:val="1"/>
          <w:color w:val="auto"/>
          <w:strike w:val="1"/>
        </w:rPr>
      </w:pPr>
      <w:r>
        <w:rPr>
          <w:rFonts w:ascii="Arial" w:cs="Arial" w:eastAsia="Arial" w:hAnsi="Arial"/>
          <w:sz w:val="18"/>
          <w:szCs w:val="18"/>
          <w:color w:val="auto"/>
          <w:strike w:val="1"/>
        </w:rPr>
        <w:t>Any additional documents as may reasonably be required by the competent authorities of the Buyers’ Nominated Flag State for the purpose of registering the Vessel, provided the Buyers notify the Sellers of any such documents as soon as possible after the date of this Agreement; and</w:t>
      </w:r>
    </w:p>
    <w:p>
      <w:pPr>
        <w:spacing w:after="0" w:line="86" w:lineRule="exact"/>
        <w:rPr>
          <w:rFonts w:ascii="Arial" w:cs="Arial" w:eastAsia="Arial" w:hAnsi="Arial"/>
          <w:sz w:val="18"/>
          <w:szCs w:val="18"/>
          <w:b w:val="1"/>
          <w:bCs w:val="1"/>
          <w:color w:val="auto"/>
          <w:strike w:val="1"/>
        </w:rPr>
      </w:pPr>
    </w:p>
    <w:p>
      <w:pPr>
        <w:ind w:left="1660" w:right="420" w:hanging="787"/>
        <w:spacing w:after="0" w:line="277" w:lineRule="auto"/>
        <w:tabs>
          <w:tab w:leader="none" w:pos="1660" w:val="left"/>
        </w:tabs>
        <w:numPr>
          <w:ilvl w:val="0"/>
          <w:numId w:val="617"/>
        </w:numPr>
        <w:rPr>
          <w:rFonts w:ascii="Arial" w:cs="Arial" w:eastAsia="Arial" w:hAnsi="Arial"/>
          <w:sz w:val="18"/>
          <w:szCs w:val="18"/>
          <w:b w:val="1"/>
          <w:bCs w:val="1"/>
          <w:color w:val="auto"/>
          <w:strike w:val="1"/>
        </w:rPr>
      </w:pPr>
      <w:r>
        <w:rPr>
          <w:rFonts w:ascii="Arial" w:cs="Arial" w:eastAsia="Arial" w:hAnsi="Arial"/>
          <w:sz w:val="18"/>
          <w:szCs w:val="18"/>
          <w:color w:val="auto"/>
          <w:strike w:val="1"/>
        </w:rPr>
        <w:t>The Sellers’ letter of confirmation that to the best of their knowledge, the Vessel is not black listed by any nation or international organisation.</w:t>
      </w:r>
    </w:p>
    <w:p>
      <w:pPr>
        <w:spacing w:after="0" w:line="62" w:lineRule="exact"/>
        <w:rPr>
          <w:rFonts w:ascii="Arial" w:cs="Arial" w:eastAsia="Arial" w:hAnsi="Arial"/>
          <w:sz w:val="18"/>
          <w:szCs w:val="18"/>
          <w:b w:val="1"/>
          <w:bCs w:val="1"/>
          <w:color w:val="auto"/>
          <w:strike w:val="1"/>
        </w:rPr>
      </w:pPr>
    </w:p>
    <w:p>
      <w:pPr>
        <w:ind w:left="1140" w:hanging="259"/>
        <w:spacing w:after="0"/>
        <w:tabs>
          <w:tab w:leader="none" w:pos="1140" w:val="left"/>
        </w:tabs>
        <w:numPr>
          <w:ilvl w:val="1"/>
          <w:numId w:val="617"/>
        </w:numPr>
        <w:rPr>
          <w:rFonts w:ascii="Arial" w:cs="Arial" w:eastAsia="Arial" w:hAnsi="Arial"/>
          <w:sz w:val="18"/>
          <w:szCs w:val="18"/>
          <w:b w:val="1"/>
          <w:bCs w:val="1"/>
          <w:color w:val="auto"/>
          <w:strike w:val="1"/>
        </w:rPr>
      </w:pPr>
      <w:r>
        <w:rPr>
          <w:rFonts w:ascii="Arial" w:cs="Arial" w:eastAsia="Arial" w:hAnsi="Arial"/>
          <w:sz w:val="18"/>
          <w:szCs w:val="18"/>
          <w:color w:val="auto"/>
          <w:strike w:val="1"/>
        </w:rPr>
        <w:t>At the time of delivery the Buyers shall provide the Sellers with:</w:t>
      </w:r>
    </w:p>
    <w:p>
      <w:pPr>
        <w:spacing w:after="0" w:line="131" w:lineRule="exact"/>
        <w:rPr>
          <w:sz w:val="20"/>
          <w:szCs w:val="20"/>
          <w:color w:val="auto"/>
        </w:rPr>
      </w:pPr>
    </w:p>
    <w:p>
      <w:pPr>
        <w:ind w:left="1660" w:right="140" w:hanging="787"/>
        <w:spacing w:after="0" w:line="277" w:lineRule="auto"/>
        <w:tabs>
          <w:tab w:leader="none" w:pos="1660" w:val="left"/>
        </w:tabs>
        <w:numPr>
          <w:ilvl w:val="0"/>
          <w:numId w:val="618"/>
        </w:numPr>
        <w:rPr>
          <w:rFonts w:ascii="Arial" w:cs="Arial" w:eastAsia="Arial" w:hAnsi="Arial"/>
          <w:sz w:val="18"/>
          <w:szCs w:val="18"/>
          <w:b w:val="1"/>
          <w:bCs w:val="1"/>
          <w:color w:val="auto"/>
          <w:strike w:val="1"/>
        </w:rPr>
      </w:pPr>
      <w:r>
        <w:rPr>
          <w:rFonts w:ascii="Arial" w:cs="Arial" w:eastAsia="Arial" w:hAnsi="Arial"/>
          <w:sz w:val="18"/>
          <w:szCs w:val="18"/>
          <w:color w:val="auto"/>
          <w:strike w:val="1"/>
        </w:rPr>
        <w:t>Evidence that all necessary corporate, shareholder and other action has been taken by the Buyers to authorise the execution, delivery and performance of this Agreement; and</w:t>
      </w:r>
    </w:p>
    <w:p>
      <w:pPr>
        <w:spacing w:after="0" w:line="75" w:lineRule="exact"/>
        <w:rPr>
          <w:rFonts w:ascii="Arial" w:cs="Arial" w:eastAsia="Arial" w:hAnsi="Arial"/>
          <w:sz w:val="18"/>
          <w:szCs w:val="18"/>
          <w:b w:val="1"/>
          <w:bCs w:val="1"/>
          <w:color w:val="auto"/>
          <w:strike w:val="1"/>
        </w:rPr>
      </w:pPr>
    </w:p>
    <w:p>
      <w:pPr>
        <w:ind w:left="1660" w:right="400" w:hanging="787"/>
        <w:spacing w:after="0" w:line="277" w:lineRule="auto"/>
        <w:tabs>
          <w:tab w:leader="none" w:pos="1660" w:val="left"/>
        </w:tabs>
        <w:numPr>
          <w:ilvl w:val="0"/>
          <w:numId w:val="618"/>
        </w:numPr>
        <w:rPr>
          <w:rFonts w:ascii="Arial" w:cs="Arial" w:eastAsia="Arial" w:hAnsi="Arial"/>
          <w:sz w:val="18"/>
          <w:szCs w:val="18"/>
          <w:b w:val="1"/>
          <w:bCs w:val="1"/>
          <w:color w:val="auto"/>
          <w:strike w:val="1"/>
        </w:rPr>
      </w:pPr>
      <w:r>
        <w:rPr>
          <w:rFonts w:ascii="Arial" w:cs="Arial" w:eastAsia="Arial" w:hAnsi="Arial"/>
          <w:sz w:val="18"/>
          <w:szCs w:val="18"/>
          <w:color w:val="auto"/>
          <w:strike w:val="1"/>
        </w:rPr>
        <w:t>Power of Attorney of the Buyers appointing one or more representatives to act on behalf of the Buyers in the performance of this Agreement, duly notarially attested and legalised or apostilled (as appropriate).</w:t>
      </w:r>
    </w:p>
    <w:p>
      <w:pPr>
        <w:spacing w:after="0" w:line="62" w:lineRule="exact"/>
        <w:rPr>
          <w:rFonts w:ascii="Arial" w:cs="Arial" w:eastAsia="Arial" w:hAnsi="Arial"/>
          <w:sz w:val="18"/>
          <w:szCs w:val="18"/>
          <w:b w:val="1"/>
          <w:bCs w:val="1"/>
          <w:color w:val="auto"/>
          <w:strike w:val="1"/>
        </w:rPr>
      </w:pPr>
    </w:p>
    <w:p>
      <w:pPr>
        <w:ind w:left="880" w:right="480" w:firstLine="1"/>
        <w:spacing w:after="0" w:line="308" w:lineRule="auto"/>
        <w:tabs>
          <w:tab w:leader="none" w:pos="1125" w:val="left"/>
        </w:tabs>
        <w:numPr>
          <w:ilvl w:val="1"/>
          <w:numId w:val="618"/>
        </w:numPr>
        <w:rPr>
          <w:rFonts w:ascii="Arial" w:cs="Arial" w:eastAsia="Arial" w:hAnsi="Arial"/>
          <w:sz w:val="17"/>
          <w:szCs w:val="17"/>
          <w:b w:val="1"/>
          <w:bCs w:val="1"/>
          <w:color w:val="auto"/>
          <w:strike w:val="1"/>
        </w:rPr>
      </w:pPr>
      <w:r>
        <w:rPr>
          <w:rFonts w:ascii="Arial" w:cs="Arial" w:eastAsia="Arial" w:hAnsi="Arial"/>
          <w:sz w:val="17"/>
          <w:szCs w:val="17"/>
          <w:color w:val="auto"/>
          <w:strike w:val="1"/>
        </w:rPr>
        <w:t>If any of the documents listed in Sub clauses (a) and (b) above are not in the English language they shall be accompanied by an English translation by an authorised translator or certified by a lawyer qualified to practice in the country of the translated language.</w:t>
      </w:r>
    </w:p>
    <w:p>
      <w:pPr>
        <w:spacing w:after="0" w:line="79" w:lineRule="exact"/>
        <w:rPr>
          <w:sz w:val="20"/>
          <w:szCs w:val="20"/>
          <w:color w:val="auto"/>
        </w:rPr>
      </w:pPr>
    </w:p>
    <w:p>
      <w:pPr>
        <w:jc w:val="center"/>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73" w:right="259" w:bottom="1440" w:gutter="0" w:footer="0" w:header="0"/>
        </w:sectPr>
      </w:pPr>
    </w:p>
    <w:bookmarkStart w:id="388" w:name="page389"/>
    <w:bookmarkEnd w:id="388"/>
    <w:p>
      <w:pPr>
        <w:ind w:left="912" w:right="80" w:firstLine="1"/>
        <w:spacing w:after="0" w:line="286" w:lineRule="auto"/>
        <w:tabs>
          <w:tab w:leader="none" w:pos="1177" w:val="left"/>
        </w:tabs>
        <w:numPr>
          <w:ilvl w:val="1"/>
          <w:numId w:val="619"/>
        </w:numPr>
        <w:rPr>
          <w:rFonts w:ascii="Arial" w:cs="Arial" w:eastAsia="Arial" w:hAnsi="Arial"/>
          <w:sz w:val="17"/>
          <w:szCs w:val="17"/>
          <w:b w:val="1"/>
          <w:bCs w:val="1"/>
          <w:color w:val="auto"/>
          <w:strike w:val="1"/>
        </w:rPr>
      </w:pPr>
      <w:r>
        <w:rPr>
          <w:rFonts w:ascii="Arial" w:cs="Arial" w:eastAsia="Arial" w:hAnsi="Arial"/>
          <w:sz w:val="17"/>
          <w:szCs w:val="17"/>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shall to the extent possible exchange copies, drafts or samples of the documents listed in Sub clause (a) and Sub clause (b) above for review and comment by the other party not later than ______ (</w:t>
      </w:r>
      <w:r>
        <w:rPr>
          <w:rFonts w:ascii="Arial" w:cs="Arial" w:eastAsia="Arial" w:hAnsi="Arial"/>
          <w:sz w:val="17"/>
          <w:szCs w:val="17"/>
          <w:i w:val="1"/>
          <w:iCs w:val="1"/>
          <w:color w:val="auto"/>
          <w:strike w:val="1"/>
        </w:rPr>
        <w:t>state number of days</w:t>
      </w:r>
      <w:r>
        <w:rPr>
          <w:rFonts w:ascii="Arial" w:cs="Arial" w:eastAsia="Arial" w:hAnsi="Arial"/>
          <w:sz w:val="17"/>
          <w:szCs w:val="17"/>
          <w:color w:val="auto"/>
          <w:strike w:val="1"/>
        </w:rPr>
        <w:t xml:space="preserve">), or if left blank, nine (9) days prior to the Vessel’s intended date of readiness for delivery as notified by the Sellers pursuant to </w:t>
      </w:r>
      <w:r>
        <w:rPr>
          <w:rFonts w:ascii="Arial" w:cs="Arial" w:eastAsia="Arial" w:hAnsi="Arial"/>
          <w:sz w:val="17"/>
          <w:szCs w:val="17"/>
          <w:u w:val="single" w:color="auto"/>
          <w:color w:val="auto"/>
          <w:strike w:val="1"/>
        </w:rPr>
        <w:t>Clause 5(b)</w:t>
      </w:r>
      <w:r>
        <w:rPr>
          <w:rFonts w:ascii="Arial" w:cs="Arial" w:eastAsia="Arial" w:hAnsi="Arial"/>
          <w:sz w:val="17"/>
          <w:szCs w:val="17"/>
          <w:color w:val="auto"/>
          <w:strike w:val="1"/>
        </w:rPr>
        <w:t xml:space="preserve"> of this Agreement.</w:t>
      </w:r>
    </w:p>
    <w:p>
      <w:pPr>
        <w:spacing w:after="0" w:line="57" w:lineRule="exact"/>
        <w:rPr>
          <w:rFonts w:ascii="Arial" w:cs="Arial" w:eastAsia="Arial" w:hAnsi="Arial"/>
          <w:sz w:val="17"/>
          <w:szCs w:val="17"/>
          <w:b w:val="1"/>
          <w:bCs w:val="1"/>
          <w:color w:val="auto"/>
          <w:strike w:val="1"/>
        </w:rPr>
      </w:pPr>
    </w:p>
    <w:p>
      <w:pPr>
        <w:ind w:left="912" w:right="20" w:firstLine="1"/>
        <w:spacing w:after="0" w:line="259" w:lineRule="auto"/>
        <w:tabs>
          <w:tab w:leader="none" w:pos="1157" w:val="left"/>
        </w:tabs>
        <w:numPr>
          <w:ilvl w:val="1"/>
          <w:numId w:val="619"/>
        </w:numPr>
        <w:rPr>
          <w:rFonts w:ascii="Arial" w:cs="Arial" w:eastAsia="Arial" w:hAnsi="Arial"/>
          <w:sz w:val="18"/>
          <w:szCs w:val="18"/>
          <w:b w:val="1"/>
          <w:bCs w:val="1"/>
          <w:color w:val="auto"/>
          <w:strike w:val="1"/>
        </w:rPr>
      </w:pPr>
      <w:r>
        <w:rPr>
          <w:rFonts w:ascii="Arial" w:cs="Arial" w:eastAsia="Arial" w:hAnsi="Arial"/>
          <w:sz w:val="18"/>
          <w:szCs w:val="18"/>
          <w:color w:val="auto"/>
          <w:strike w:val="1"/>
        </w:rPr>
        <w:t>Concurrent with the exchange of documents in Sub clause (a) and Sub clause (b) above, the Sellers shall also hand to the Buyers the classification certificate(s) as well as all plans, drawings and manuals, (excluding ISM/ISPS manuals), which are on board the Vessel. Other certificates which are on board the Vessel shall also be handed over to the Buyers unless the Sellers are required to retain same, in which case the Buyers have the right to take copies.</w:t>
      </w:r>
    </w:p>
    <w:p>
      <w:pPr>
        <w:spacing w:after="0" w:line="78" w:lineRule="exact"/>
        <w:rPr>
          <w:rFonts w:ascii="Arial" w:cs="Arial" w:eastAsia="Arial" w:hAnsi="Arial"/>
          <w:sz w:val="18"/>
          <w:szCs w:val="18"/>
          <w:b w:val="1"/>
          <w:bCs w:val="1"/>
          <w:color w:val="auto"/>
          <w:strike w:val="1"/>
        </w:rPr>
      </w:pPr>
    </w:p>
    <w:p>
      <w:pPr>
        <w:ind w:left="912" w:right="480" w:firstLine="1"/>
        <w:spacing w:after="0" w:line="308" w:lineRule="auto"/>
        <w:tabs>
          <w:tab w:leader="none" w:pos="1137" w:val="left"/>
        </w:tabs>
        <w:numPr>
          <w:ilvl w:val="1"/>
          <w:numId w:val="619"/>
        </w:numPr>
        <w:rPr>
          <w:rFonts w:ascii="Arial" w:cs="Arial" w:eastAsia="Arial" w:hAnsi="Arial"/>
          <w:sz w:val="17"/>
          <w:szCs w:val="17"/>
          <w:b w:val="1"/>
          <w:bCs w:val="1"/>
          <w:color w:val="auto"/>
          <w:strike w:val="1"/>
        </w:rPr>
      </w:pPr>
      <w:r>
        <w:rPr>
          <w:rFonts w:ascii="Arial" w:cs="Arial" w:eastAsia="Arial" w:hAnsi="Arial"/>
          <w:sz w:val="17"/>
          <w:szCs w:val="17"/>
          <w:color w:val="auto"/>
          <w:strike w:val="1"/>
        </w:rPr>
        <w:t>Other technical documentation which may be in the Seller’s possession shall promptly after delivery be forwarded to the Buyers at their expense, if the so request. The Sellers may keep the Vessel’s log books but the Buyers have the right to take copies of same.</w:t>
      </w:r>
    </w:p>
    <w:p>
      <w:pPr>
        <w:spacing w:after="0" w:line="38" w:lineRule="exact"/>
        <w:rPr>
          <w:rFonts w:ascii="Arial" w:cs="Arial" w:eastAsia="Arial" w:hAnsi="Arial"/>
          <w:sz w:val="17"/>
          <w:szCs w:val="17"/>
          <w:b w:val="1"/>
          <w:bCs w:val="1"/>
          <w:color w:val="auto"/>
          <w:strike w:val="1"/>
        </w:rPr>
      </w:pPr>
    </w:p>
    <w:p>
      <w:pPr>
        <w:ind w:left="912" w:right="100" w:firstLine="1"/>
        <w:spacing w:after="0" w:line="277" w:lineRule="auto"/>
        <w:tabs>
          <w:tab w:leader="none" w:pos="1167" w:val="left"/>
        </w:tabs>
        <w:numPr>
          <w:ilvl w:val="1"/>
          <w:numId w:val="619"/>
        </w:numPr>
        <w:rPr>
          <w:rFonts w:ascii="Arial" w:cs="Arial" w:eastAsia="Arial" w:hAnsi="Arial"/>
          <w:sz w:val="18"/>
          <w:szCs w:val="18"/>
          <w:b w:val="1"/>
          <w:bCs w:val="1"/>
          <w:color w:val="auto"/>
          <w:strike w:val="1"/>
        </w:rPr>
      </w:pPr>
      <w:r>
        <w:rPr>
          <w:rFonts w:ascii="Arial" w:cs="Arial" w:eastAsia="Arial" w:hAnsi="Arial"/>
          <w:sz w:val="18"/>
          <w:szCs w:val="18"/>
          <w:color w:val="auto"/>
          <w:strike w:val="1"/>
        </w:rPr>
        <w:t>The Parties shall sign and deliver to each other a Protocol of Delivery and Acceptance confirming the date and time of delivery of the Vessel from the Sellers to the Buyers.</w:t>
      </w:r>
    </w:p>
    <w:p>
      <w:pPr>
        <w:spacing w:after="0" w:line="315" w:lineRule="exact"/>
        <w:rPr>
          <w:rFonts w:ascii="Arial" w:cs="Arial" w:eastAsia="Arial" w:hAnsi="Arial"/>
          <w:sz w:val="18"/>
          <w:szCs w:val="18"/>
          <w:b w:val="1"/>
          <w:bCs w:val="1"/>
          <w:color w:val="auto"/>
          <w:strike w:val="1"/>
        </w:rPr>
      </w:pPr>
    </w:p>
    <w:p>
      <w:pPr>
        <w:ind w:left="912" w:hanging="912"/>
        <w:spacing w:after="0"/>
        <w:tabs>
          <w:tab w:leader="none" w:pos="912" w:val="left"/>
        </w:tabs>
        <w:numPr>
          <w:ilvl w:val="0"/>
          <w:numId w:val="620"/>
        </w:numPr>
        <w:rPr>
          <w:rFonts w:ascii="Arial" w:cs="Arial" w:eastAsia="Arial" w:hAnsi="Arial"/>
          <w:sz w:val="18"/>
          <w:szCs w:val="18"/>
          <w:b w:val="1"/>
          <w:bCs w:val="1"/>
          <w:color w:val="auto"/>
        </w:rPr>
      </w:pPr>
      <w:r>
        <w:rPr>
          <w:rFonts w:ascii="Arial" w:cs="Arial" w:eastAsia="Arial" w:hAnsi="Arial"/>
          <w:sz w:val="18"/>
          <w:szCs w:val="18"/>
          <w:b w:val="1"/>
          <w:bCs w:val="1"/>
          <w:color w:val="auto"/>
        </w:rPr>
        <w:t>Encumbrances</w:t>
      </w:r>
    </w:p>
    <w:p>
      <w:pPr>
        <w:spacing w:after="0" w:line="121" w:lineRule="exact"/>
        <w:rPr>
          <w:rFonts w:ascii="Arial" w:cs="Arial" w:eastAsia="Arial" w:hAnsi="Arial"/>
          <w:sz w:val="18"/>
          <w:szCs w:val="18"/>
          <w:b w:val="1"/>
          <w:bCs w:val="1"/>
          <w:color w:val="auto"/>
        </w:rPr>
      </w:pPr>
    </w:p>
    <w:p>
      <w:pPr>
        <w:ind w:left="912" w:right="2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Sellers warrant that the Vessel, at the time of delivery, is free from all charters, encumbrances, mortgages and maritime liens or any other debts whatsoever, and is not subject to Port State or other administrative detentions. The Sellers hereby undertake to indemnify the Buyers against all consequences of claims made against the Vessel which have been incurred prior to the time of delivery.</w:t>
      </w:r>
    </w:p>
    <w:p>
      <w:pPr>
        <w:spacing w:after="0" w:line="291" w:lineRule="exact"/>
        <w:rPr>
          <w:rFonts w:ascii="Arial" w:cs="Arial" w:eastAsia="Arial" w:hAnsi="Arial"/>
          <w:sz w:val="18"/>
          <w:szCs w:val="18"/>
          <w:b w:val="1"/>
          <w:bCs w:val="1"/>
          <w:color w:val="auto"/>
        </w:rPr>
      </w:pPr>
    </w:p>
    <w:p>
      <w:pPr>
        <w:ind w:left="912" w:hanging="912"/>
        <w:spacing w:after="0"/>
        <w:tabs>
          <w:tab w:leader="none" w:pos="912" w:val="left"/>
        </w:tabs>
        <w:numPr>
          <w:ilvl w:val="0"/>
          <w:numId w:val="620"/>
        </w:numPr>
        <w:rPr>
          <w:rFonts w:ascii="Arial" w:cs="Arial" w:eastAsia="Arial" w:hAnsi="Arial"/>
          <w:sz w:val="18"/>
          <w:szCs w:val="18"/>
          <w:b w:val="1"/>
          <w:bCs w:val="1"/>
          <w:color w:val="auto"/>
        </w:rPr>
      </w:pPr>
      <w:r>
        <w:rPr>
          <w:rFonts w:ascii="Arial" w:cs="Arial" w:eastAsia="Arial" w:hAnsi="Arial"/>
          <w:sz w:val="18"/>
          <w:szCs w:val="18"/>
          <w:b w:val="1"/>
          <w:bCs w:val="1"/>
          <w:color w:val="auto"/>
        </w:rPr>
        <w:t>Taxes, fees and expenses</w:t>
      </w:r>
    </w:p>
    <w:p>
      <w:pPr>
        <w:spacing w:after="0" w:line="121" w:lineRule="exact"/>
        <w:rPr>
          <w:rFonts w:ascii="Arial" w:cs="Arial" w:eastAsia="Arial" w:hAnsi="Arial"/>
          <w:sz w:val="18"/>
          <w:szCs w:val="18"/>
          <w:b w:val="1"/>
          <w:bCs w:val="1"/>
          <w:color w:val="auto"/>
        </w:rPr>
      </w:pPr>
    </w:p>
    <w:p>
      <w:pPr>
        <w:ind w:left="912" w:righ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Any taxes, fees and expenses in connection with the purchase and registration in the Buyers’ Nominated Flag State shall be for the Buyers’ account, whereas similar charges in connection with the closing of the Sellers’ register shall be for the Sellers’ account.</w:t>
      </w:r>
    </w:p>
    <w:p>
      <w:pPr>
        <w:spacing w:after="0" w:line="291" w:lineRule="exact"/>
        <w:rPr>
          <w:rFonts w:ascii="Arial" w:cs="Arial" w:eastAsia="Arial" w:hAnsi="Arial"/>
          <w:sz w:val="18"/>
          <w:szCs w:val="18"/>
          <w:b w:val="1"/>
          <w:bCs w:val="1"/>
          <w:color w:val="auto"/>
        </w:rPr>
      </w:pPr>
    </w:p>
    <w:p>
      <w:pPr>
        <w:ind w:left="912" w:hanging="912"/>
        <w:spacing w:after="0"/>
        <w:tabs>
          <w:tab w:leader="none" w:pos="912" w:val="left"/>
        </w:tabs>
        <w:numPr>
          <w:ilvl w:val="0"/>
          <w:numId w:val="62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on delivery</w:t>
      </w:r>
    </w:p>
    <w:p>
      <w:pPr>
        <w:spacing w:after="0" w:line="121" w:lineRule="exact"/>
        <w:rPr>
          <w:rFonts w:ascii="Arial" w:cs="Arial" w:eastAsia="Arial" w:hAnsi="Arial"/>
          <w:sz w:val="18"/>
          <w:szCs w:val="18"/>
          <w:b w:val="1"/>
          <w:bCs w:val="1"/>
          <w:color w:val="auto"/>
        </w:rPr>
      </w:pPr>
    </w:p>
    <w:p>
      <w:pPr>
        <w:ind w:left="912"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Vessel with everything belonging to her shall be at the Sellers’ risk and expense until she is delivered to the Buyers, but subject to the terms and conditions of this Agreement she shall be delivered and taken over as she was at the time of inspection, fair wear and tear excepted.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-3693795</wp:posOffset>
            </wp:positionV>
            <wp:extent cx="88265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0">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36"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4" w:right="259" w:bottom="1440" w:gutter="0" w:footer="0" w:header="0"/>
        </w:sectPr>
      </w:pPr>
    </w:p>
    <w:bookmarkStart w:id="389" w:name="page390"/>
    <w:bookmarkEnd w:id="389"/>
    <w:p>
      <w:pPr>
        <w:ind w:left="912" w:right="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However, the Vessel shall be delivered free of cargo, </w:t>
      </w:r>
      <w:r>
        <w:rPr>
          <w:rFonts w:ascii="Arial" w:cs="Arial" w:eastAsia="Arial" w:hAnsi="Arial"/>
          <w:sz w:val="18"/>
          <w:szCs w:val="18"/>
          <w:b w:val="1"/>
          <w:bCs w:val="1"/>
          <w:color w:val="auto"/>
        </w:rPr>
        <w:t>free of charter</w:t>
      </w:r>
      <w:r>
        <w:rPr>
          <w:rFonts w:ascii="Arial" w:cs="Arial" w:eastAsia="Arial" w:hAnsi="Arial"/>
          <w:sz w:val="18"/>
          <w:szCs w:val="18"/>
          <w:color w:val="auto"/>
        </w:rPr>
        <w:t xml:space="preserve"> and free of stowaways with her Class maintained without condition/recommendation*, free of average damage affecting the Vessel’s class, and with her classification certificates and national certificates, as well as all other certificates the Vessel had at the time of inspection, valid </w:t>
      </w:r>
      <w:r>
        <w:rPr>
          <w:rFonts w:ascii="Arial" w:cs="Arial" w:eastAsia="Arial" w:hAnsi="Arial"/>
          <w:sz w:val="18"/>
          <w:szCs w:val="18"/>
          <w:color w:val="auto"/>
          <w:strike w:val="1"/>
        </w:rPr>
        <w:t>and unextended</w:t>
      </w:r>
      <w:r>
        <w:rPr>
          <w:rFonts w:ascii="Arial" w:cs="Arial" w:eastAsia="Arial" w:hAnsi="Arial"/>
          <w:sz w:val="18"/>
          <w:szCs w:val="18"/>
          <w:color w:val="auto"/>
        </w:rPr>
        <w:t xml:space="preserve"> without condition/recommendation* by the Classification Society or the relevant authorities at the time of delivery.</w:t>
      </w:r>
    </w:p>
    <w:p>
      <w:pPr>
        <w:spacing w:after="0" w:line="76" w:lineRule="exact"/>
        <w:rPr>
          <w:sz w:val="20"/>
          <w:szCs w:val="20"/>
          <w:color w:val="auto"/>
        </w:rPr>
      </w:pPr>
    </w:p>
    <w:p>
      <w:pPr>
        <w:ind w:left="912" w:right="340"/>
        <w:spacing w:after="0" w:line="277" w:lineRule="auto"/>
        <w:rPr>
          <w:sz w:val="20"/>
          <w:szCs w:val="20"/>
          <w:color w:val="auto"/>
        </w:rPr>
      </w:pPr>
      <w:r>
        <w:rPr>
          <w:rFonts w:ascii="Arial" w:cs="Arial" w:eastAsia="Arial" w:hAnsi="Arial"/>
          <w:sz w:val="18"/>
          <w:szCs w:val="18"/>
          <w:color w:val="auto"/>
        </w:rPr>
        <w:t xml:space="preserve">“inspection” in this </w:t>
      </w:r>
      <w:r>
        <w:rPr>
          <w:rFonts w:ascii="Arial" w:cs="Arial" w:eastAsia="Arial" w:hAnsi="Arial"/>
          <w:sz w:val="18"/>
          <w:szCs w:val="18"/>
          <w:u w:val="single" w:color="auto"/>
          <w:color w:val="auto"/>
        </w:rPr>
        <w:t>Clause 11</w:t>
      </w:r>
      <w:r>
        <w:rPr>
          <w:rFonts w:ascii="Arial" w:cs="Arial" w:eastAsia="Arial" w:hAnsi="Arial"/>
          <w:sz w:val="18"/>
          <w:szCs w:val="18"/>
          <w:color w:val="auto"/>
        </w:rPr>
        <w:t xml:space="preserve">, shall mean the Buyers’ inspection according to </w:t>
      </w:r>
      <w:r>
        <w:rPr>
          <w:rFonts w:ascii="Arial" w:cs="Arial" w:eastAsia="Arial" w:hAnsi="Arial"/>
          <w:sz w:val="18"/>
          <w:szCs w:val="18"/>
          <w:u w:val="single" w:color="auto"/>
          <w:color w:val="auto"/>
        </w:rPr>
        <w:t>Clause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4(b)</w:t>
      </w:r>
      <w:r>
        <w:rPr>
          <w:rFonts w:ascii="Arial" w:cs="Arial" w:eastAsia="Arial" w:hAnsi="Arial"/>
          <w:sz w:val="18"/>
          <w:szCs w:val="18"/>
          <w:color w:val="auto"/>
        </w:rPr>
        <w:t xml:space="preserve"> (Inspections), if applicable. If the Vessel is taken over without inspection, the date of this Agreement shall be the relevant date.</w:t>
      </w:r>
    </w:p>
    <w:p>
      <w:pPr>
        <w:spacing w:after="0" w:line="62" w:lineRule="exact"/>
        <w:rPr>
          <w:sz w:val="20"/>
          <w:szCs w:val="20"/>
          <w:color w:val="auto"/>
        </w:rPr>
      </w:pPr>
    </w:p>
    <w:p>
      <w:pPr>
        <w:ind w:left="912"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and memoranda, if any, in the surveyor’s report which are accepted by the Classification Society without condition/recommendation are</w:t>
      </w:r>
      <w:r>
        <w:rPr>
          <w:rFonts w:ascii="Arial" w:cs="Arial" w:eastAsia="Arial" w:hAnsi="Arial"/>
          <w:sz w:val="18"/>
          <w:szCs w:val="18"/>
          <w:color w:val="auto"/>
        </w:rPr>
        <w:t xml:space="preserve"> </w:t>
      </w:r>
      <w:r>
        <w:rPr>
          <w:rFonts w:ascii="Arial" w:cs="Arial" w:eastAsia="Arial" w:hAnsi="Arial"/>
          <w:sz w:val="18"/>
          <w:szCs w:val="18"/>
          <w:i w:val="1"/>
          <w:iCs w:val="1"/>
          <w:color w:val="auto"/>
        </w:rPr>
        <w:t>not to be taken into account.</w:t>
      </w:r>
    </w:p>
    <w:p>
      <w:pPr>
        <w:spacing w:after="0" w:line="315" w:lineRule="exact"/>
        <w:rPr>
          <w:sz w:val="20"/>
          <w:szCs w:val="20"/>
          <w:color w:val="auto"/>
        </w:rPr>
      </w:pPr>
    </w:p>
    <w:p>
      <w:pPr>
        <w:ind w:left="912" w:hanging="912"/>
        <w:spacing w:after="0"/>
        <w:tabs>
          <w:tab w:leader="none" w:pos="912"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color w:val="auto"/>
        </w:rPr>
        <w:t>Name/markings</w:t>
      </w:r>
    </w:p>
    <w:p>
      <w:pPr>
        <w:spacing w:after="0" w:line="12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Upon delivery the Buyers undertake to change the name of the Vessel and alter funnel markings.</w:t>
      </w:r>
    </w:p>
    <w:p>
      <w:pPr>
        <w:spacing w:after="0" w:line="369" w:lineRule="exact"/>
        <w:rPr>
          <w:rFonts w:ascii="Arial" w:cs="Arial" w:eastAsia="Arial" w:hAnsi="Arial"/>
          <w:sz w:val="18"/>
          <w:szCs w:val="18"/>
          <w:b w:val="1"/>
          <w:bCs w:val="1"/>
          <w:color w:val="auto"/>
        </w:rPr>
      </w:pPr>
    </w:p>
    <w:p>
      <w:pPr>
        <w:ind w:left="912" w:hanging="912"/>
        <w:spacing w:after="0"/>
        <w:tabs>
          <w:tab w:leader="none" w:pos="912"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color w:val="auto"/>
        </w:rPr>
        <w:t>Buyers’ default</w:t>
      </w:r>
    </w:p>
    <w:p>
      <w:pPr>
        <w:spacing w:after="0" w:line="121" w:lineRule="exact"/>
        <w:rPr>
          <w:rFonts w:ascii="Arial" w:cs="Arial" w:eastAsia="Arial" w:hAnsi="Arial"/>
          <w:sz w:val="18"/>
          <w:szCs w:val="18"/>
          <w:b w:val="1"/>
          <w:bCs w:val="1"/>
          <w:color w:val="auto"/>
        </w:rPr>
      </w:pPr>
    </w:p>
    <w:p>
      <w:pPr>
        <w:ind w:left="91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Should the Deposit not be lodged in accordance with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(Deposit), the Sellers have the right to cancel this Agreement, and they shall be entitled to claim compensation for their losses and for all expenses incurred together with interest.</w:t>
      </w:r>
    </w:p>
    <w:p>
      <w:pPr>
        <w:spacing w:after="0" w:line="62" w:lineRule="exact"/>
        <w:rPr>
          <w:rFonts w:ascii="Arial" w:cs="Arial" w:eastAsia="Arial" w:hAnsi="Arial"/>
          <w:sz w:val="18"/>
          <w:szCs w:val="18"/>
          <w:b w:val="1"/>
          <w:bCs w:val="1"/>
          <w:color w:val="auto"/>
        </w:rPr>
      </w:pPr>
    </w:p>
    <w:p>
      <w:pPr>
        <w:ind w:left="912"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Should the Purchase Price not be paid in accordance with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(Payment), the Sellers have the right to cancel this Agreement, in which case the Deposit together with interest earned, if any, shall be released to the Sellers. If the Deposit does not cover their loss, the Sellers shall be entitled to claim further compensation for their losses and for all expenses incurred together with interest.</w:t>
      </w:r>
    </w:p>
    <w:p>
      <w:pPr>
        <w:spacing w:after="0" w:line="310" w:lineRule="exact"/>
        <w:rPr>
          <w:rFonts w:ascii="Arial" w:cs="Arial" w:eastAsia="Arial" w:hAnsi="Arial"/>
          <w:sz w:val="18"/>
          <w:szCs w:val="18"/>
          <w:b w:val="1"/>
          <w:bCs w:val="1"/>
          <w:color w:val="auto"/>
        </w:rPr>
      </w:pPr>
    </w:p>
    <w:p>
      <w:pPr>
        <w:ind w:left="912" w:hanging="912"/>
        <w:spacing w:after="0"/>
        <w:tabs>
          <w:tab w:leader="none" w:pos="912"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color w:val="auto"/>
        </w:rPr>
        <w:t>Sellers’ default</w:t>
      </w:r>
    </w:p>
    <w:p>
      <w:pPr>
        <w:spacing w:after="0" w:line="121" w:lineRule="exact"/>
        <w:rPr>
          <w:rFonts w:ascii="Arial" w:cs="Arial" w:eastAsia="Arial" w:hAnsi="Arial"/>
          <w:sz w:val="18"/>
          <w:szCs w:val="18"/>
          <w:b w:val="1"/>
          <w:bCs w:val="1"/>
          <w:color w:val="auto"/>
        </w:rPr>
      </w:pPr>
    </w:p>
    <w:p>
      <w:pPr>
        <w:ind w:left="912"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Should the Sellers fail to give Notice of Readiness in accordance with </w:t>
      </w:r>
      <w:r>
        <w:rPr>
          <w:rFonts w:ascii="Arial" w:cs="Arial" w:eastAsia="Arial" w:hAnsi="Arial"/>
          <w:sz w:val="17"/>
          <w:szCs w:val="17"/>
          <w:u w:val="single" w:color="auto"/>
          <w:color w:val="auto"/>
        </w:rPr>
        <w:t>Clause 5(b)</w:t>
      </w:r>
      <w:r>
        <w:rPr>
          <w:rFonts w:ascii="Arial" w:cs="Arial" w:eastAsia="Arial" w:hAnsi="Arial"/>
          <w:sz w:val="17"/>
          <w:szCs w:val="17"/>
          <w:color w:val="auto"/>
        </w:rPr>
        <w:t xml:space="preserve"> or fail to be ready to validly complete a legal transfer by the Cancelling Date the Buyers shall have the option of cancelling this Agreement. If after Notice of Readiness has been given but before the Buyers have taken delivery, the Vessel ceases to be physically ready for delivery and is not made physically ready again by the Cancelling Date and new Notice of Readiness given, the Buyers shall retain their option to cancel. In the event that the Buyers elect to cancel this Agreement, the Deposit together with interest earned, if any, shall be released to them immediately.</w:t>
      </w:r>
    </w:p>
    <w:p>
      <w:pPr>
        <w:spacing w:after="0" w:line="64" w:lineRule="exact"/>
        <w:rPr>
          <w:rFonts w:ascii="Arial" w:cs="Arial" w:eastAsia="Arial" w:hAnsi="Arial"/>
          <w:sz w:val="18"/>
          <w:szCs w:val="18"/>
          <w:b w:val="1"/>
          <w:bCs w:val="1"/>
          <w:color w:val="auto"/>
        </w:rPr>
      </w:pPr>
    </w:p>
    <w:p>
      <w:pPr>
        <w:ind w:left="91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Should the Sellers fail to give Notice of Readiness by the Cancelling Date or fail to be ready to validly complete a legal transfer as aforesaid they shall make due compensation to the Buyers for their loss and for all expenses together with interest if their failure is due to proven negligence and whether or not the Buyers cancel this Agreement.</w:t>
      </w:r>
    </w:p>
    <w:p>
      <w:pPr>
        <w:spacing w:after="0" w:line="114"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0" w:right="259" w:bottom="1440" w:gutter="0" w:footer="0" w:header="0"/>
        </w:sectPr>
      </w:pPr>
    </w:p>
    <w:bookmarkStart w:id="390" w:name="page391"/>
    <w:bookmarkEnd w:id="390"/>
    <w:p>
      <w:pPr>
        <w:ind w:left="912" w:hanging="912"/>
        <w:spacing w:after="0"/>
        <w:tabs>
          <w:tab w:leader="none" w:pos="912"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Buyers’ representatives</w:t>
      </w:r>
    </w:p>
    <w:p>
      <w:pPr>
        <w:spacing w:after="0" w:line="121" w:lineRule="exact"/>
        <w:rPr>
          <w:rFonts w:ascii="Arial" w:cs="Arial" w:eastAsia="Arial" w:hAnsi="Arial"/>
          <w:sz w:val="18"/>
          <w:szCs w:val="18"/>
          <w:b w:val="1"/>
          <w:bCs w:val="1"/>
          <w:color w:val="auto"/>
        </w:rPr>
      </w:pPr>
    </w:p>
    <w:p>
      <w:pPr>
        <w:ind w:left="912"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After this Agreement has been signed by the Parties and the Deposit has been lodged, the Buyers have the right to place two (2) representatives on board the Vessel at their sole risk and expense.</w:t>
      </w:r>
    </w:p>
    <w:p>
      <w:pPr>
        <w:spacing w:after="0" w:line="62" w:lineRule="exact"/>
        <w:rPr>
          <w:rFonts w:ascii="Arial" w:cs="Arial" w:eastAsia="Arial" w:hAnsi="Arial"/>
          <w:sz w:val="18"/>
          <w:szCs w:val="18"/>
          <w:b w:val="1"/>
          <w:bCs w:val="1"/>
          <w:color w:val="auto"/>
        </w:rPr>
      </w:pPr>
    </w:p>
    <w:p>
      <w:pPr>
        <w:ind w:left="912"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These representatives are on board for the purpose of familiarisation and in the capacity of observers only, and they shall not interfere in any respect with the operation of the Vessel. The Buyers and the Buyers’ representatives shall sign the Sellers’ P&amp;I Club’s standard letter of indemnity prior to their embarkation.</w:t>
      </w:r>
    </w:p>
    <w:p>
      <w:pPr>
        <w:spacing w:after="0" w:line="325" w:lineRule="exact"/>
        <w:rPr>
          <w:rFonts w:ascii="Arial" w:cs="Arial" w:eastAsia="Arial" w:hAnsi="Arial"/>
          <w:sz w:val="18"/>
          <w:szCs w:val="18"/>
          <w:b w:val="1"/>
          <w:bCs w:val="1"/>
          <w:color w:val="auto"/>
        </w:rPr>
      </w:pPr>
    </w:p>
    <w:p>
      <w:pPr>
        <w:ind w:left="912" w:hanging="912"/>
        <w:spacing w:after="0"/>
        <w:tabs>
          <w:tab w:leader="none" w:pos="912"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color w:val="auto"/>
        </w:rPr>
        <w:t>Law and Arbitration</w:t>
      </w:r>
    </w:p>
    <w:p>
      <w:pPr>
        <w:spacing w:after="0" w:line="117" w:lineRule="exact"/>
        <w:rPr>
          <w:rFonts w:ascii="Arial" w:cs="Arial" w:eastAsia="Arial" w:hAnsi="Arial"/>
          <w:sz w:val="18"/>
          <w:szCs w:val="18"/>
          <w:b w:val="1"/>
          <w:bCs w:val="1"/>
          <w:color w:val="auto"/>
        </w:rPr>
      </w:pPr>
    </w:p>
    <w:p>
      <w:pPr>
        <w:ind w:left="912" w:right="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strike w:val="1"/>
        </w:rPr>
        <w:t>(a)</w:t>
      </w:r>
      <w:r>
        <w:rPr>
          <w:rFonts w:ascii="Arial" w:cs="Arial" w:eastAsia="Arial" w:hAnsi="Arial"/>
          <w:sz w:val="18"/>
          <w:szCs w:val="18"/>
          <w:color w:val="auto"/>
          <w:strike w:val="1"/>
        </w:rPr>
        <w:t>* This Agreement shall be governed by and construed in accordance with English law and any dispute arising out of or in connection with this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Agreement shall be referred to arbitration in London in accordance with the Arbitration Act 1996 or any statutory modification or re-enactment thereof save to the extent necessary to give effect to the provisions of this Clause.</w:t>
      </w:r>
    </w:p>
    <w:p>
      <w:pPr>
        <w:spacing w:after="0" w:line="72" w:lineRule="exact"/>
        <w:rPr>
          <w:rFonts w:ascii="Arial" w:cs="Arial" w:eastAsia="Arial" w:hAnsi="Arial"/>
          <w:sz w:val="18"/>
          <w:szCs w:val="18"/>
          <w:b w:val="1"/>
          <w:bCs w:val="1"/>
          <w:color w:val="auto"/>
        </w:rPr>
      </w:pPr>
    </w:p>
    <w:p>
      <w:pPr>
        <w:ind w:left="91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strike w:val="1"/>
        </w:rPr>
        <w:t>The arbitration shall be conducted in accordance with the London Maritime Arbitrators Association (LMAA) Terms current at the time when the arbitration proceedings are commenced.</w:t>
      </w:r>
    </w:p>
    <w:p>
      <w:pPr>
        <w:spacing w:after="0" w:line="62" w:lineRule="exact"/>
        <w:rPr>
          <w:rFonts w:ascii="Arial" w:cs="Arial" w:eastAsia="Arial" w:hAnsi="Arial"/>
          <w:sz w:val="18"/>
          <w:szCs w:val="18"/>
          <w:b w:val="1"/>
          <w:bCs w:val="1"/>
          <w:color w:val="auto"/>
        </w:rPr>
      </w:pPr>
    </w:p>
    <w:p>
      <w:pPr>
        <w:ind w:left="912"/>
        <w:spacing w:after="0" w:line="255" w:lineRule="auto"/>
        <w:rPr>
          <w:rFonts w:ascii="Arial" w:cs="Arial" w:eastAsia="Arial" w:hAnsi="Arial"/>
          <w:sz w:val="18"/>
          <w:szCs w:val="18"/>
          <w:b w:val="1"/>
          <w:bCs w:val="1"/>
          <w:color w:val="auto"/>
        </w:rPr>
      </w:pPr>
      <w:r>
        <w:rPr>
          <w:rFonts w:ascii="Arial" w:cs="Arial" w:eastAsia="Arial" w:hAnsi="Arial"/>
          <w:sz w:val="18"/>
          <w:szCs w:val="18"/>
          <w:color w:val="auto"/>
          <w:strike w:val="1"/>
        </w:rPr>
        <w:t>The reference shall be to three arbitrators. A party wishing to refer a dispute to arbitration shall appoint its arbitrator and send notice of such appointment in writing to the other party requiring the other party to appoint its own arbitrator within fourteen (14) calendar days of that notice and stating that it will appoint its arbitrator as sole arbitrator unless the other party appoints its own arbitrator and gives notice that it has done so within the fourteen (14) days specified. If the other party does not appoint its own arbitrator and give notice that it has done so within the fourteen (14) days specified, the party referring a dispute to arbitration may, without the requirement of any further prior notice to the other party, appoint is arbitrator and shall advise the other party accordingly. The award of sole arbitrator shall be binding on both Parties as if the sole arbitrator had been appointed by agreement.</w:t>
      </w:r>
    </w:p>
    <w:p>
      <w:pPr>
        <w:spacing w:after="0" w:line="81" w:lineRule="exact"/>
        <w:rPr>
          <w:rFonts w:ascii="Arial" w:cs="Arial" w:eastAsia="Arial" w:hAnsi="Arial"/>
          <w:sz w:val="18"/>
          <w:szCs w:val="18"/>
          <w:b w:val="1"/>
          <w:bCs w:val="1"/>
          <w:color w:val="auto"/>
        </w:rPr>
      </w:pPr>
    </w:p>
    <w:p>
      <w:pPr>
        <w:ind w:left="91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strike w:val="1"/>
        </w:rPr>
        <w:t>In cases where neither the claim nor any counterclaim exceeds the sum of US$100,000 the arbitration shall be conducted in accordance with the LMAA Small Claims Procedure current at the time when the arbitration proceedings are commenced.</w:t>
      </w:r>
    </w:p>
    <w:p>
      <w:pPr>
        <w:spacing w:after="0" w:line="58" w:lineRule="exact"/>
        <w:rPr>
          <w:rFonts w:ascii="Arial" w:cs="Arial" w:eastAsia="Arial" w:hAnsi="Arial"/>
          <w:sz w:val="18"/>
          <w:szCs w:val="18"/>
          <w:b w:val="1"/>
          <w:bCs w:val="1"/>
          <w:color w:val="auto"/>
        </w:rPr>
      </w:pPr>
    </w:p>
    <w:p>
      <w:pPr>
        <w:ind w:left="912" w:right="5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strike w:val="1"/>
        </w:rPr>
        <w:t xml:space="preserve">(b) </w:t>
      </w:r>
      <w:r>
        <w:rPr>
          <w:rFonts w:ascii="Arial" w:cs="Arial" w:eastAsia="Arial" w:hAnsi="Arial"/>
          <w:sz w:val="18"/>
          <w:szCs w:val="18"/>
          <w:color w:val="auto"/>
          <w:strike w:val="1"/>
        </w:rPr>
        <w:t>*This Agreement shall be governed by and construed in accordance with Title 9 of the United States Code and the substantive law (not</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including the choice of law rules) of the State of New York and any dispute arising out of or in</w:t>
      </w:r>
    </w:p>
    <w:p>
      <w:pPr>
        <w:spacing w:after="0" w:line="98"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0" w:right="259" w:bottom="1440" w:gutter="0" w:footer="0" w:header="0"/>
        </w:sectPr>
      </w:pPr>
    </w:p>
    <w:bookmarkStart w:id="391" w:name="page392"/>
    <w:bookmarkEnd w:id="391"/>
    <w:p>
      <w:pPr>
        <w:ind w:left="920"/>
        <w:spacing w:after="0" w:line="259"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this Agreement shall be referred to three (3) persons at New York, one to be appointed by each of the parties hereto, and the third by the two so chosen; their decision or that of any two of them shall be final, and for the purposes of enforcing any award, judgment may be entered on an award by any court of competent jurisdiction. The proceedings shall be conducted in accordance with the rules of the Society of Maritime Arbitrators, Inc.</w:t>
      </w:r>
    </w:p>
    <w:p>
      <w:pPr>
        <w:spacing w:after="0" w:line="79"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strike w:val="1"/>
        </w:rPr>
        <w:t>In cases where neither the claim nor any counterclaim exceeds the sum of US$100,000 the arbitration shall be conducted in accordance with the Shortened Arbitration Procedure of the Society of Maritime Arbitrators, Inc.</w:t>
      </w:r>
    </w:p>
    <w:p>
      <w:pPr>
        <w:spacing w:after="0" w:line="58" w:lineRule="exact"/>
        <w:rPr>
          <w:sz w:val="20"/>
          <w:szCs w:val="20"/>
          <w:color w:val="auto"/>
        </w:rPr>
      </w:pPr>
    </w:p>
    <w:p>
      <w:pPr>
        <w:ind w:left="920" w:right="120"/>
        <w:spacing w:after="0" w:line="257"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This Agreement shall be governed by and construed in accordance with the laws of</w:t>
      </w:r>
      <w:r>
        <w:rPr>
          <w:rFonts w:ascii="Arial" w:cs="Arial" w:eastAsia="Arial" w:hAnsi="Arial"/>
          <w:sz w:val="18"/>
          <w:szCs w:val="18"/>
          <w:b w:val="1"/>
          <w:bCs w:val="1"/>
          <w:color w:val="auto"/>
        </w:rPr>
        <w:t xml:space="preserve"> Singapore </w:t>
      </w:r>
      <w:r>
        <w:rPr>
          <w:rFonts w:ascii="Arial" w:cs="Arial" w:eastAsia="Arial" w:hAnsi="Arial"/>
          <w:sz w:val="18"/>
          <w:szCs w:val="18"/>
          <w:color w:val="auto"/>
        </w:rPr>
        <w:t>(</w:t>
      </w:r>
      <w:r>
        <w:rPr>
          <w:rFonts w:ascii="Arial" w:cs="Arial" w:eastAsia="Arial" w:hAnsi="Arial"/>
          <w:sz w:val="18"/>
          <w:szCs w:val="18"/>
          <w:i w:val="1"/>
          <w:iCs w:val="1"/>
          <w:color w:val="auto"/>
        </w:rPr>
        <w:t>state place</w:t>
      </w:r>
      <w:r>
        <w:rPr>
          <w:rFonts w:ascii="Arial" w:cs="Arial" w:eastAsia="Arial" w:hAnsi="Arial"/>
          <w:sz w:val="18"/>
          <w:szCs w:val="18"/>
          <w:color w:val="auto"/>
        </w:rPr>
        <w:t>) and any dispute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connection with this Agreement shall be referred to arbitration at </w:t>
      </w:r>
      <w:r>
        <w:rPr>
          <w:rFonts w:ascii="Arial" w:cs="Arial" w:eastAsia="Arial" w:hAnsi="Arial"/>
          <w:sz w:val="18"/>
          <w:szCs w:val="18"/>
          <w:b w:val="1"/>
          <w:bCs w:val="1"/>
          <w:color w:val="auto"/>
        </w:rPr>
        <w:t>Singapore (Singapore Chamber of Maritime Arbitration)</w:t>
      </w:r>
      <w:r>
        <w:rPr>
          <w:rFonts w:ascii="Arial" w:cs="Arial" w:eastAsia="Arial" w:hAnsi="Arial"/>
          <w:sz w:val="18"/>
          <w:szCs w:val="18"/>
          <w:color w:val="auto"/>
        </w:rPr>
        <w:t xml:space="preserve"> (</w:t>
      </w:r>
      <w:r>
        <w:rPr>
          <w:rFonts w:ascii="Arial" w:cs="Arial" w:eastAsia="Arial" w:hAnsi="Arial"/>
          <w:sz w:val="18"/>
          <w:szCs w:val="18"/>
          <w:i w:val="1"/>
          <w:iCs w:val="1"/>
          <w:color w:val="auto"/>
        </w:rPr>
        <w:t>state place</w:t>
      </w:r>
      <w:r>
        <w:rPr>
          <w:rFonts w:ascii="Arial" w:cs="Arial" w:eastAsia="Arial" w:hAnsi="Arial"/>
          <w:sz w:val="18"/>
          <w:szCs w:val="18"/>
          <w:color w:val="auto"/>
        </w:rPr>
        <w:t>), subject to the procedures applicable there.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strike w:val="1"/>
        </w:rPr>
        <w:t>*16</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a</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 16</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b</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 xml:space="preserve"> and 16</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c</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 xml:space="preserve"> are alternatives; delete whichever is not applicable. In the absence of deletions, alternative 16</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a</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 xml:space="preserve"> shall apply.</w:t>
      </w:r>
    </w:p>
    <w:p>
      <w:pPr>
        <w:spacing w:after="0" w:line="355" w:lineRule="exact"/>
        <w:rPr>
          <w:sz w:val="20"/>
          <w:szCs w:val="20"/>
          <w:color w:val="auto"/>
        </w:rPr>
      </w:pPr>
    </w:p>
    <w:p>
      <w:pPr>
        <w:ind w:left="920" w:hanging="912"/>
        <w:spacing w:after="0"/>
        <w:tabs>
          <w:tab w:leader="none" w:pos="920" w:val="left"/>
        </w:tabs>
        <w:numPr>
          <w:ilvl w:val="0"/>
          <w:numId w:val="62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920" w:right="5640"/>
        <w:spacing w:after="0" w:line="397" w:lineRule="auto"/>
        <w:rPr>
          <w:rFonts w:ascii="Arial" w:cs="Arial" w:eastAsia="Arial" w:hAnsi="Arial"/>
          <w:sz w:val="18"/>
          <w:szCs w:val="18"/>
          <w:b w:val="1"/>
          <w:bCs w:val="1"/>
          <w:color w:val="auto"/>
        </w:rPr>
      </w:pPr>
      <w:r>
        <w:rPr>
          <w:rFonts w:ascii="Arial" w:cs="Arial" w:eastAsia="Arial" w:hAnsi="Arial"/>
          <w:sz w:val="17"/>
          <w:szCs w:val="17"/>
          <w:color w:val="auto"/>
        </w:rPr>
        <w:t>All notices to be provided under this Agreement shall be in writing. Contact details for recipients of notices are as follows:</w:t>
      </w:r>
    </w:p>
    <w:p>
      <w:pPr>
        <w:spacing w:after="0" w:line="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For the Buyers:</w:t>
      </w:r>
    </w:p>
    <w:p>
      <w:pPr>
        <w:spacing w:after="0" w:line="23" w:lineRule="exact"/>
        <w:rPr>
          <w:rFonts w:ascii="Arial" w:cs="Arial" w:eastAsia="Arial" w:hAnsi="Arial"/>
          <w:sz w:val="18"/>
          <w:szCs w:val="18"/>
          <w:b w:val="1"/>
          <w:bCs w:val="1"/>
          <w:color w:val="auto"/>
        </w:rPr>
      </w:pPr>
    </w:p>
    <w:p>
      <w:pPr>
        <w:ind w:left="920" w:right="778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Chryss Alfonsus V. Damuy Chelsea Shipping Corp. 26th Fl., Fort Legend Tower, 3rd Ave corner 31st St., Bonficacio Global City, Taguig City Tel No. +63 2 4034015</w:t>
      </w:r>
    </w:p>
    <w:p>
      <w:pPr>
        <w:spacing w:after="0" w:line="2"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Fax: +63 2 4034022</w:t>
      </w:r>
    </w:p>
    <w:p>
      <w:pPr>
        <w:spacing w:after="0" w:line="9"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email: chryss.damuy@chelseashipping.ph</w:t>
      </w:r>
    </w:p>
    <w:p>
      <w:pPr>
        <w:spacing w:after="0" w:line="102"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For the Sellers:</w:t>
      </w:r>
    </w:p>
    <w:p>
      <w:pPr>
        <w:spacing w:after="0" w:line="23" w:lineRule="exact"/>
        <w:rPr>
          <w:rFonts w:ascii="Arial" w:cs="Arial" w:eastAsia="Arial" w:hAnsi="Arial"/>
          <w:sz w:val="18"/>
          <w:szCs w:val="18"/>
          <w:b w:val="1"/>
          <w:bCs w:val="1"/>
          <w:color w:val="auto"/>
        </w:rPr>
      </w:pPr>
    </w:p>
    <w:p>
      <w:pPr>
        <w:ind w:left="920" w:right="8560"/>
        <w:spacing w:after="0" w:line="281" w:lineRule="auto"/>
        <w:rPr>
          <w:rFonts w:ascii="Arial" w:cs="Arial" w:eastAsia="Arial" w:hAnsi="Arial"/>
          <w:sz w:val="18"/>
          <w:szCs w:val="18"/>
          <w:b w:val="1"/>
          <w:bCs w:val="1"/>
          <w:color w:val="auto"/>
        </w:rPr>
      </w:pPr>
      <w:r>
        <w:rPr>
          <w:rFonts w:ascii="Arial" w:cs="Arial" w:eastAsia="Arial" w:hAnsi="Arial"/>
          <w:sz w:val="16"/>
          <w:szCs w:val="16"/>
          <w:b w:val="1"/>
          <w:bCs w:val="1"/>
          <w:color w:val="auto"/>
        </w:rPr>
        <w:t>C/O Bairactaris Partners Attn: V. Bairactaris</w:t>
      </w:r>
    </w:p>
    <w:p>
      <w:pPr>
        <w:spacing w:after="0" w:line="1" w:lineRule="exact"/>
        <w:rPr>
          <w:rFonts w:ascii="Arial" w:cs="Arial" w:eastAsia="Arial" w:hAnsi="Arial"/>
          <w:sz w:val="18"/>
          <w:szCs w:val="18"/>
          <w:b w:val="1"/>
          <w:bCs w:val="1"/>
          <w:color w:val="auto"/>
        </w:rPr>
      </w:pPr>
    </w:p>
    <w:p>
      <w:pPr>
        <w:ind w:left="920" w:right="69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130 Kolokotroni Street, 100 36 Piraeus, Greece Tel: +30 210 4264 608</w:t>
      </w: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Fax: +30 210 4284 626/7</w:t>
      </w:r>
    </w:p>
    <w:p>
      <w:pPr>
        <w:spacing w:after="0" w:line="9"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Email: vbairactaris@bairactaris.com</w:t>
      </w:r>
    </w:p>
    <w:p>
      <w:pPr>
        <w:spacing w:after="0" w:line="143" w:lineRule="exact"/>
        <w:rPr>
          <w:sz w:val="20"/>
          <w:szCs w:val="20"/>
          <w:color w:val="auto"/>
        </w:rPr>
      </w:pPr>
    </w:p>
    <w:p>
      <w:pPr>
        <w:jc w:val="center"/>
        <w:ind w:left="260" w:right="2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92" w:name="page393"/>
    <w:bookmarkEnd w:id="392"/>
    <w:p>
      <w:pPr>
        <w:ind w:left="912" w:hanging="912"/>
        <w:spacing w:after="0"/>
        <w:tabs>
          <w:tab w:leader="none" w:pos="912"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p>
    <w:p>
      <w:pPr>
        <w:spacing w:after="0" w:line="121" w:lineRule="exact"/>
        <w:rPr>
          <w:rFonts w:ascii="Arial" w:cs="Arial" w:eastAsia="Arial" w:hAnsi="Arial"/>
          <w:sz w:val="18"/>
          <w:szCs w:val="18"/>
          <w:b w:val="1"/>
          <w:bCs w:val="1"/>
          <w:color w:val="auto"/>
        </w:rPr>
      </w:pPr>
    </w:p>
    <w:p>
      <w:pPr>
        <w:ind w:left="91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written terms of this Agreement comprise the entire agreement between the Buyers and the Sellers in relation to the sale and purchase of the Vessel and supersede all previous agreements whether oral or written between the Parties in relation thereto.</w:t>
      </w:r>
    </w:p>
    <w:p>
      <w:pPr>
        <w:spacing w:after="0" w:line="62" w:lineRule="exact"/>
        <w:rPr>
          <w:rFonts w:ascii="Arial" w:cs="Arial" w:eastAsia="Arial" w:hAnsi="Arial"/>
          <w:sz w:val="18"/>
          <w:szCs w:val="18"/>
          <w:b w:val="1"/>
          <w:bCs w:val="1"/>
          <w:color w:val="auto"/>
        </w:rPr>
      </w:pPr>
    </w:p>
    <w:p>
      <w:pPr>
        <w:ind w:left="912" w:right="3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Each of the Parties acknowledges that in entering into this Agreement it has not relied on and shall have no right or remedy in respect of any statement, representation, assurance or warranty (whether or not made negligently) other than as is expressly set out in this Agreement.</w:t>
      </w:r>
    </w:p>
    <w:p>
      <w:pPr>
        <w:spacing w:after="0" w:line="15" w:lineRule="exact"/>
        <w:rPr>
          <w:rFonts w:ascii="Arial" w:cs="Arial" w:eastAsia="Arial" w:hAnsi="Arial"/>
          <w:sz w:val="18"/>
          <w:szCs w:val="18"/>
          <w:b w:val="1"/>
          <w:bCs w:val="1"/>
          <w:color w:val="auto"/>
        </w:rPr>
      </w:pPr>
    </w:p>
    <w:p>
      <w:pPr>
        <w:ind w:left="912"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terms implied into this Agreement by any applicable statute or law are hereby excluded to the extent that such exclusion can legally be made. Nothing in this Clause shall limit or exclude any liability for fraud.</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7" w:lineRule="exact"/>
        <w:rPr>
          <w:rFonts w:ascii="Arial" w:cs="Arial" w:eastAsia="Arial" w:hAnsi="Arial"/>
          <w:sz w:val="18"/>
          <w:szCs w:val="18"/>
          <w:b w:val="1"/>
          <w:bCs w:val="1"/>
          <w:color w:val="auto"/>
        </w:rPr>
      </w:pPr>
    </w:p>
    <w:p>
      <w:pPr>
        <w:jc w:val="both"/>
        <w:ind w:left="912"/>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All negotiations and contens of this Agreement are to be kept strictly private and confidential between the parties involved unless either party is required to disclose information about the sale by law or the Securities Exchange Commission or NASDAQ regulations. Should, however, details of the sale become known or reported on the market, neither the Buyers, nor the Sellers shall have the right to withdraw from the sale or to fail to fulfil their obligations under this Agreement.</w:t>
      </w:r>
    </w:p>
    <w:p>
      <w:pPr>
        <w:spacing w:after="0" w:line="313" w:lineRule="exact"/>
        <w:rPr>
          <w:rFonts w:ascii="Arial" w:cs="Arial" w:eastAsia="Arial" w:hAnsi="Arial"/>
          <w:sz w:val="18"/>
          <w:szCs w:val="18"/>
          <w:b w:val="1"/>
          <w:bCs w:val="1"/>
          <w:color w:val="auto"/>
        </w:rPr>
      </w:pPr>
    </w:p>
    <w:p>
      <w:pPr>
        <w:ind w:left="912" w:hanging="912"/>
        <w:spacing w:after="0"/>
        <w:tabs>
          <w:tab w:leader="none" w:pos="912"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t>Black list</w:t>
      </w:r>
    </w:p>
    <w:p>
      <w:pPr>
        <w:spacing w:after="0" w:line="117" w:lineRule="exact"/>
        <w:rPr>
          <w:rFonts w:ascii="Arial" w:cs="Arial" w:eastAsia="Arial" w:hAnsi="Arial"/>
          <w:sz w:val="18"/>
          <w:szCs w:val="18"/>
          <w:b w:val="1"/>
          <w:bCs w:val="1"/>
          <w:color w:val="auto"/>
        </w:rPr>
      </w:pPr>
    </w:p>
    <w:p>
      <w:pPr>
        <w:ind w:left="912" w:right="10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Sellers confirm that to the best of their knowledge the Vessel has not been blacklisted by any state, country, organisation or governmental body whilst in their ownership.</w:t>
      </w:r>
    </w:p>
    <w:p>
      <w:pPr>
        <w:spacing w:after="0" w:line="310" w:lineRule="exact"/>
        <w:rPr>
          <w:rFonts w:ascii="Arial" w:cs="Arial" w:eastAsia="Arial" w:hAnsi="Arial"/>
          <w:sz w:val="18"/>
          <w:szCs w:val="18"/>
          <w:b w:val="1"/>
          <w:bCs w:val="1"/>
          <w:color w:val="auto"/>
        </w:rPr>
      </w:pPr>
    </w:p>
    <w:p>
      <w:pPr>
        <w:jc w:val="both"/>
        <w:ind w:left="912" w:right="740" w:hanging="912"/>
        <w:spacing w:after="0" w:line="266" w:lineRule="auto"/>
        <w:tabs>
          <w:tab w:leader="none" w:pos="912"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t>The Buyers understand that the Sellers, be it due to applicable laws or due to internal rules and regulations, is prohibited from conducting transaction, including finance transactions, with the government or any person or entity owned or controlled by the government of Restricted Countries or Restricted Persons.</w:t>
      </w:r>
    </w:p>
    <w:p>
      <w:pPr>
        <w:spacing w:after="0" w:line="68" w:lineRule="exact"/>
        <w:rPr>
          <w:rFonts w:ascii="Arial" w:cs="Arial" w:eastAsia="Arial" w:hAnsi="Arial"/>
          <w:sz w:val="18"/>
          <w:szCs w:val="18"/>
          <w:b w:val="1"/>
          <w:bCs w:val="1"/>
          <w:color w:val="auto"/>
        </w:rPr>
      </w:pPr>
    </w:p>
    <w:p>
      <w:pPr>
        <w:ind w:left="912" w:right="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Buyers confirm that it has not beneficial ownership or connection with a Restricted Country or Restricted Person and undertakes that they shall not transfer, make use of or provide the benefits of any money, proceeds or services provided by or received to any Restricted Persons or conduct any business activity (such as entering into any ship acquisition agreement and/or any charter agreement) related to the Vessel with any Restricted Persons.</w:t>
      </w:r>
    </w:p>
    <w:p>
      <w:pPr>
        <w:spacing w:after="0" w:line="7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this Clause:</w:t>
      </w:r>
    </w:p>
    <w:p>
      <w:pPr>
        <w:spacing w:after="0" w:line="117" w:lineRule="exact"/>
        <w:rPr>
          <w:rFonts w:ascii="Arial" w:cs="Arial" w:eastAsia="Arial" w:hAnsi="Arial"/>
          <w:sz w:val="18"/>
          <w:szCs w:val="18"/>
          <w:b w:val="1"/>
          <w:bCs w:val="1"/>
          <w:color w:val="auto"/>
        </w:rPr>
      </w:pPr>
    </w:p>
    <w:p>
      <w:pPr>
        <w:ind w:left="912" w:right="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Restricted Countries mean Iran, Cuba, Myanmar, North Korea, Sudan and Syria and any additional countries notified by the Lender to be Borrowers based on</w:t>
      </w:r>
    </w:p>
    <w:p>
      <w:pPr>
        <w:spacing w:after="0" w:line="98"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69" w:right="259" w:bottom="1440" w:gutter="0" w:footer="0" w:header="0"/>
        </w:sectPr>
      </w:pPr>
    </w:p>
    <w:bookmarkStart w:id="393" w:name="page394"/>
    <w:bookmarkEnd w:id="393"/>
    <w:p>
      <w:pPr>
        <w:ind w:left="920" w:right="2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respective sanctions being imposed by the United States Treasury Departments Office of Foreign Assets Control (OFAC) or any of the regulative bodies referred to in the definition of Restricted Persons.</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Restricted Persons means persons, entities or any other parties (i) located, domiciled, resident or incorporated in Restricted Countries</w:t>
      </w:r>
    </w:p>
    <w:p>
      <w:pPr>
        <w:spacing w:after="0" w:line="50" w:lineRule="exact"/>
        <w:rPr>
          <w:sz w:val="20"/>
          <w:szCs w:val="20"/>
          <w:color w:val="auto"/>
        </w:rPr>
      </w:pPr>
    </w:p>
    <w:p>
      <w:pPr>
        <w:ind w:left="920" w:right="480" w:firstLine="1"/>
        <w:spacing w:after="0" w:line="261" w:lineRule="auto"/>
        <w:tabs>
          <w:tab w:leader="none" w:pos="1185" w:val="left"/>
        </w:tabs>
        <w:numPr>
          <w:ilvl w:val="0"/>
          <w:numId w:val="625"/>
        </w:numPr>
        <w:rPr>
          <w:rFonts w:ascii="Arial" w:cs="Arial" w:eastAsia="Arial" w:hAnsi="Arial"/>
          <w:sz w:val="18"/>
          <w:szCs w:val="18"/>
          <w:b w:val="1"/>
          <w:bCs w:val="1"/>
          <w:color w:val="auto"/>
        </w:rPr>
      </w:pPr>
      <w:r>
        <w:rPr>
          <w:rFonts w:ascii="Arial" w:cs="Arial" w:eastAsia="Arial" w:hAnsi="Arial"/>
          <w:sz w:val="18"/>
          <w:szCs w:val="18"/>
          <w:b w:val="1"/>
          <w:bCs w:val="1"/>
          <w:color w:val="auto"/>
        </w:rPr>
        <w:t>subject to any sanction administrated by the United Nations, the European Union, the State Secretariat for Economic Affairs of Switzerland (SECO), OFAC.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For and on behalf of the Sellers</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For and on behalf of the Buyers</w:t>
            </w:r>
          </w:p>
        </w:tc>
        <w:tc>
          <w:tcPr>
            <w:tcW w:w="0" w:type="dxa"/>
            <w:vAlign w:val="bottom"/>
          </w:tcPr>
          <w:p>
            <w:pPr>
              <w:spacing w:after="0"/>
              <w:rPr>
                <w:sz w:val="1"/>
                <w:szCs w:val="1"/>
                <w:color w:val="auto"/>
              </w:rPr>
            </w:pPr>
          </w:p>
        </w:tc>
      </w:tr>
      <w:tr>
        <w:trPr>
          <w:trHeight w:val="432"/>
        </w:trPr>
        <w:tc>
          <w:tcPr>
            <w:tcW w:w="500" w:type="dxa"/>
            <w:vAlign w:val="bottom"/>
            <w:vMerge w:val="restart"/>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Evangelos Bairactaris</w:t>
            </w:r>
          </w:p>
        </w:tc>
        <w:tc>
          <w:tcPr>
            <w:tcW w:w="1160" w:type="dxa"/>
            <w:vAlign w:val="bottom"/>
            <w:vMerge w:val="restart"/>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Chryss Alfonsus V. Damuy</w:t>
            </w:r>
          </w:p>
        </w:tc>
        <w:tc>
          <w:tcPr>
            <w:tcW w:w="0" w:type="dxa"/>
            <w:vAlign w:val="bottom"/>
          </w:tcPr>
          <w:p>
            <w:pPr>
              <w:spacing w:after="0"/>
              <w:rPr>
                <w:sz w:val="1"/>
                <w:szCs w:val="1"/>
                <w:color w:val="auto"/>
              </w:rPr>
            </w:pPr>
          </w:p>
        </w:tc>
      </w:tr>
      <w:tr>
        <w:trPr>
          <w:trHeight w:val="195"/>
        </w:trPr>
        <w:tc>
          <w:tcPr>
            <w:tcW w:w="500" w:type="dxa"/>
            <w:vAlign w:val="bottom"/>
            <w:vMerge w:val="continue"/>
          </w:tcPr>
          <w:p>
            <w:pPr>
              <w:spacing w:after="0"/>
              <w:rPr>
                <w:sz w:val="16"/>
                <w:szCs w:val="16"/>
                <w:color w:val="auto"/>
              </w:rPr>
            </w:pP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Evangelos Bairactaris</w:t>
            </w:r>
          </w:p>
        </w:tc>
        <w:tc>
          <w:tcPr>
            <w:tcW w:w="1160" w:type="dxa"/>
            <w:vAlign w:val="bottom"/>
            <w:vMerge w:val="continue"/>
          </w:tcPr>
          <w:p>
            <w:pPr>
              <w:spacing w:after="0"/>
              <w:rPr>
                <w:sz w:val="16"/>
                <w:szCs w:val="16"/>
                <w:color w:val="auto"/>
              </w:rPr>
            </w:pP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Chryss Alfonsus V. Damuy</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Title:   Sole Director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Chief Operating Officer</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left="260" w:right="2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3360" w:type="dxa"/>
            <w:vAlign w:val="bottom"/>
            <w:gridSpan w:val="2"/>
          </w:tcPr>
          <w:p>
            <w:pPr>
              <w:ind w:left="1420"/>
              <w:spacing w:after="0"/>
              <w:rPr>
                <w:sz w:val="20"/>
                <w:szCs w:val="20"/>
                <w:color w:val="auto"/>
              </w:rPr>
            </w:pPr>
            <w:r>
              <w:rPr>
                <w:rFonts w:ascii="Arial" w:cs="Arial" w:eastAsia="Arial" w:hAnsi="Arial"/>
                <w:sz w:val="18"/>
                <w:szCs w:val="18"/>
                <w:color w:val="auto"/>
              </w:rPr>
              <w:t>ACKNOWLEDGMENT</w:t>
            </w: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45"/>
        </w:trPr>
        <w:tc>
          <w:tcPr>
            <w:tcW w:w="3400" w:type="dxa"/>
            <w:vAlign w:val="bottom"/>
          </w:tcPr>
          <w:p>
            <w:pPr>
              <w:spacing w:after="0"/>
              <w:rPr>
                <w:sz w:val="20"/>
                <w:szCs w:val="20"/>
                <w:color w:val="auto"/>
              </w:rPr>
            </w:pPr>
            <w:r>
              <w:rPr>
                <w:rFonts w:ascii="Arial" w:cs="Arial" w:eastAsia="Arial" w:hAnsi="Arial"/>
                <w:sz w:val="18"/>
                <w:szCs w:val="18"/>
                <w:color w:val="auto"/>
              </w:rPr>
              <w:t>REPUBLIC OF THE PHILIPPINES</w:t>
            </w:r>
          </w:p>
        </w:tc>
        <w:tc>
          <w:tcPr>
            <w:tcW w:w="2440" w:type="dxa"/>
            <w:vAlign w:val="bottom"/>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p>
        </w:tc>
        <w:tc>
          <w:tcPr>
            <w:tcW w:w="3360" w:type="dxa"/>
            <w:vAlign w:val="bottom"/>
            <w:gridSpan w:val="2"/>
          </w:tcPr>
          <w:p>
            <w:pPr>
              <w:ind w:left="720"/>
              <w:spacing w:after="0"/>
              <w:rPr>
                <w:sz w:val="20"/>
                <w:szCs w:val="20"/>
                <w:color w:val="auto"/>
              </w:rPr>
            </w:pPr>
            <w:r>
              <w:rPr>
                <w:rFonts w:ascii="Arial" w:cs="Arial" w:eastAsia="Arial" w:hAnsi="Arial"/>
                <w:sz w:val="18"/>
                <w:szCs w:val="18"/>
                <w:color w:val="auto"/>
              </w:rPr>
              <w:t>) S.S.</w:t>
            </w: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392"/>
        </w:trPr>
        <w:tc>
          <w:tcPr>
            <w:tcW w:w="5840" w:type="dxa"/>
            <w:vAlign w:val="bottom"/>
            <w:gridSpan w:val="2"/>
          </w:tcPr>
          <w:p>
            <w:pPr>
              <w:ind w:left="920"/>
              <w:spacing w:after="0"/>
              <w:rPr>
                <w:sz w:val="20"/>
                <w:szCs w:val="20"/>
                <w:color w:val="auto"/>
              </w:rPr>
            </w:pPr>
            <w:r>
              <w:rPr>
                <w:rFonts w:ascii="Arial" w:cs="Arial" w:eastAsia="Arial" w:hAnsi="Arial"/>
                <w:sz w:val="18"/>
                <w:szCs w:val="18"/>
                <w:color w:val="auto"/>
                <w:w w:val="93"/>
              </w:rPr>
              <w:t>BEFORE ME, a Notary Public for and in the above jurisdiction this</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 personally appeared the following:</w:t>
            </w:r>
          </w:p>
        </w:tc>
      </w:tr>
      <w:tr>
        <w:trPr>
          <w:trHeight w:val="465"/>
        </w:trPr>
        <w:tc>
          <w:tcPr>
            <w:tcW w:w="3400" w:type="dxa"/>
            <w:vAlign w:val="bottom"/>
          </w:tcPr>
          <w:p>
            <w:pPr>
              <w:ind w:left="1780"/>
              <w:spacing w:after="0"/>
              <w:rPr>
                <w:sz w:val="20"/>
                <w:szCs w:val="20"/>
                <w:color w:val="auto"/>
              </w:rPr>
            </w:pPr>
            <w:r>
              <w:rPr>
                <w:rFonts w:ascii="Arial" w:cs="Arial" w:eastAsia="Arial" w:hAnsi="Arial"/>
                <w:sz w:val="18"/>
                <w:szCs w:val="18"/>
                <w:b w:val="1"/>
                <w:bCs w:val="1"/>
                <w:color w:val="auto"/>
              </w:rPr>
              <w:t>Name</w:t>
            </w:r>
          </w:p>
        </w:tc>
        <w:tc>
          <w:tcPr>
            <w:tcW w:w="3360" w:type="dxa"/>
            <w:vAlign w:val="bottom"/>
            <w:gridSpan w:val="2"/>
          </w:tcPr>
          <w:p>
            <w:pPr>
              <w:ind w:left="2240"/>
              <w:spacing w:after="0"/>
              <w:rPr>
                <w:sz w:val="20"/>
                <w:szCs w:val="20"/>
                <w:color w:val="auto"/>
              </w:rPr>
            </w:pPr>
            <w:r>
              <w:rPr>
                <w:rFonts w:ascii="Arial" w:cs="Arial" w:eastAsia="Arial" w:hAnsi="Arial"/>
                <w:sz w:val="18"/>
                <w:szCs w:val="18"/>
                <w:b w:val="1"/>
                <w:bCs w:val="1"/>
                <w:color w:val="auto"/>
              </w:rPr>
              <w:t>Valid ID</w:t>
            </w:r>
          </w:p>
        </w:tc>
        <w:tc>
          <w:tcPr>
            <w:tcW w:w="160" w:type="dxa"/>
            <w:vAlign w:val="bottom"/>
          </w:tcPr>
          <w:p>
            <w:pPr>
              <w:spacing w:after="0"/>
              <w:rPr>
                <w:sz w:val="24"/>
                <w:szCs w:val="24"/>
                <w:color w:val="auto"/>
              </w:rPr>
            </w:pPr>
          </w:p>
        </w:tc>
        <w:tc>
          <w:tcPr>
            <w:tcW w:w="3100" w:type="dxa"/>
            <w:vAlign w:val="bottom"/>
          </w:tcPr>
          <w:p>
            <w:pPr>
              <w:ind w:left="2380"/>
              <w:spacing w:after="0"/>
              <w:rPr>
                <w:sz w:val="20"/>
                <w:szCs w:val="20"/>
                <w:color w:val="auto"/>
              </w:rPr>
            </w:pPr>
            <w:r>
              <w:rPr>
                <w:rFonts w:ascii="Arial" w:cs="Arial" w:eastAsia="Arial" w:hAnsi="Arial"/>
                <w:sz w:val="18"/>
                <w:szCs w:val="18"/>
                <w:b w:val="1"/>
                <w:bCs w:val="1"/>
                <w:color w:val="auto"/>
                <w:w w:val="83"/>
              </w:rPr>
              <w:t>Issued on</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Chryss Alfonsus V. Damuy</w:t>
            </w:r>
          </w:p>
        </w:tc>
        <w:tc>
          <w:tcPr>
            <w:tcW w:w="3360" w:type="dxa"/>
            <w:vAlign w:val="bottom"/>
            <w:gridSpan w:val="2"/>
          </w:tcPr>
          <w:p>
            <w:pPr>
              <w:ind w:left="720"/>
              <w:spacing w:after="0"/>
              <w:rPr>
                <w:sz w:val="20"/>
                <w:szCs w:val="20"/>
                <w:color w:val="auto"/>
              </w:rPr>
            </w:pPr>
            <w:r>
              <w:rPr>
                <w:rFonts w:ascii="Arial" w:cs="Arial" w:eastAsia="Arial" w:hAnsi="Arial"/>
                <w:sz w:val="18"/>
                <w:szCs w:val="18"/>
                <w:color w:val="auto"/>
              </w:rPr>
              <w:t>Passport #</w:t>
            </w: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known to me and to me known to be the same person who executed the foregoing Memorandum of Agreement and acknowledged to me that the same is their voluntary act and deed and the voluntary act and deed of the corporations which they, respectively, represent.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WITNESS MY HAND AND SEAL on the date and at the place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97"/>
              </w:rPr>
              <w:t>Doc. No.</w:t>
            </w:r>
          </w:p>
        </w:tc>
        <w:tc>
          <w:tcPr>
            <w:tcW w:w="540" w:type="dxa"/>
            <w:vAlign w:val="bottom"/>
            <w:tcBorders>
              <w:bottom w:val="single" w:sz="8" w:color="auto"/>
            </w:tcBorders>
            <w:gridSpan w:val="3"/>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8"/>
              </w:rPr>
              <w:t>;</w:t>
            </w: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w w:val="93"/>
              </w:rPr>
              <w:t>Page No.</w:t>
            </w:r>
          </w:p>
        </w:tc>
        <w:tc>
          <w:tcPr>
            <w:tcW w:w="520" w:type="dxa"/>
            <w:vAlign w:val="bottom"/>
            <w:gridSpan w:val="2"/>
          </w:tcPr>
          <w:p>
            <w:pPr>
              <w:spacing w:after="0"/>
              <w:rPr>
                <w:sz w:val="17"/>
                <w:szCs w:val="17"/>
                <w:color w:val="auto"/>
              </w:rPr>
            </w:pPr>
          </w:p>
        </w:tc>
        <w:tc>
          <w:tcPr>
            <w:tcW w:w="1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8"/>
              </w:rPr>
              <w:t>;</w:t>
            </w: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w w:val="94"/>
              </w:rPr>
              <w:t>Book No.</w:t>
            </w:r>
          </w:p>
        </w:tc>
        <w:tc>
          <w:tcPr>
            <w:tcW w:w="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0"/>
        </w:trPr>
        <w:tc>
          <w:tcPr>
            <w:tcW w:w="76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40" w:type="dxa"/>
            <w:vAlign w:val="bottom"/>
            <w:gridSpan w:val="4"/>
          </w:tcPr>
          <w:p>
            <w:pPr>
              <w:spacing w:after="0"/>
              <w:rPr>
                <w:sz w:val="20"/>
                <w:szCs w:val="20"/>
                <w:color w:val="auto"/>
              </w:rPr>
            </w:pPr>
            <w:r>
              <w:rPr>
                <w:rFonts w:ascii="Arial" w:cs="Arial" w:eastAsia="Arial" w:hAnsi="Arial"/>
                <w:sz w:val="18"/>
                <w:szCs w:val="18"/>
                <w:color w:val="auto"/>
              </w:rPr>
              <w:t>Series of 2017.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1360"/>
          </w:cols>
          <w:pgMar w:left="240" w:top="274" w:right="299" w:bottom="1440" w:gutter="0" w:footer="0" w:header="0"/>
        </w:sectPr>
      </w:pPr>
    </w:p>
    <w:bookmarkStart w:id="395" w:name="page396"/>
    <w:bookmarkEnd w:id="395"/>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SECRETARY’S CERTIFICATE</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CHELSEA SHIPPING CORP.</w:t>
      </w:r>
    </w:p>
    <w:p>
      <w:pPr>
        <w:sectPr>
          <w:pgSz w:w="11900" w:h="16838" w:orient="portrait"/>
          <w:cols w:equalWidth="0" w:num="1">
            <w:col w:w="11400"/>
          </w:cols>
          <w:pgMar w:left="240" w:top="270" w:right="259" w:bottom="1440" w:gutter="0" w:footer="0" w:header="0"/>
        </w:sectPr>
      </w:pPr>
    </w:p>
    <w:p>
      <w:pPr>
        <w:spacing w:after="0" w:line="23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REPUBLIC OF THE PHILIPPINES TAGUIG CITY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240" w:lineRule="exact"/>
        <w:rPr>
          <w:sz w:val="20"/>
          <w:szCs w:val="20"/>
          <w:color w:val="auto"/>
        </w:rPr>
      </w:pPr>
    </w:p>
    <w:p>
      <w:pPr>
        <w:sectPr>
          <w:pgSz w:w="11900" w:h="16838" w:orient="portrait"/>
          <w:cols w:equalWidth="0" w:num="2">
            <w:col w:w="3400" w:space="720"/>
            <w:col w:w="7280"/>
          </w:cols>
          <w:pgMar w:left="240" w:top="270" w:right="259" w:bottom="1440" w:gutter="0" w:footer="0" w:header="0"/>
          <w:type w:val="continuous"/>
        </w:sectPr>
      </w:pPr>
    </w:p>
    <w:p>
      <w:pPr>
        <w:ind w:right="300"/>
        <w:spacing w:after="0" w:line="282"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MA. HENEDINA V. SAN JUAN</w:t>
      </w:r>
      <w:r>
        <w:rPr>
          <w:rFonts w:ascii="Arial" w:cs="Arial" w:eastAsia="Arial" w:hAnsi="Arial"/>
          <w:sz w:val="18"/>
          <w:szCs w:val="18"/>
          <w:color w:val="auto"/>
        </w:rPr>
        <w:t>, of legal age, Filipino, with office address at 26</w:t>
      </w:r>
      <w:r>
        <w:rPr>
          <w:rFonts w:ascii="Arial" w:cs="Arial" w:eastAsia="Arial" w:hAnsi="Arial"/>
          <w:sz w:val="15"/>
          <w:szCs w:val="15"/>
          <w:color w:val="auto"/>
        </w:rPr>
        <w:t>th</w:t>
      </w:r>
      <w:r>
        <w:rPr>
          <w:rFonts w:ascii="Arial" w:cs="Arial" w:eastAsia="Arial" w:hAnsi="Arial"/>
          <w:sz w:val="18"/>
          <w:szCs w:val="18"/>
          <w:color w:val="auto"/>
        </w:rPr>
        <w:t xml:space="preserve"> Floor, Fort Legend Tower, 3</w:t>
      </w:r>
      <w:r>
        <w:rPr>
          <w:rFonts w:ascii="Arial" w:cs="Arial" w:eastAsia="Arial" w:hAnsi="Arial"/>
          <w:sz w:val="15"/>
          <w:szCs w:val="15"/>
          <w:color w:val="auto"/>
        </w:rPr>
        <w:t>rd</w:t>
      </w:r>
      <w:r>
        <w:rPr>
          <w:rFonts w:ascii="Arial" w:cs="Arial" w:eastAsia="Arial" w:hAnsi="Arial"/>
          <w:sz w:val="18"/>
          <w:szCs w:val="18"/>
          <w:color w:val="auto"/>
        </w:rPr>
        <w:t xml:space="preserve"> Avenue corner 31</w:t>
      </w:r>
      <w:r>
        <w:rPr>
          <w:rFonts w:ascii="Arial" w:cs="Arial" w:eastAsia="Arial" w:hAnsi="Arial"/>
          <w:sz w:val="15"/>
          <w:szCs w:val="15"/>
          <w:color w:val="auto"/>
        </w:rPr>
        <w:t>st</w:t>
      </w:r>
      <w:r>
        <w:rPr>
          <w:rFonts w:ascii="Arial" w:cs="Arial" w:eastAsia="Arial" w:hAnsi="Arial"/>
          <w:sz w:val="18"/>
          <w:szCs w:val="18"/>
          <w:color w:val="auto"/>
        </w:rPr>
        <w:t xml:space="preserve"> Street, Bonifacio Global City, Taguig City, after being duly sworn in accordance with law, hereby depose and state:</w:t>
      </w:r>
    </w:p>
    <w:p>
      <w:pPr>
        <w:spacing w:after="0" w:line="162" w:lineRule="exact"/>
        <w:rPr>
          <w:sz w:val="20"/>
          <w:szCs w:val="20"/>
          <w:color w:val="auto"/>
        </w:rPr>
      </w:pPr>
    </w:p>
    <w:p>
      <w:pPr>
        <w:ind w:right="40" w:firstLine="1492"/>
        <w:spacing w:after="0" w:line="282" w:lineRule="auto"/>
        <w:tabs>
          <w:tab w:leader="none" w:pos="1664"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xml:space="preserve">I am the Corporate Secretary of </w:t>
      </w:r>
      <w:r>
        <w:rPr>
          <w:rFonts w:ascii="Arial" w:cs="Arial" w:eastAsia="Arial" w:hAnsi="Arial"/>
          <w:sz w:val="18"/>
          <w:szCs w:val="18"/>
          <w:b w:val="1"/>
          <w:bCs w:val="1"/>
          <w:color w:val="auto"/>
        </w:rPr>
        <w:t>CHELSEA SHIPPING CORP</w:t>
      </w:r>
      <w:r>
        <w:rPr>
          <w:rFonts w:ascii="Arial" w:cs="Arial" w:eastAsia="Arial" w:hAnsi="Arial"/>
          <w:sz w:val="18"/>
          <w:szCs w:val="18"/>
          <w:color w:val="auto"/>
        </w:rPr>
        <w:t>. (the “Corporation”), a corporation duly organized and existing under Philippine laws with principal office address located at Stella Hizon Reyes Road, Bo. Pampanga, Lanang, Davao City</w:t>
      </w:r>
    </w:p>
    <w:p>
      <w:pPr>
        <w:spacing w:after="0" w:line="165" w:lineRule="exact"/>
        <w:rPr>
          <w:rFonts w:ascii="Arial" w:cs="Arial" w:eastAsia="Arial" w:hAnsi="Arial"/>
          <w:sz w:val="18"/>
          <w:szCs w:val="18"/>
          <w:color w:val="auto"/>
        </w:rPr>
      </w:pPr>
    </w:p>
    <w:p>
      <w:pPr>
        <w:ind w:left="1680" w:hanging="188"/>
        <w:spacing w:after="0"/>
        <w:tabs>
          <w:tab w:leader="none" w:pos="168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As Corporate Secretary, I take down the Minutes of the meetings of the stockholders and of the Board of Directors of the Corporation;</w:t>
      </w:r>
    </w:p>
    <w:p>
      <w:pPr>
        <w:spacing w:after="0" w:line="248" w:lineRule="exact"/>
        <w:rPr>
          <w:rFonts w:ascii="Arial" w:cs="Arial" w:eastAsia="Arial" w:hAnsi="Arial"/>
          <w:sz w:val="16"/>
          <w:szCs w:val="16"/>
          <w:color w:val="auto"/>
        </w:rPr>
      </w:pPr>
    </w:p>
    <w:p>
      <w:pPr>
        <w:ind w:right="420" w:firstLine="1492"/>
        <w:spacing w:after="0" w:line="277" w:lineRule="auto"/>
        <w:tabs>
          <w:tab w:leader="none" w:pos="1664" w:val="left"/>
        </w:tabs>
        <w:numPr>
          <w:ilvl w:val="0"/>
          <w:numId w:val="626"/>
        </w:numPr>
        <w:rPr>
          <w:rFonts w:ascii="Arial" w:cs="Arial" w:eastAsia="Arial" w:hAnsi="Arial"/>
          <w:sz w:val="18"/>
          <w:szCs w:val="18"/>
          <w:color w:val="auto"/>
        </w:rPr>
      </w:pPr>
      <w:r>
        <w:rPr>
          <w:rFonts w:ascii="Arial" w:cs="Arial" w:eastAsia="Arial" w:hAnsi="Arial"/>
          <w:sz w:val="18"/>
          <w:szCs w:val="18"/>
          <w:color w:val="auto"/>
        </w:rPr>
        <w:t>At the meeting of the Board of Directors of the Corporation held on 11 December 2017, wherein a quorum was present and acted throughout, the following Resolution was unanimously approved and adopted:</w:t>
      </w:r>
    </w:p>
    <w:p>
      <w:pPr>
        <w:spacing w:after="0" w:line="58" w:lineRule="exact"/>
        <w:rPr>
          <w:sz w:val="20"/>
          <w:szCs w:val="20"/>
          <w:color w:val="auto"/>
        </w:rPr>
      </w:pPr>
    </w:p>
    <w:p>
      <w:pPr>
        <w:ind w:left="460"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Corporation be, as it is hereby authorized to purchase the vessel MT “Aristotelis” from Aenos Product Carriers SA for the amount of US$29,400,000.00;</w:t>
      </w:r>
    </w:p>
    <w:p>
      <w:pPr>
        <w:spacing w:after="0" w:line="54" w:lineRule="exact"/>
        <w:rPr>
          <w:sz w:val="20"/>
          <w:szCs w:val="20"/>
          <w:color w:val="auto"/>
        </w:rPr>
      </w:pPr>
    </w:p>
    <w:p>
      <w:pPr>
        <w:jc w:val="both"/>
        <w:ind w:left="460" w:right="460"/>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Chief Operating Officer of the Corporation, CHRYSS ALFONSUS V. DAMUY, is hereby designated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authorized representative to execute and sign the Memorandum of Agreement, and all other documents necessary to implement the foregoing Resolution.”</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 The above Resolution has not been modified and is still in full force and effect.</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on this 22 day of December 2017 at Taguig City.</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 Henedina V. San Juan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 HENEDINA V. SAN JUAN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ind w:right="60" w:firstLine="1484"/>
        <w:spacing w:after="0" w:line="277" w:lineRule="auto"/>
        <w:rPr>
          <w:sz w:val="20"/>
          <w:szCs w:val="20"/>
          <w:color w:val="auto"/>
        </w:rPr>
      </w:pPr>
      <w:r>
        <w:rPr>
          <w:rFonts w:ascii="Arial" w:cs="Arial" w:eastAsia="Arial" w:hAnsi="Arial"/>
          <w:sz w:val="18"/>
          <w:szCs w:val="18"/>
          <w:color w:val="auto"/>
        </w:rPr>
        <w:t>SUBSCRIBED AND SWORN to before me this 22 day of December 2017 at Taguig City, affiant exhibited to me her Driver’s License # NO6-84-035705 valid until 1 September 2022.</w:t>
      </w:r>
    </w:p>
    <w:p>
      <w:pPr>
        <w:spacing w:after="0" w:line="103"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type w:val="continuous"/>
        </w:sectPr>
      </w:pPr>
    </w:p>
    <w:bookmarkStart w:id="396" w:name="page397"/>
    <w:bookmarkEnd w:id="3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 No. 145;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No.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 No. 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of 2017.</w:t>
      </w:r>
    </w:p>
    <w:p>
      <w:pPr>
        <w:spacing w:after="0" w:line="143" w:lineRule="exact"/>
        <w:rPr>
          <w:sz w:val="20"/>
          <w:szCs w:val="20"/>
          <w:color w:val="auto"/>
        </w:rPr>
      </w:pPr>
    </w:p>
    <w:p>
      <w:pPr>
        <w:jc w:val="center"/>
        <w:ind w:left="280"/>
        <w:spacing w:after="0" w:line="279" w:lineRule="auto"/>
        <w:rPr>
          <w:sz w:val="20"/>
          <w:szCs w:val="20"/>
          <w:color w:val="auto"/>
        </w:rPr>
      </w:pPr>
      <w:r>
        <w:rPr>
          <w:rFonts w:ascii="Arial" w:cs="Arial" w:eastAsia="Arial" w:hAnsi="Arial"/>
          <w:sz w:val="17"/>
          <w:szCs w:val="17"/>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2680"/>
              <w:spacing w:after="0"/>
              <w:rPr>
                <w:sz w:val="20"/>
                <w:szCs w:val="20"/>
                <w:color w:val="auto"/>
              </w:rPr>
            </w:pPr>
            <w:r>
              <w:rPr>
                <w:rFonts w:ascii="Arial" w:cs="Arial" w:eastAsia="Arial" w:hAnsi="Arial"/>
                <w:sz w:val="18"/>
                <w:szCs w:val="18"/>
                <w:b w:val="1"/>
                <w:bCs w:val="1"/>
                <w:color w:val="auto"/>
                <w:w w:val="91"/>
              </w:rPr>
              <w:t>Exhibit 8.1</w:t>
            </w:r>
          </w:p>
        </w:tc>
      </w:tr>
      <w:tr>
        <w:trPr>
          <w:trHeight w:val="648"/>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80" w:type="dxa"/>
            <w:vAlign w:val="bottom"/>
            <w:gridSpan w:val="3"/>
          </w:tcPr>
          <w:p>
            <w:pPr>
              <w:ind w:left="860"/>
              <w:spacing w:after="0"/>
              <w:rPr>
                <w:sz w:val="20"/>
                <w:szCs w:val="20"/>
                <w:color w:val="auto"/>
              </w:rPr>
            </w:pPr>
            <w:r>
              <w:rPr>
                <w:rFonts w:ascii="Arial" w:cs="Arial" w:eastAsia="Arial" w:hAnsi="Arial"/>
                <w:sz w:val="18"/>
                <w:szCs w:val="18"/>
                <w:b w:val="1"/>
                <w:bCs w:val="1"/>
                <w:color w:val="auto"/>
              </w:rPr>
              <w:t>LIST OF SIGNIFICANT SUBSIDIARIES</w:t>
            </w:r>
          </w:p>
        </w:tc>
        <w:tc>
          <w:tcPr>
            <w:tcW w:w="3520" w:type="dxa"/>
            <w:vAlign w:val="bottom"/>
          </w:tcPr>
          <w:p>
            <w:pPr>
              <w:spacing w:after="0"/>
              <w:rPr>
                <w:sz w:val="24"/>
                <w:szCs w:val="24"/>
                <w:color w:val="auto"/>
              </w:rPr>
            </w:pPr>
          </w:p>
        </w:tc>
      </w:tr>
      <w:tr>
        <w:trPr>
          <w:trHeight w:val="405"/>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900" w:type="dxa"/>
            <w:vAlign w:val="bottom"/>
          </w:tcPr>
          <w:p>
            <w:pPr>
              <w:spacing w:after="0"/>
              <w:rPr>
                <w:sz w:val="24"/>
                <w:szCs w:val="2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Jurisdiction of Incorporation</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3"/>
              </w:rPr>
              <w:t>Proportion of Ownership Interest</w:t>
            </w: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Capital Product</w:t>
            </w: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L.L.C</w:t>
            </w:r>
          </w:p>
        </w:tc>
        <w:tc>
          <w:tcPr>
            <w:tcW w:w="90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Republic of The Marshall Islands</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Crude Carriers Corp.</w:t>
            </w:r>
          </w:p>
        </w:tc>
        <w:tc>
          <w:tcPr>
            <w:tcW w:w="900" w:type="dxa"/>
            <w:vAlign w:val="bottom"/>
          </w:tcPr>
          <w:p>
            <w:pPr>
              <w:spacing w:after="0"/>
              <w:rPr>
                <w:sz w:val="20"/>
                <w:szCs w:val="2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Republic of The Marshall Islands</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420"/>
          </w:cols>
          <w:pgMar w:left="240" w:top="121" w:right="2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Gerasimos (Jerry) Kalogiratos, certify that:</w:t>
      </w:r>
    </w:p>
    <w:p>
      <w:pPr>
        <w:spacing w:after="0" w:line="117" w:lineRule="exact"/>
        <w:rPr>
          <w:sz w:val="20"/>
          <w:szCs w:val="20"/>
          <w:color w:val="auto"/>
        </w:rPr>
      </w:pPr>
    </w:p>
    <w:p>
      <w:pPr>
        <w:ind w:left="640" w:hanging="176"/>
        <w:spacing w:after="0"/>
        <w:tabs>
          <w:tab w:leader="none" w:pos="64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117" w:lineRule="exact"/>
        <w:rPr>
          <w:rFonts w:ascii="Arial" w:cs="Arial" w:eastAsia="Arial" w:hAnsi="Arial"/>
          <w:sz w:val="18"/>
          <w:szCs w:val="18"/>
          <w:color w:val="auto"/>
        </w:rPr>
      </w:pPr>
    </w:p>
    <w:p>
      <w:pPr>
        <w:ind w:left="460" w:right="300" w:firstLine="4"/>
        <w:spacing w:after="0" w:line="264" w:lineRule="auto"/>
        <w:tabs>
          <w:tab w:leader="none" w:pos="64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260" w:firstLine="4"/>
        <w:spacing w:after="0" w:line="308" w:lineRule="auto"/>
        <w:tabs>
          <w:tab w:leader="none" w:pos="64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left="460" w:right="60" w:firstLine="4"/>
        <w:spacing w:after="0" w:line="264" w:lineRule="auto"/>
        <w:tabs>
          <w:tab w:leader="none" w:pos="64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6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6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62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342" w:lineRule="auto"/>
        <w:tabs>
          <w:tab w:leader="none" w:pos="1175" w:val="left"/>
        </w:tabs>
        <w:numPr>
          <w:ilvl w:val="1"/>
          <w:numId w:val="62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420"/>
          </w:cols>
          <w:pgMar w:left="240" w:top="121" w:right="239" w:bottom="1440" w:gutter="0" w:footer="0" w:header="0"/>
        </w:sectPr>
      </w:pPr>
    </w:p>
    <w:bookmarkStart w:id="399" w:name="page400"/>
    <w:bookmarkEnd w:id="399"/>
    <w:p>
      <w:pPr>
        <w:ind w:left="460" w:firstLine="4"/>
        <w:spacing w:after="0" w:line="308" w:lineRule="auto"/>
        <w:tabs>
          <w:tab w:leader="none" w:pos="640" w:val="left"/>
        </w:tabs>
        <w:numPr>
          <w:ilvl w:val="0"/>
          <w:numId w:val="6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620" w:firstLine="1"/>
        <w:spacing w:after="0" w:line="308" w:lineRule="auto"/>
        <w:tabs>
          <w:tab w:leader="none" w:pos="1165" w:val="left"/>
        </w:tabs>
        <w:numPr>
          <w:ilvl w:val="1"/>
          <w:numId w:val="6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340" w:firstLine="1"/>
        <w:spacing w:after="0" w:line="277" w:lineRule="auto"/>
        <w:tabs>
          <w:tab w:leader="none" w:pos="1165" w:val="left"/>
        </w:tabs>
        <w:numPr>
          <w:ilvl w:val="1"/>
          <w:numId w:val="6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2018</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80"/>
          </w:cols>
          <w:pgMar w:left="240" w:top="274" w:right="37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Nikolaos Kalapotharakos, certify that:</w:t>
      </w:r>
    </w:p>
    <w:p>
      <w:pPr>
        <w:spacing w:after="0" w:line="117" w:lineRule="exact"/>
        <w:rPr>
          <w:sz w:val="20"/>
          <w:szCs w:val="20"/>
          <w:color w:val="auto"/>
        </w:rPr>
      </w:pPr>
    </w:p>
    <w:p>
      <w:pPr>
        <w:ind w:left="640" w:hanging="176"/>
        <w:spacing w:after="0"/>
        <w:tabs>
          <w:tab w:leader="none" w:pos="64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117" w:lineRule="exact"/>
        <w:rPr>
          <w:rFonts w:ascii="Arial" w:cs="Arial" w:eastAsia="Arial" w:hAnsi="Arial"/>
          <w:sz w:val="18"/>
          <w:szCs w:val="18"/>
          <w:color w:val="auto"/>
        </w:rPr>
      </w:pPr>
    </w:p>
    <w:p>
      <w:pPr>
        <w:ind w:left="460" w:right="300" w:firstLine="4"/>
        <w:spacing w:after="0" w:line="264" w:lineRule="auto"/>
        <w:tabs>
          <w:tab w:leader="none" w:pos="64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260" w:firstLine="4"/>
        <w:spacing w:after="0" w:line="308" w:lineRule="auto"/>
        <w:tabs>
          <w:tab w:leader="none" w:pos="640" w:val="left"/>
        </w:tabs>
        <w:numPr>
          <w:ilvl w:val="0"/>
          <w:numId w:val="6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left="460" w:right="60" w:firstLine="4"/>
        <w:spacing w:after="0" w:line="264" w:lineRule="auto"/>
        <w:tabs>
          <w:tab w:leader="none" w:pos="64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6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6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62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342" w:lineRule="auto"/>
        <w:tabs>
          <w:tab w:leader="none" w:pos="1175" w:val="left"/>
        </w:tabs>
        <w:numPr>
          <w:ilvl w:val="1"/>
          <w:numId w:val="62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420"/>
          </w:cols>
          <w:pgMar w:left="240" w:top="121" w:right="239" w:bottom="1440" w:gutter="0" w:footer="0" w:header="0"/>
        </w:sectPr>
      </w:pPr>
    </w:p>
    <w:bookmarkStart w:id="401" w:name="page402"/>
    <w:bookmarkEnd w:id="401"/>
    <w:p>
      <w:pPr>
        <w:ind w:left="460" w:firstLine="4"/>
        <w:spacing w:after="0" w:line="308" w:lineRule="auto"/>
        <w:tabs>
          <w:tab w:leader="none" w:pos="640" w:val="left"/>
        </w:tabs>
        <w:numPr>
          <w:ilvl w:val="0"/>
          <w:numId w:val="6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620" w:firstLine="1"/>
        <w:spacing w:after="0" w:line="308" w:lineRule="auto"/>
        <w:tabs>
          <w:tab w:leader="none" w:pos="1165" w:val="left"/>
        </w:tabs>
        <w:numPr>
          <w:ilvl w:val="1"/>
          <w:numId w:val="6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340" w:firstLine="1"/>
        <w:spacing w:after="0" w:line="277" w:lineRule="auto"/>
        <w:tabs>
          <w:tab w:leader="none" w:pos="1165" w:val="left"/>
        </w:tabs>
        <w:numPr>
          <w:ilvl w:val="1"/>
          <w:numId w:val="6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2018</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Nikolaos Kalapotharakos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80"/>
          </w:cols>
          <w:pgMar w:left="240" w:top="274" w:right="37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2017 as filed with the Securities and Exchange Commission on the date hereof (the “Report”), the undersigned officer of the Company certifies pursuant to 18 U.S.C. Section 1350, as adopted pursuant to Section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40" w:firstLine="8"/>
        <w:spacing w:after="0" w:line="516" w:lineRule="auto"/>
        <w:tabs>
          <w:tab w:leader="none" w:pos="18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5, 2018</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2017 as filed with the Securities and Exchange Commission on the date hereof (the “Report”), the undersigned officer of the Company certifies pursuant to 18 U.S.C. Section 1350, as adopted pursuant to Section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40" w:firstLine="8"/>
        <w:spacing w:after="0" w:line="516" w:lineRule="auto"/>
        <w:tabs>
          <w:tab w:leader="none" w:pos="18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5, 2018</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Nikolaos Kalapotharakos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21" w:right="2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333-210394 on Form F-3 of our reports dated March 5, 2018, relating to the consolidated financial statements of Capital Product Partners L.P. (the “Partnership”), and the effectiveness of the Partnership’s internal control over financial reporting, appearing in this Annual Report on Form 20-F of the Partnership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8FABF9"/>
    <w:multiLevelType w:val="hybridMultilevel"/>
    <w:lvl w:ilvl="0">
      <w:lvlJc w:val="left"/>
      <w:lvlText w:val="☐"/>
      <w:numFmt w:val="bullet"/>
      <w:start w:val="1"/>
    </w:lvl>
  </w:abstractNum>
  <w:abstractNum w:abstractNumId="1">
    <w:nsid w:val="7775797C"/>
    <w:multiLevelType w:val="hybridMultilevel"/>
    <w:lvl w:ilvl="0">
      <w:lvlJc w:val="left"/>
      <w:lvlText w:val="☒"/>
      <w:numFmt w:val="bullet"/>
      <w:start w:val="1"/>
    </w:lvl>
  </w:abstractNum>
  <w:abstractNum w:abstractNumId="2">
    <w:nsid w:val="1626FB8C"/>
    <w:multiLevelType w:val="hybridMultilevel"/>
    <w:lvl w:ilvl="0">
      <w:lvlJc w:val="left"/>
      <w:lvlText w:val="☐"/>
      <w:numFmt w:val="bullet"/>
      <w:start w:val="1"/>
    </w:lvl>
  </w:abstractNum>
  <w:abstractNum w:abstractNumId="3">
    <w:nsid w:val="3957756A"/>
    <w:multiLevelType w:val="hybridMultilevel"/>
    <w:lvl w:ilvl="0">
      <w:lvlJc w:val="left"/>
      <w:lvlText w:val="☐"/>
      <w:numFmt w:val="bullet"/>
      <w:start w:val="1"/>
    </w:lvl>
  </w:abstractNum>
  <w:abstractNum w:abstractNumId="4">
    <w:nsid w:val="3E6DA1C7"/>
    <w:multiLevelType w:val="hybridMultilevel"/>
    <w:lvl w:ilvl="0">
      <w:lvlJc w:val="left"/>
      <w:lvlText w:val="†"/>
      <w:numFmt w:val="bullet"/>
      <w:start w:val="1"/>
    </w:lvl>
  </w:abstractNum>
  <w:abstractNum w:abstractNumId="5">
    <w:nsid w:val="65CA235B"/>
    <w:multiLevelType w:val="hybridMultilevel"/>
    <w:lvl w:ilvl="0">
      <w:lvlJc w:val="left"/>
      <w:lvlText w:val="•"/>
      <w:numFmt w:val="bullet"/>
      <w:start w:val="1"/>
    </w:lvl>
  </w:abstractNum>
  <w:abstractNum w:abstractNumId="6">
    <w:nsid w:val="51CB0DA4"/>
    <w:multiLevelType w:val="hybridMultilevel"/>
    <w:lvl w:ilvl="0">
      <w:lvlJc w:val="left"/>
      <w:lvlText w:val="•"/>
      <w:numFmt w:val="bullet"/>
      <w:start w:val="1"/>
    </w:lvl>
  </w:abstractNum>
  <w:abstractNum w:abstractNumId="7">
    <w:nsid w:val="7B9B743C"/>
    <w:multiLevelType w:val="hybridMultilevel"/>
    <w:lvl w:ilvl="0">
      <w:lvlJc w:val="left"/>
      <w:lvlText w:val="•"/>
      <w:numFmt w:val="bullet"/>
      <w:start w:val="1"/>
    </w:lvl>
  </w:abstractNum>
  <w:abstractNum w:abstractNumId="8">
    <w:nsid w:val="13E21002"/>
    <w:multiLevelType w:val="hybridMultilevel"/>
    <w:lvl w:ilvl="0">
      <w:lvlJc w:val="left"/>
      <w:lvlText w:val="%1."/>
      <w:numFmt w:val="upperLetter"/>
      <w:start w:val="1"/>
    </w:lvl>
  </w:abstractNum>
  <w:abstractNum w:abstractNumId="9">
    <w:nsid w:val="257D63F4"/>
    <w:multiLevelType w:val="hybridMultilevel"/>
    <w:lvl w:ilvl="0">
      <w:lvlJc w:val="left"/>
      <w:lvlText w:val="(%1)"/>
      <w:numFmt w:val="decimal"/>
      <w:start w:val="1"/>
    </w:lvl>
  </w:abstractNum>
  <w:abstractNum w:abstractNumId="10">
    <w:nsid w:val="70EC11B2"/>
    <w:multiLevelType w:val="hybridMultilevel"/>
    <w:lvl w:ilvl="0">
      <w:lvlJc w:val="left"/>
      <w:lvlText w:val="(%1)"/>
      <w:numFmt w:val="decimal"/>
      <w:start w:val="5"/>
    </w:lvl>
  </w:abstractNum>
  <w:abstractNum w:abstractNumId="11">
    <w:nsid w:val="2EDA00ED"/>
    <w:multiLevelType w:val="hybridMultilevel"/>
    <w:lvl w:ilvl="0">
      <w:lvlJc w:val="left"/>
      <w:lvlText w:val="%1."/>
      <w:numFmt w:val="upperLetter"/>
      <w:start w:val="2"/>
    </w:lvl>
  </w:abstractNum>
  <w:abstractNum w:abstractNumId="12">
    <w:nsid w:val="73209072"/>
    <w:multiLevelType w:val="hybridMultilevel"/>
    <w:lvl w:ilvl="0">
      <w:lvlJc w:val="left"/>
      <w:lvlText w:val="•"/>
      <w:numFmt w:val="bullet"/>
      <w:start w:val="1"/>
    </w:lvl>
  </w:abstractNum>
  <w:abstractNum w:abstractNumId="13">
    <w:nsid w:val="5FB29816"/>
    <w:multiLevelType w:val="hybridMultilevel"/>
    <w:lvl w:ilvl="0">
      <w:lvlJc w:val="left"/>
      <w:lvlText w:val="•"/>
      <w:numFmt w:val="bullet"/>
      <w:start w:val="1"/>
    </w:lvl>
  </w:abstractNum>
  <w:abstractNum w:abstractNumId="14">
    <w:nsid w:val="3CE732EC"/>
    <w:multiLevelType w:val="hybridMultilevel"/>
    <w:lvl w:ilvl="0">
      <w:lvlJc w:val="left"/>
      <w:lvlText w:val="•"/>
      <w:numFmt w:val="bullet"/>
      <w:start w:val="1"/>
    </w:lvl>
  </w:abstractNum>
  <w:abstractNum w:abstractNumId="15">
    <w:nsid w:val="22F13DF3"/>
    <w:multiLevelType w:val="hybridMultilevel"/>
    <w:lvl w:ilvl="0">
      <w:lvlJc w:val="left"/>
      <w:lvlText w:val="•"/>
      <w:numFmt w:val="bullet"/>
      <w:start w:val="1"/>
    </w:lvl>
  </w:abstractNum>
  <w:abstractNum w:abstractNumId="16">
    <w:nsid w:val="792B8401"/>
    <w:multiLevelType w:val="hybridMultilevel"/>
    <w:lvl w:ilvl="0">
      <w:lvlJc w:val="left"/>
      <w:lvlText w:val="•"/>
      <w:numFmt w:val="bullet"/>
      <w:start w:val="1"/>
    </w:lvl>
  </w:abstractNum>
  <w:abstractNum w:abstractNumId="17">
    <w:nsid w:val="FA85F4D"/>
    <w:multiLevelType w:val="hybridMultilevel"/>
    <w:lvl w:ilvl="0">
      <w:lvlJc w:val="left"/>
      <w:lvlText w:val="•"/>
      <w:numFmt w:val="bullet"/>
      <w:start w:val="1"/>
    </w:lvl>
  </w:abstractNum>
  <w:abstractNum w:abstractNumId="18">
    <w:nsid w:val="6ECE91F0"/>
    <w:multiLevelType w:val="hybridMultilevel"/>
    <w:lvl w:ilvl="0">
      <w:lvlJc w:val="left"/>
      <w:lvlText w:val="•"/>
      <w:numFmt w:val="bullet"/>
      <w:start w:val="1"/>
    </w:lvl>
  </w:abstractNum>
  <w:abstractNum w:abstractNumId="19">
    <w:nsid w:val="4FC4D600"/>
    <w:multiLevelType w:val="hybridMultilevel"/>
    <w:lvl w:ilvl="0">
      <w:lvlJc w:val="left"/>
      <w:lvlText w:val="•"/>
      <w:numFmt w:val="bullet"/>
      <w:start w:val="1"/>
    </w:lvl>
  </w:abstractNum>
  <w:abstractNum w:abstractNumId="20">
    <w:nsid w:val="5BFD4210"/>
    <w:multiLevelType w:val="hybridMultilevel"/>
    <w:lvl w:ilvl="0">
      <w:lvlJc w:val="left"/>
      <w:lvlText w:val="•"/>
      <w:numFmt w:val="bullet"/>
      <w:start w:val="1"/>
    </w:lvl>
  </w:abstractNum>
  <w:abstractNum w:abstractNumId="21">
    <w:nsid w:val="76574F8B"/>
    <w:multiLevelType w:val="hybridMultilevel"/>
    <w:lvl w:ilvl="0">
      <w:lvlJc w:val="left"/>
      <w:lvlText w:val="•"/>
      <w:numFmt w:val="bullet"/>
      <w:start w:val="1"/>
    </w:lvl>
  </w:abstractNum>
  <w:abstractNum w:abstractNumId="22">
    <w:nsid w:val="178F7B67"/>
    <w:multiLevelType w:val="hybridMultilevel"/>
    <w:lvl w:ilvl="0">
      <w:lvlJc w:val="left"/>
      <w:lvlText w:val="•"/>
      <w:numFmt w:val="bullet"/>
      <w:start w:val="1"/>
    </w:lvl>
  </w:abstractNum>
  <w:abstractNum w:abstractNumId="23">
    <w:nsid w:val="2421DFCF"/>
    <w:multiLevelType w:val="hybridMultilevel"/>
    <w:lvl w:ilvl="0">
      <w:lvlJc w:val="left"/>
      <w:lvlText w:val="•"/>
      <w:numFmt w:val="bullet"/>
      <w:start w:val="1"/>
    </w:lvl>
  </w:abstractNum>
  <w:abstractNum w:abstractNumId="24">
    <w:nsid w:val="1565AC99"/>
    <w:multiLevelType w:val="hybridMultilevel"/>
    <w:lvl w:ilvl="0">
      <w:lvlJc w:val="left"/>
      <w:lvlText w:val="•"/>
      <w:numFmt w:val="bullet"/>
      <w:start w:val="1"/>
    </w:lvl>
  </w:abstractNum>
  <w:abstractNum w:abstractNumId="25">
    <w:nsid w:val="19FB2650"/>
    <w:multiLevelType w:val="hybridMultilevel"/>
    <w:lvl w:ilvl="0">
      <w:lvlJc w:val="left"/>
      <w:lvlText w:val="•"/>
      <w:numFmt w:val="bullet"/>
      <w:start w:val="1"/>
    </w:lvl>
  </w:abstractNum>
  <w:abstractNum w:abstractNumId="26">
    <w:nsid w:val="5024DE5B"/>
    <w:multiLevelType w:val="hybridMultilevel"/>
    <w:lvl w:ilvl="0">
      <w:lvlJc w:val="left"/>
      <w:lvlText w:val="•"/>
      <w:numFmt w:val="bullet"/>
      <w:start w:val="1"/>
    </w:lvl>
  </w:abstractNum>
  <w:abstractNum w:abstractNumId="27">
    <w:nsid w:val="168EFE17"/>
    <w:multiLevelType w:val="hybridMultilevel"/>
    <w:lvl w:ilvl="0">
      <w:lvlJc w:val="left"/>
      <w:lvlText w:val="•"/>
      <w:numFmt w:val="bullet"/>
      <w:start w:val="1"/>
    </w:lvl>
  </w:abstractNum>
  <w:abstractNum w:abstractNumId="28">
    <w:nsid w:val="1036B29F"/>
    <w:multiLevelType w:val="hybridMultilevel"/>
    <w:lvl w:ilvl="0">
      <w:lvlJc w:val="left"/>
      <w:lvlText w:val="(%1)"/>
      <w:numFmt w:val="lowerRoman"/>
      <w:start w:val="2"/>
    </w:lvl>
  </w:abstractNum>
  <w:abstractNum w:abstractNumId="29">
    <w:nsid w:val="1D206B8E"/>
    <w:multiLevelType w:val="hybridMultilevel"/>
    <w:lvl w:ilvl="0">
      <w:lvlJc w:val="left"/>
      <w:lvlText w:val="(%1)"/>
      <w:numFmt w:val="decimal"/>
      <w:start w:val="1"/>
    </w:lvl>
  </w:abstractNum>
  <w:abstractNum w:abstractNumId="30">
    <w:nsid w:val="7934D3D4"/>
    <w:multiLevelType w:val="hybridMultilevel"/>
    <w:lvl w:ilvl="0">
      <w:lvlJc w:val="left"/>
      <w:lvlText w:val="•"/>
      <w:numFmt w:val="bullet"/>
      <w:start w:val="1"/>
    </w:lvl>
  </w:abstractNum>
  <w:abstractNum w:abstractNumId="31">
    <w:nsid w:val="1C65E98"/>
    <w:multiLevelType w:val="hybridMultilevel"/>
    <w:lvl w:ilvl="0">
      <w:lvlJc w:val="left"/>
      <w:lvlText w:val="•"/>
      <w:numFmt w:val="bullet"/>
      <w:start w:val="1"/>
    </w:lvl>
  </w:abstractNum>
  <w:abstractNum w:abstractNumId="32">
    <w:nsid w:val="1495E50A"/>
    <w:multiLevelType w:val="hybridMultilevel"/>
    <w:lvl w:ilvl="0">
      <w:lvlJc w:val="left"/>
      <w:lvlText w:val="•"/>
      <w:numFmt w:val="bullet"/>
      <w:start w:val="1"/>
    </w:lvl>
  </w:abstractNum>
  <w:abstractNum w:abstractNumId="33">
    <w:nsid w:val="F5BCF61"/>
    <w:multiLevelType w:val="hybridMultilevel"/>
    <w:lvl w:ilvl="0">
      <w:lvlJc w:val="left"/>
      <w:lvlText w:val="•"/>
      <w:numFmt w:val="bullet"/>
      <w:start w:val="1"/>
    </w:lvl>
  </w:abstractNum>
  <w:abstractNum w:abstractNumId="34">
    <w:nsid w:val="3B1DD403"/>
    <w:multiLevelType w:val="hybridMultilevel"/>
    <w:lvl w:ilvl="0">
      <w:lvlJc w:val="left"/>
      <w:lvlText w:val="•"/>
      <w:numFmt w:val="bullet"/>
      <w:start w:val="1"/>
    </w:lvl>
  </w:abstractNum>
  <w:abstractNum w:abstractNumId="35">
    <w:nsid w:val="530386D1"/>
    <w:multiLevelType w:val="hybridMultilevel"/>
    <w:lvl w:ilvl="0">
      <w:lvlJc w:val="left"/>
      <w:lvlText w:val="•"/>
      <w:numFmt w:val="bullet"/>
      <w:start w:val="1"/>
    </w:lvl>
  </w:abstractNum>
  <w:abstractNum w:abstractNumId="36">
    <w:nsid w:val="7525F2BC"/>
    <w:multiLevelType w:val="hybridMultilevel"/>
    <w:lvl w:ilvl="0">
      <w:lvlJc w:val="left"/>
      <w:lvlText w:val="•"/>
      <w:numFmt w:val="bullet"/>
      <w:start w:val="1"/>
    </w:lvl>
  </w:abstractNum>
  <w:abstractNum w:abstractNumId="37">
    <w:nsid w:val="CE8E1A7"/>
    <w:multiLevelType w:val="hybridMultilevel"/>
    <w:lvl w:ilvl="0">
      <w:lvlJc w:val="left"/>
      <w:lvlText w:val="•"/>
      <w:numFmt w:val="bullet"/>
      <w:start w:val="1"/>
    </w:lvl>
  </w:abstractNum>
  <w:abstractNum w:abstractNumId="38">
    <w:nsid w:val="4E9EFB0D"/>
    <w:multiLevelType w:val="hybridMultilevel"/>
    <w:lvl w:ilvl="0">
      <w:lvlJc w:val="left"/>
      <w:lvlText w:val="•"/>
      <w:numFmt w:val="bullet"/>
      <w:start w:val="1"/>
    </w:lvl>
  </w:abstractNum>
  <w:abstractNum w:abstractNumId="39">
    <w:nsid w:val="90802BE"/>
    <w:multiLevelType w:val="hybridMultilevel"/>
    <w:lvl w:ilvl="0">
      <w:lvlJc w:val="left"/>
      <w:lvlText w:val="•"/>
      <w:numFmt w:val="bullet"/>
      <w:start w:val="1"/>
    </w:lvl>
  </w:abstractNum>
  <w:abstractNum w:abstractNumId="40">
    <w:nsid w:val="3266459B"/>
    <w:multiLevelType w:val="hybridMultilevel"/>
    <w:lvl w:ilvl="0">
      <w:lvlJc w:val="left"/>
      <w:lvlText w:val="•"/>
      <w:numFmt w:val="bullet"/>
      <w:start w:val="1"/>
    </w:lvl>
  </w:abstractNum>
  <w:abstractNum w:abstractNumId="41">
    <w:nsid w:val="3F8B0CBF"/>
    <w:multiLevelType w:val="hybridMultilevel"/>
    <w:lvl w:ilvl="0">
      <w:lvlJc w:val="left"/>
      <w:lvlText w:val="•"/>
      <w:numFmt w:val="bullet"/>
      <w:start w:val="1"/>
    </w:lvl>
  </w:abstractNum>
  <w:abstractNum w:abstractNumId="42">
    <w:nsid w:val="37E203AB"/>
    <w:multiLevelType w:val="hybridMultilevel"/>
    <w:lvl w:ilvl="0">
      <w:lvlJc w:val="left"/>
      <w:lvlText w:val="•"/>
      <w:numFmt w:val="bullet"/>
      <w:start w:val="1"/>
    </w:lvl>
  </w:abstractNum>
  <w:abstractNum w:abstractNumId="43">
    <w:nsid w:val="2586D60E"/>
    <w:multiLevelType w:val="hybridMultilevel"/>
    <w:lvl w:ilvl="0">
      <w:lvlJc w:val="left"/>
      <w:lvlText w:val="•"/>
      <w:numFmt w:val="bullet"/>
      <w:start w:val="1"/>
    </w:lvl>
  </w:abstractNum>
  <w:abstractNum w:abstractNumId="44">
    <w:nsid w:val="1F3DA4D5"/>
    <w:multiLevelType w:val="hybridMultilevel"/>
    <w:lvl w:ilvl="0">
      <w:lvlJc w:val="left"/>
      <w:lvlText w:val="•"/>
      <w:numFmt w:val="bullet"/>
      <w:start w:val="1"/>
    </w:lvl>
  </w:abstractNum>
  <w:abstractNum w:abstractNumId="45">
    <w:nsid w:val="74C93698"/>
    <w:multiLevelType w:val="hybridMultilevel"/>
    <w:lvl w:ilvl="0">
      <w:lvlJc w:val="left"/>
      <w:lvlText w:val="•"/>
      <w:numFmt w:val="bullet"/>
      <w:start w:val="1"/>
    </w:lvl>
  </w:abstractNum>
  <w:abstractNum w:abstractNumId="46">
    <w:nsid w:val="48781401"/>
    <w:multiLevelType w:val="hybridMultilevel"/>
    <w:lvl w:ilvl="0">
      <w:lvlJc w:val="left"/>
      <w:lvlText w:val="•"/>
      <w:numFmt w:val="bullet"/>
      <w:start w:val="1"/>
    </w:lvl>
  </w:abstractNum>
  <w:abstractNum w:abstractNumId="47">
    <w:nsid w:val="186928D6"/>
    <w:multiLevelType w:val="hybridMultilevel"/>
    <w:lvl w:ilvl="0">
      <w:lvlJc w:val="left"/>
      <w:lvlText w:val="•"/>
      <w:numFmt w:val="bullet"/>
      <w:start w:val="1"/>
    </w:lvl>
  </w:abstractNum>
  <w:abstractNum w:abstractNumId="48">
    <w:nsid w:val="47195E5"/>
    <w:multiLevelType w:val="hybridMultilevel"/>
    <w:lvl w:ilvl="0">
      <w:lvlJc w:val="left"/>
      <w:lvlText w:val="•"/>
      <w:numFmt w:val="bullet"/>
      <w:start w:val="1"/>
    </w:lvl>
  </w:abstractNum>
  <w:abstractNum w:abstractNumId="49">
    <w:nsid w:val="3746A5F2"/>
    <w:multiLevelType w:val="hybridMultilevel"/>
    <w:lvl w:ilvl="0">
      <w:lvlJc w:val="left"/>
      <w:lvlText w:val="•"/>
      <w:numFmt w:val="bullet"/>
      <w:start w:val="1"/>
    </w:lvl>
  </w:abstractNum>
  <w:abstractNum w:abstractNumId="50">
    <w:nsid w:val="682DFED6"/>
    <w:multiLevelType w:val="hybridMultilevel"/>
    <w:lvl w:ilvl="0">
      <w:lvlJc w:val="left"/>
      <w:lvlText w:val="(%1)"/>
      <w:numFmt w:val="lowerLetter"/>
      <w:start w:val="25"/>
    </w:lvl>
  </w:abstractNum>
  <w:abstractNum w:abstractNumId="51">
    <w:nsid w:val="606ED7F6"/>
    <w:multiLevelType w:val="hybridMultilevel"/>
    <w:lvl w:ilvl="0">
      <w:lvlJc w:val="left"/>
      <w:lvlText w:val="%1."/>
      <w:numFmt w:val="upperLetter"/>
      <w:start w:val="1"/>
    </w:lvl>
  </w:abstractNum>
  <w:abstractNum w:abstractNumId="52">
    <w:nsid w:val="2D9DF57D"/>
    <w:multiLevelType w:val="hybridMultilevel"/>
    <w:lvl w:ilvl="0">
      <w:lvlJc w:val="left"/>
      <w:lvlText w:val="%1)"/>
      <w:numFmt w:val="upperLetter"/>
      <w:start w:val="35"/>
    </w:lvl>
  </w:abstractNum>
  <w:abstractNum w:abstractNumId="53">
    <w:nsid w:val="7FBD7A3E"/>
    <w:multiLevelType w:val="hybridMultilevel"/>
    <w:lvl w:ilvl="0">
      <w:lvlJc w:val="left"/>
      <w:lvlText w:val="•"/>
      <w:numFmt w:val="bullet"/>
      <w:start w:val="1"/>
    </w:lvl>
  </w:abstractNum>
  <w:abstractNum w:abstractNumId="54">
    <w:nsid w:val="490B7C5"/>
    <w:multiLevelType w:val="hybridMultilevel"/>
    <w:lvl w:ilvl="0">
      <w:lvlJc w:val="left"/>
      <w:lvlText w:val="%1."/>
      <w:numFmt w:val="upperLetter"/>
      <w:start w:val="2"/>
    </w:lvl>
  </w:abstractNum>
  <w:abstractNum w:abstractNumId="55">
    <w:nsid w:val="4303A216"/>
    <w:multiLevelType w:val="hybridMultilevel"/>
    <w:lvl w:ilvl="0">
      <w:lvlJc w:val="left"/>
      <w:lvlText w:val="•"/>
      <w:numFmt w:val="bullet"/>
      <w:start w:val="1"/>
    </w:lvl>
  </w:abstractNum>
  <w:abstractNum w:abstractNumId="56">
    <w:nsid w:val="19B8A08E"/>
    <w:multiLevelType w:val="hybridMultilevel"/>
    <w:lvl w:ilvl="0">
      <w:lvlJc w:val="left"/>
      <w:lvlText w:val="•"/>
      <w:numFmt w:val="bullet"/>
      <w:start w:val="1"/>
    </w:lvl>
  </w:abstractNum>
  <w:abstractNum w:abstractNumId="57">
    <w:nsid w:val="54B59621"/>
    <w:multiLevelType w:val="hybridMultilevel"/>
    <w:lvl w:ilvl="0">
      <w:lvlJc w:val="left"/>
      <w:lvlText w:val="•"/>
      <w:numFmt w:val="bullet"/>
      <w:start w:val="1"/>
    </w:lvl>
  </w:abstractNum>
  <w:abstractNum w:abstractNumId="58">
    <w:nsid w:val="5992A02E"/>
    <w:multiLevelType w:val="hybridMultilevel"/>
    <w:lvl w:ilvl="0">
      <w:lvlJc w:val="left"/>
      <w:lvlText w:val="•"/>
      <w:numFmt w:val="bullet"/>
      <w:start w:val="1"/>
    </w:lvl>
  </w:abstractNum>
  <w:abstractNum w:abstractNumId="59">
    <w:nsid w:val="29EF532D"/>
    <w:multiLevelType w:val="hybridMultilevel"/>
    <w:lvl w:ilvl="0">
      <w:lvlJc w:val="left"/>
      <w:lvlText w:val="•"/>
      <w:numFmt w:val="bullet"/>
      <w:start w:val="1"/>
    </w:lvl>
  </w:abstractNum>
  <w:abstractNum w:abstractNumId="60">
    <w:nsid w:val="71D601AF"/>
    <w:multiLevelType w:val="hybridMultilevel"/>
    <w:lvl w:ilvl="0">
      <w:lvlJc w:val="left"/>
      <w:lvlText w:val="(%1)"/>
      <w:numFmt w:val="decimal"/>
      <w:start w:val="1"/>
    </w:lvl>
  </w:abstractNum>
  <w:abstractNum w:abstractNumId="61">
    <w:nsid w:val="52C77402"/>
    <w:multiLevelType w:val="hybridMultilevel"/>
    <w:lvl w:ilvl="0">
      <w:lvlJc w:val="left"/>
      <w:lvlText w:val="(%1)"/>
      <w:numFmt w:val="decimal"/>
      <w:start w:val="9"/>
    </w:lvl>
  </w:abstractNum>
  <w:abstractNum w:abstractNumId="62">
    <w:nsid w:val="2BB5B1C6"/>
    <w:multiLevelType w:val="hybridMultilevel"/>
    <w:lvl w:ilvl="0">
      <w:lvlJc w:val="left"/>
      <w:lvlText w:val="*"/>
      <w:numFmt w:val="bullet"/>
      <w:start w:val="1"/>
    </w:lvl>
  </w:abstractNum>
  <w:abstractNum w:abstractNumId="63">
    <w:nsid w:val="66BE6B9"/>
    <w:multiLevelType w:val="hybridMultilevel"/>
    <w:lvl w:ilvl="0">
      <w:lvlJc w:val="left"/>
      <w:lvlText w:val="(%1)"/>
      <w:numFmt w:val="decimal"/>
      <w:start w:val="1"/>
    </w:lvl>
  </w:abstractNum>
  <w:abstractNum w:abstractNumId="64">
    <w:nsid w:val="62234363"/>
    <w:multiLevelType w:val="hybridMultilevel"/>
    <w:lvl w:ilvl="0">
      <w:lvlJc w:val="left"/>
      <w:lvlText w:val="•"/>
      <w:numFmt w:val="bullet"/>
      <w:start w:val="1"/>
    </w:lvl>
  </w:abstractNum>
  <w:abstractNum w:abstractNumId="65">
    <w:nsid w:val="66D385C9"/>
    <w:multiLevelType w:val="hybridMultilevel"/>
    <w:lvl w:ilvl="0">
      <w:lvlJc w:val="left"/>
      <w:lvlText w:val="•"/>
      <w:numFmt w:val="bullet"/>
      <w:start w:val="1"/>
    </w:lvl>
  </w:abstractNum>
  <w:abstractNum w:abstractNumId="66">
    <w:nsid w:val="596F6D8A"/>
    <w:multiLevelType w:val="hybridMultilevel"/>
    <w:lvl w:ilvl="0">
      <w:lvlJc w:val="left"/>
      <w:lvlText w:val="•"/>
      <w:numFmt w:val="bullet"/>
      <w:start w:val="1"/>
    </w:lvl>
  </w:abstractNum>
  <w:abstractNum w:abstractNumId="67">
    <w:nsid w:val="5749361F"/>
    <w:multiLevelType w:val="hybridMultilevel"/>
    <w:lvl w:ilvl="0">
      <w:lvlJc w:val="left"/>
      <w:lvlText w:val="*"/>
      <w:numFmt w:val="bullet"/>
      <w:start w:val="1"/>
    </w:lvl>
  </w:abstractNum>
  <w:abstractNum w:abstractNumId="68">
    <w:nsid w:val="73BC6770"/>
    <w:multiLevelType w:val="hybridMultilevel"/>
    <w:lvl w:ilvl="0">
      <w:lvlJc w:val="left"/>
      <w:lvlText w:val="%1."/>
      <w:numFmt w:val="upperLetter"/>
      <w:start w:val="3"/>
    </w:lvl>
  </w:abstractNum>
  <w:abstractNum w:abstractNumId="69">
    <w:nsid w:val="280E6897"/>
    <w:multiLevelType w:val="hybridMultilevel"/>
    <w:lvl w:ilvl="0">
      <w:lvlJc w:val="left"/>
      <w:lvlText w:val="%1."/>
      <w:numFmt w:val="upperLetter"/>
      <w:start w:val="4"/>
    </w:lvl>
  </w:abstractNum>
  <w:abstractNum w:abstractNumId="70">
    <w:nsid w:val="605138DE"/>
    <w:multiLevelType w:val="hybridMultilevel"/>
    <w:lvl w:ilvl="0">
      <w:lvlJc w:val="left"/>
      <w:lvlText w:val="%1."/>
      <w:numFmt w:val="upperLetter"/>
      <w:start w:val="1"/>
    </w:lvl>
  </w:abstractNum>
  <w:abstractNum w:abstractNumId="71">
    <w:nsid w:val="2622AD0C"/>
    <w:multiLevelType w:val="hybridMultilevel"/>
    <w:lvl w:ilvl="0">
      <w:lvlJc w:val="left"/>
      <w:lvlText w:val="•"/>
      <w:numFmt w:val="bullet"/>
      <w:start w:val="1"/>
    </w:lvl>
  </w:abstractNum>
  <w:abstractNum w:abstractNumId="72">
    <w:nsid w:val="67997556"/>
    <w:multiLevelType w:val="hybridMultilevel"/>
    <w:lvl w:ilvl="0">
      <w:lvlJc w:val="left"/>
      <w:lvlText w:val="•"/>
      <w:numFmt w:val="bullet"/>
      <w:start w:val="1"/>
    </w:lvl>
  </w:abstractNum>
  <w:abstractNum w:abstractNumId="73">
    <w:nsid w:val="18333C89"/>
    <w:multiLevelType w:val="hybridMultilevel"/>
    <w:lvl w:ilvl="0">
      <w:lvlJc w:val="left"/>
      <w:lvlText w:val="•"/>
      <w:numFmt w:val="bullet"/>
      <w:start w:val="1"/>
    </w:lvl>
  </w:abstractNum>
  <w:abstractNum w:abstractNumId="74">
    <w:nsid w:val="4BA9831A"/>
    <w:multiLevelType w:val="hybridMultilevel"/>
    <w:lvl w:ilvl="0">
      <w:lvlJc w:val="left"/>
      <w:lvlText w:val="•"/>
      <w:numFmt w:val="bullet"/>
      <w:start w:val="1"/>
    </w:lvl>
  </w:abstractNum>
  <w:abstractNum w:abstractNumId="75">
    <w:nsid w:val="6D71A2B"/>
    <w:multiLevelType w:val="hybridMultilevel"/>
    <w:lvl w:ilvl="0">
      <w:lvlJc w:val="left"/>
      <w:lvlText w:val="%1."/>
      <w:numFmt w:val="upperLetter"/>
      <w:start w:val="2"/>
    </w:lvl>
  </w:abstractNum>
  <w:abstractNum w:abstractNumId="76">
    <w:nsid w:val="CFC7321"/>
    <w:multiLevelType w:val="hybridMultilevel"/>
    <w:lvl w:ilvl="0">
      <w:lvlJc w:val="left"/>
      <w:lvlText w:val="(%1)"/>
      <w:numFmt w:val="decimal"/>
      <w:start w:val="1"/>
    </w:lvl>
  </w:abstractNum>
  <w:abstractNum w:abstractNumId="77">
    <w:nsid w:val="1421971B"/>
    <w:multiLevelType w:val="hybridMultilevel"/>
    <w:lvl w:ilvl="0">
      <w:lvlJc w:val="left"/>
      <w:lvlText w:val="(%1)"/>
      <w:numFmt w:val="lowerRoman"/>
      <w:start w:val="2"/>
    </w:lvl>
  </w:abstractNum>
  <w:abstractNum w:abstractNumId="78">
    <w:nsid w:val="1F404301"/>
    <w:multiLevelType w:val="hybridMultilevel"/>
    <w:lvl w:ilvl="0">
      <w:lvlJc w:val="left"/>
      <w:lvlText w:val="%1."/>
      <w:numFmt w:val="upperLetter"/>
      <w:start w:val="5"/>
    </w:lvl>
  </w:abstractNum>
  <w:abstractNum w:abstractNumId="79">
    <w:nsid w:val="116E0907"/>
    <w:multiLevelType w:val="hybridMultilevel"/>
    <w:lvl w:ilvl="0">
      <w:lvlJc w:val="left"/>
      <w:lvlText w:val="%1."/>
      <w:numFmt w:val="upperLetter"/>
      <w:start w:val="6"/>
    </w:lvl>
  </w:abstractNum>
  <w:abstractNum w:abstractNumId="80">
    <w:nsid w:val="4B683D0D"/>
    <w:multiLevelType w:val="hybridMultilevel"/>
    <w:lvl w:ilvl="0">
      <w:lvlJc w:val="left"/>
      <w:lvlText w:val="(%1)"/>
      <w:numFmt w:val="decimal"/>
      <w:start w:val="1"/>
    </w:lvl>
  </w:abstractNum>
  <w:abstractNum w:abstractNumId="81">
    <w:nsid w:val="76E41D8"/>
    <w:multiLevelType w:val="hybridMultilevel"/>
    <w:lvl w:ilvl="0">
      <w:lvlJc w:val="left"/>
      <w:lvlText w:val="(%1)"/>
      <w:numFmt w:val="decimal"/>
      <w:start w:val="2"/>
    </w:lvl>
  </w:abstractNum>
  <w:abstractNum w:abstractNumId="82">
    <w:nsid w:val="71DCE0FD"/>
    <w:multiLevelType w:val="hybridMultilevel"/>
    <w:lvl w:ilvl="0">
      <w:lvlJc w:val="left"/>
      <w:lvlText w:val="•"/>
      <w:numFmt w:val="bullet"/>
      <w:start w:val="1"/>
    </w:lvl>
  </w:abstractNum>
  <w:abstractNum w:abstractNumId="83">
    <w:nsid w:val="7906328B"/>
    <w:multiLevelType w:val="hybridMultilevel"/>
    <w:lvl w:ilvl="0">
      <w:lvlJc w:val="left"/>
      <w:lvlText w:val="•"/>
      <w:numFmt w:val="bullet"/>
      <w:start w:val="1"/>
    </w:lvl>
    <w:lvl w:ilvl="1">
      <w:lvlJc w:val="left"/>
      <w:lvlText w:val="•"/>
      <w:numFmt w:val="bullet"/>
      <w:start w:val="1"/>
    </w:lvl>
  </w:abstractNum>
  <w:abstractNum w:abstractNumId="84">
    <w:nsid w:val="72BBC16"/>
    <w:multiLevelType w:val="hybridMultilevel"/>
    <w:lvl w:ilvl="0">
      <w:lvlJc w:val="left"/>
      <w:lvlText w:val="%1."/>
      <w:numFmt w:val="upperLetter"/>
      <w:start w:val="1"/>
    </w:lvl>
  </w:abstractNum>
  <w:abstractNum w:abstractNumId="85">
    <w:nsid w:val="766D98C2"/>
    <w:multiLevelType w:val="hybridMultilevel"/>
    <w:lvl w:ilvl="0">
      <w:lvlJc w:val="left"/>
      <w:lvlText w:val="(%1)"/>
      <w:numFmt w:val="decimal"/>
      <w:start w:val="1"/>
    </w:lvl>
  </w:abstractNum>
  <w:abstractNum w:abstractNumId="86">
    <w:nsid w:val="3C09D4A1"/>
    <w:multiLevelType w:val="hybridMultilevel"/>
    <w:lvl w:ilvl="0">
      <w:lvlJc w:val="left"/>
      <w:lvlText w:val="%1."/>
      <w:numFmt w:val="upperLetter"/>
      <w:start w:val="2"/>
    </w:lvl>
  </w:abstractNum>
  <w:abstractNum w:abstractNumId="87">
    <w:nsid w:val="20E45CA4"/>
    <w:multiLevelType w:val="hybridMultilevel"/>
    <w:lvl w:ilvl="0">
      <w:lvlJc w:val="left"/>
      <w:lvlText w:val="%1."/>
      <w:numFmt w:val="upperLetter"/>
      <w:start w:val="3"/>
    </w:lvl>
  </w:abstractNum>
  <w:abstractNum w:abstractNumId="88">
    <w:nsid w:val="4B232EE3"/>
    <w:multiLevelType w:val="hybridMultilevel"/>
    <w:lvl w:ilvl="0">
      <w:lvlJc w:val="left"/>
      <w:lvlText w:val="%1."/>
      <w:numFmt w:val="upperLetter"/>
      <w:start w:val="4"/>
    </w:lvl>
  </w:abstractNum>
  <w:abstractNum w:abstractNumId="89">
    <w:nsid w:val="159C74CF"/>
    <w:multiLevelType w:val="hybridMultilevel"/>
    <w:lvl w:ilvl="0">
      <w:lvlJc w:val="left"/>
      <w:lvlText w:val="%1."/>
      <w:numFmt w:val="upperLetter"/>
      <w:start w:val="5"/>
    </w:lvl>
  </w:abstractNum>
  <w:abstractNum w:abstractNumId="90">
    <w:nsid w:val="4AD3AFD2"/>
    <w:multiLevelType w:val="hybridMultilevel"/>
    <w:lvl w:ilvl="0">
      <w:lvlJc w:val="left"/>
      <w:lvlText w:val="•"/>
      <w:numFmt w:val="bullet"/>
      <w:start w:val="1"/>
    </w:lvl>
  </w:abstractNum>
  <w:abstractNum w:abstractNumId="91">
    <w:nsid w:val="3CF93092"/>
    <w:multiLevelType w:val="hybridMultilevel"/>
    <w:lvl w:ilvl="0">
      <w:lvlJc w:val="left"/>
      <w:lvlText w:val="%1."/>
      <w:numFmt w:val="upperLetter"/>
      <w:start w:val="1"/>
    </w:lvl>
  </w:abstractNum>
  <w:abstractNum w:abstractNumId="92">
    <w:nsid w:val="6863E8D2"/>
    <w:multiLevelType w:val="hybridMultilevel"/>
    <w:lvl w:ilvl="0">
      <w:lvlJc w:val="left"/>
      <w:lvlText w:val="(%1)"/>
      <w:numFmt w:val="decimal"/>
      <w:start w:val="1"/>
    </w:lvl>
  </w:abstractNum>
  <w:abstractNum w:abstractNumId="93">
    <w:nsid w:val="76896198"/>
    <w:multiLevelType w:val="hybridMultilevel"/>
    <w:lvl w:ilvl="0">
      <w:lvlJc w:val="left"/>
      <w:lvlText w:val="%1."/>
      <w:numFmt w:val="upperLetter"/>
      <w:start w:val="2"/>
    </w:lvl>
  </w:abstractNum>
  <w:abstractNum w:abstractNumId="94">
    <w:nsid w:val="4365174B"/>
    <w:multiLevelType w:val="hybridMultilevel"/>
    <w:lvl w:ilvl="0">
      <w:lvlJc w:val="left"/>
      <w:lvlText w:val="%1."/>
      <w:numFmt w:val="decimal"/>
      <w:start w:val="1"/>
    </w:lvl>
  </w:abstractNum>
  <w:abstractNum w:abstractNumId="95">
    <w:nsid w:val="4A872C35"/>
    <w:multiLevelType w:val="hybridMultilevel"/>
    <w:lvl w:ilvl="0">
      <w:lvlJc w:val="left"/>
      <w:lvlText w:val="%1."/>
      <w:numFmt w:val="decimal"/>
      <w:start w:val="1"/>
    </w:lvl>
  </w:abstractNum>
  <w:abstractNum w:abstractNumId="96">
    <w:nsid w:val="5D5CE761"/>
    <w:multiLevelType w:val="hybridMultilevel"/>
    <w:lvl w:ilvl="0">
      <w:lvlJc w:val="left"/>
      <w:lvlText w:val="%1."/>
      <w:numFmt w:val="decimal"/>
      <w:start w:val="4"/>
    </w:lvl>
  </w:abstractNum>
  <w:abstractNum w:abstractNumId="97">
    <w:nsid w:val="1CD484D5"/>
    <w:multiLevelType w:val="hybridMultilevel"/>
    <w:lvl w:ilvl="0">
      <w:lvlJc w:val="left"/>
      <w:lvlText w:val="%1."/>
      <w:numFmt w:val="decimal"/>
      <w:start w:val="1"/>
    </w:lvl>
  </w:abstractNum>
  <w:abstractNum w:abstractNumId="98">
    <w:nsid w:val="21D06255"/>
    <w:multiLevelType w:val="hybridMultilevel"/>
    <w:lvl w:ilvl="0">
      <w:lvlJc w:val="left"/>
      <w:lvlText w:val="•"/>
      <w:numFmt w:val="bullet"/>
      <w:start w:val="1"/>
    </w:lvl>
  </w:abstractNum>
  <w:abstractNum w:abstractNumId="99">
    <w:nsid w:val="51194ED1"/>
    <w:multiLevelType w:val="hybridMultilevel"/>
    <w:lvl w:ilvl="0">
      <w:lvlJc w:val="left"/>
      <w:lvlText w:val="•"/>
      <w:numFmt w:val="bullet"/>
      <w:start w:val="1"/>
    </w:lvl>
  </w:abstractNum>
  <w:abstractNum w:abstractNumId="100">
    <w:nsid w:val="44E2ED6C"/>
    <w:multiLevelType w:val="hybridMultilevel"/>
    <w:lvl w:ilvl="0">
      <w:lvlJc w:val="left"/>
      <w:lvlText w:val="•"/>
      <w:numFmt w:val="bullet"/>
      <w:start w:val="1"/>
    </w:lvl>
  </w:abstractNum>
  <w:abstractNum w:abstractNumId="101">
    <w:nsid w:val="2219B33"/>
    <w:multiLevelType w:val="hybridMultilevel"/>
    <w:lvl w:ilvl="0">
      <w:lvlJc w:val="left"/>
      <w:lvlText w:val="•"/>
      <w:numFmt w:val="bullet"/>
      <w:start w:val="1"/>
    </w:lvl>
  </w:abstractNum>
  <w:abstractNum w:abstractNumId="102">
    <w:nsid w:val="773BFBDD"/>
    <w:multiLevelType w:val="hybridMultilevel"/>
    <w:lvl w:ilvl="0">
      <w:lvlJc w:val="left"/>
      <w:lvlText w:val="%1."/>
      <w:numFmt w:val="upperLetter"/>
      <w:start w:val="3"/>
    </w:lvl>
  </w:abstractNum>
  <w:abstractNum w:abstractNumId="103">
    <w:nsid w:val="2C7C62C2"/>
    <w:multiLevelType w:val="hybridMultilevel"/>
    <w:lvl w:ilvl="0">
      <w:lvlJc w:val="left"/>
      <w:lvlText w:val="%1."/>
      <w:numFmt w:val="upperLetter"/>
      <w:start w:val="1"/>
    </w:lvl>
  </w:abstractNum>
  <w:abstractNum w:abstractNumId="104">
    <w:nsid w:val="1A54D7BC"/>
    <w:multiLevelType w:val="hybridMultilevel"/>
    <w:lvl w:ilvl="0">
      <w:lvlJc w:val="left"/>
      <w:lvlText w:val="•"/>
      <w:numFmt w:val="bullet"/>
      <w:start w:val="1"/>
    </w:lvl>
  </w:abstractNum>
  <w:abstractNum w:abstractNumId="105">
    <w:nsid w:val="42E57EF7"/>
    <w:multiLevelType w:val="hybridMultilevel"/>
    <w:lvl w:ilvl="0">
      <w:lvlJc w:val="left"/>
      <w:lvlText w:val="•"/>
      <w:numFmt w:val="bullet"/>
      <w:start w:val="1"/>
    </w:lvl>
  </w:abstractNum>
  <w:abstractNum w:abstractNumId="106">
    <w:nsid w:val="33537CED"/>
    <w:multiLevelType w:val="hybridMultilevel"/>
    <w:lvl w:ilvl="0">
      <w:lvlJc w:val="left"/>
      <w:lvlText w:val="•"/>
      <w:numFmt w:val="bullet"/>
      <w:start w:val="1"/>
    </w:lvl>
  </w:abstractNum>
  <w:abstractNum w:abstractNumId="107">
    <w:nsid w:val="27514ADE"/>
    <w:multiLevelType w:val="hybridMultilevel"/>
    <w:lvl w:ilvl="0">
      <w:lvlJc w:val="left"/>
      <w:lvlText w:val="•"/>
      <w:numFmt w:val="bullet"/>
      <w:start w:val="1"/>
    </w:lvl>
  </w:abstractNum>
  <w:abstractNum w:abstractNumId="108">
    <w:nsid w:val="57071613"/>
    <w:multiLevelType w:val="hybridMultilevel"/>
    <w:lvl w:ilvl="0">
      <w:lvlJc w:val="left"/>
      <w:lvlText w:val="•"/>
      <w:numFmt w:val="bullet"/>
      <w:start w:val="1"/>
    </w:lvl>
  </w:abstractNum>
  <w:abstractNum w:abstractNumId="109">
    <w:nsid w:val="5293BFEF"/>
    <w:multiLevelType w:val="hybridMultilevel"/>
    <w:lvl w:ilvl="0">
      <w:lvlJc w:val="left"/>
      <w:lvlText w:val="•"/>
      <w:numFmt w:val="bullet"/>
      <w:start w:val="1"/>
    </w:lvl>
    <w:lvl w:ilvl="1">
      <w:lvlJc w:val="left"/>
      <w:lvlText w:val="(%2)"/>
      <w:numFmt w:val="decimal"/>
      <w:start w:val="2"/>
    </w:lvl>
  </w:abstractNum>
  <w:abstractNum w:abstractNumId="110">
    <w:nsid w:val="38BF53E5"/>
    <w:multiLevelType w:val="hybridMultilevel"/>
    <w:lvl w:ilvl="0">
      <w:lvlJc w:val="left"/>
      <w:lvlText w:val="•"/>
      <w:numFmt w:val="bullet"/>
      <w:start w:val="1"/>
    </w:lvl>
  </w:abstractNum>
  <w:abstractNum w:abstractNumId="111">
    <w:nsid w:val="226F5320"/>
    <w:multiLevelType w:val="hybridMultilevel"/>
    <w:lvl w:ilvl="0">
      <w:lvlJc w:val="left"/>
      <w:lvlText w:val="•"/>
      <w:numFmt w:val="bullet"/>
      <w:start w:val="1"/>
    </w:lvl>
  </w:abstractNum>
  <w:abstractNum w:abstractNumId="112">
    <w:nsid w:val="5A0201C7"/>
    <w:multiLevelType w:val="hybridMultilevel"/>
    <w:lvl w:ilvl="0">
      <w:lvlJc w:val="left"/>
      <w:lvlText w:val="•"/>
      <w:numFmt w:val="bullet"/>
      <w:start w:val="1"/>
    </w:lvl>
  </w:abstractNum>
  <w:abstractNum w:abstractNumId="113">
    <w:nsid w:val="2A9C34E2"/>
    <w:multiLevelType w:val="hybridMultilevel"/>
    <w:lvl w:ilvl="0">
      <w:lvlJc w:val="left"/>
      <w:lvlText w:val="•"/>
      <w:numFmt w:val="bullet"/>
      <w:start w:val="1"/>
    </w:lvl>
    <w:lvl w:ilvl="1">
      <w:lvlJc w:val="left"/>
      <w:lvlText w:val="•"/>
      <w:numFmt w:val="bullet"/>
      <w:start w:val="1"/>
    </w:lvl>
  </w:abstractNum>
  <w:abstractNum w:abstractNumId="114">
    <w:nsid w:val="1B7585AB"/>
    <w:multiLevelType w:val="hybridMultilevel"/>
    <w:lvl w:ilvl="0">
      <w:lvlJc w:val="left"/>
      <w:lvlText w:val="(%1)"/>
      <w:numFmt w:val="decimal"/>
      <w:start w:val="1"/>
    </w:lvl>
  </w:abstractNum>
  <w:abstractNum w:abstractNumId="115">
    <w:nsid w:val="612DBDDD"/>
    <w:multiLevelType w:val="hybridMultilevel"/>
    <w:lvl w:ilvl="0">
      <w:lvlJc w:val="left"/>
      <w:lvlText w:val="•"/>
      <w:numFmt w:val="bullet"/>
      <w:start w:val="1"/>
    </w:lvl>
  </w:abstractNum>
  <w:abstractNum w:abstractNumId="116">
    <w:nsid w:val="2109CDA4"/>
    <w:multiLevelType w:val="hybridMultilevel"/>
    <w:lvl w:ilvl="0">
      <w:lvlJc w:val="left"/>
      <w:lvlText w:val="•"/>
      <w:numFmt w:val="bullet"/>
      <w:start w:val="1"/>
    </w:lvl>
  </w:abstractNum>
  <w:abstractNum w:abstractNumId="117">
    <w:nsid w:val="577F5A4D"/>
    <w:multiLevelType w:val="hybridMultilevel"/>
    <w:lvl w:ilvl="0">
      <w:lvlJc w:val="left"/>
      <w:lvlText w:val="•"/>
      <w:numFmt w:val="bullet"/>
      <w:start w:val="1"/>
    </w:lvl>
  </w:abstractNum>
  <w:abstractNum w:abstractNumId="118">
    <w:nsid w:val="2121A81"/>
    <w:multiLevelType w:val="hybridMultilevel"/>
    <w:lvl w:ilvl="0">
      <w:lvlJc w:val="left"/>
      <w:lvlText w:val="•"/>
      <w:numFmt w:val="bullet"/>
      <w:start w:val="1"/>
    </w:lvl>
  </w:abstractNum>
  <w:abstractNum w:abstractNumId="119">
    <w:nsid w:val="6C2CFC88"/>
    <w:multiLevelType w:val="hybridMultilevel"/>
    <w:lvl w:ilvl="0">
      <w:lvlJc w:val="left"/>
      <w:lvlText w:val="•"/>
      <w:numFmt w:val="bullet"/>
      <w:start w:val="1"/>
    </w:lvl>
  </w:abstractNum>
  <w:abstractNum w:abstractNumId="120">
    <w:nsid w:val="6D1BCF1C"/>
    <w:multiLevelType w:val="hybridMultilevel"/>
    <w:lvl w:ilvl="0">
      <w:lvlJc w:val="left"/>
      <w:lvlText w:val="•"/>
      <w:numFmt w:val="bullet"/>
      <w:start w:val="1"/>
    </w:lvl>
  </w:abstractNum>
  <w:abstractNum w:abstractNumId="121">
    <w:nsid w:val="4CE5CA53"/>
    <w:multiLevelType w:val="hybridMultilevel"/>
    <w:lvl w:ilvl="0">
      <w:lvlJc w:val="left"/>
      <w:lvlText w:val="•"/>
      <w:numFmt w:val="bullet"/>
      <w:start w:val="1"/>
    </w:lvl>
  </w:abstractNum>
  <w:abstractNum w:abstractNumId="122">
    <w:nsid w:val="29262D1A"/>
    <w:multiLevelType w:val="hybridMultilevel"/>
    <w:lvl w:ilvl="0">
      <w:lvlJc w:val="left"/>
      <w:lvlText w:val="%1."/>
      <w:numFmt w:val="upperLetter"/>
      <w:start w:val="2"/>
    </w:lvl>
  </w:abstractNum>
  <w:abstractNum w:abstractNumId="123">
    <w:nsid w:val="557FB7EE"/>
    <w:multiLevelType w:val="hybridMultilevel"/>
    <w:lvl w:ilvl="0">
      <w:lvlJc w:val="left"/>
      <w:lvlText w:val="%1."/>
      <w:numFmt w:val="upperLetter"/>
      <w:start w:val="1"/>
    </w:lvl>
  </w:abstractNum>
  <w:abstractNum w:abstractNumId="124">
    <w:nsid w:val="436F2BEB"/>
    <w:multiLevelType w:val="hybridMultilevel"/>
    <w:lvl w:ilvl="0">
      <w:lvlJc w:val="left"/>
      <w:lvlText w:val="%1."/>
      <w:numFmt w:val="upperLetter"/>
      <w:start w:val="2"/>
    </w:lvl>
  </w:abstractNum>
  <w:abstractNum w:abstractNumId="125">
    <w:nsid w:val="6C8B4466"/>
    <w:multiLevelType w:val="hybridMultilevel"/>
    <w:lvl w:ilvl="0">
      <w:lvlJc w:val="left"/>
      <w:lvlText w:val="•"/>
      <w:numFmt w:val="bullet"/>
      <w:start w:val="1"/>
    </w:lvl>
  </w:abstractNum>
  <w:abstractNum w:abstractNumId="126">
    <w:nsid w:val="2006E424"/>
    <w:multiLevelType w:val="hybridMultilevel"/>
    <w:lvl w:ilvl="0">
      <w:lvlJc w:val="left"/>
      <w:lvlText w:val="%1."/>
      <w:numFmt w:val="decimal"/>
      <w:start w:val="1"/>
    </w:lvl>
  </w:abstractNum>
  <w:abstractNum w:abstractNumId="127">
    <w:nsid w:val="20CC134C"/>
    <w:multiLevelType w:val="hybridMultilevel"/>
    <w:lvl w:ilvl="0">
      <w:lvlJc w:val="left"/>
      <w:lvlText w:val="%1."/>
      <w:numFmt w:val="decimal"/>
      <w:start w:val="1"/>
    </w:lvl>
  </w:abstractNum>
  <w:abstractNum w:abstractNumId="128">
    <w:nsid w:val="95FC93B"/>
    <w:multiLevelType w:val="hybridMultilevel"/>
    <w:lvl w:ilvl="0">
      <w:lvlJc w:val="left"/>
      <w:lvlText w:val="%1."/>
      <w:numFmt w:val="decimal"/>
      <w:start w:val="5"/>
    </w:lvl>
  </w:abstractNum>
  <w:abstractNum w:abstractNumId="129">
    <w:nsid w:val="41D74679"/>
    <w:multiLevelType w:val="hybridMultilevel"/>
    <w:lvl w:ilvl="0">
      <w:lvlJc w:val="left"/>
      <w:lvlText w:val="%1."/>
      <w:numFmt w:val="decimal"/>
      <w:start w:val="1"/>
    </w:lvl>
  </w:abstractNum>
  <w:abstractNum w:abstractNumId="130">
    <w:nsid w:val="71E5621E"/>
    <w:multiLevelType w:val="hybridMultilevel"/>
    <w:lvl w:ilvl="0">
      <w:lvlJc w:val="left"/>
      <w:lvlText w:val="%1."/>
      <w:numFmt w:val="decimal"/>
      <w:start w:val="1"/>
    </w:lvl>
  </w:abstractNum>
  <w:abstractNum w:abstractNumId="131">
    <w:nsid w:val="4E42B6A8"/>
    <w:multiLevelType w:val="hybridMultilevel"/>
    <w:lvl w:ilvl="0">
      <w:lvlJc w:val="left"/>
      <w:lvlText w:val="%1."/>
      <w:numFmt w:val="decimal"/>
      <w:start w:val="5"/>
    </w:lvl>
  </w:abstractNum>
  <w:abstractNum w:abstractNumId="132">
    <w:nsid w:val="43F8E1AC"/>
    <w:multiLevelType w:val="hybridMultilevel"/>
    <w:lvl w:ilvl="0">
      <w:lvlJc w:val="left"/>
      <w:lvlText w:val="•"/>
      <w:numFmt w:val="bullet"/>
      <w:start w:val="1"/>
    </w:lvl>
  </w:abstractNum>
  <w:abstractNum w:abstractNumId="133">
    <w:nsid w:val="69215DFB"/>
    <w:multiLevelType w:val="hybridMultilevel"/>
    <w:lvl w:ilvl="0">
      <w:lvlJc w:val="left"/>
      <w:lvlText w:val="•"/>
      <w:numFmt w:val="bullet"/>
      <w:start w:val="1"/>
    </w:lvl>
  </w:abstractNum>
  <w:abstractNum w:abstractNumId="134">
    <w:nsid w:val="7ABF196A"/>
    <w:multiLevelType w:val="hybridMultilevel"/>
    <w:lvl w:ilvl="0">
      <w:lvlJc w:val="left"/>
      <w:lvlText w:val="•"/>
      <w:numFmt w:val="bullet"/>
      <w:start w:val="1"/>
    </w:lvl>
  </w:abstractNum>
  <w:abstractNum w:abstractNumId="135">
    <w:nsid w:val="5E4DB968"/>
    <w:multiLevelType w:val="hybridMultilevel"/>
    <w:lvl w:ilvl="0">
      <w:lvlJc w:val="left"/>
      <w:lvlText w:val="•"/>
      <w:numFmt w:val="bullet"/>
      <w:start w:val="1"/>
    </w:lvl>
  </w:abstractNum>
  <w:abstractNum w:abstractNumId="136">
    <w:nsid w:val="2C06DCF3"/>
    <w:multiLevelType w:val="hybridMultilevel"/>
    <w:lvl w:ilvl="0">
      <w:lvlJc w:val="left"/>
      <w:lvlText w:val="%1."/>
      <w:numFmt w:val="upperLetter"/>
      <w:start w:val="3"/>
    </w:lvl>
  </w:abstractNum>
  <w:abstractNum w:abstractNumId="137">
    <w:nsid w:val="2E129658"/>
    <w:multiLevelType w:val="hybridMultilevel"/>
    <w:lvl w:ilvl="0">
      <w:lvlJc w:val="left"/>
      <w:lvlText w:val="•"/>
      <w:numFmt w:val="bullet"/>
      <w:start w:val="1"/>
    </w:lvl>
  </w:abstractNum>
  <w:abstractNum w:abstractNumId="138">
    <w:nsid w:val="59F0446"/>
    <w:multiLevelType w:val="hybridMultilevel"/>
    <w:lvl w:ilvl="0">
      <w:lvlJc w:val="left"/>
      <w:lvlText w:val="%1."/>
      <w:numFmt w:val="upperLetter"/>
      <w:start w:val="4"/>
    </w:lvl>
  </w:abstractNum>
  <w:abstractNum w:abstractNumId="139">
    <w:nsid w:val="30DF306"/>
    <w:multiLevelType w:val="hybridMultilevel"/>
    <w:lvl w:ilvl="0">
      <w:lvlJc w:val="left"/>
      <w:lvlText w:val="%1."/>
      <w:numFmt w:val="upperLetter"/>
      <w:start w:val="5"/>
    </w:lvl>
  </w:abstractNum>
  <w:abstractNum w:abstractNumId="140">
    <w:nsid w:val="A65647"/>
    <w:multiLevelType w:val="hybridMultilevel"/>
    <w:lvl w:ilvl="0">
      <w:lvlJc w:val="left"/>
      <w:lvlText w:val="•"/>
      <w:numFmt w:val="bullet"/>
      <w:start w:val="1"/>
    </w:lvl>
  </w:abstractNum>
  <w:abstractNum w:abstractNumId="141">
    <w:nsid w:val="3E5E582B"/>
    <w:multiLevelType w:val="hybridMultilevel"/>
    <w:lvl w:ilvl="0">
      <w:lvlJc w:val="left"/>
      <w:lvlText w:val="•"/>
      <w:numFmt w:val="bullet"/>
      <w:start w:val="1"/>
    </w:lvl>
  </w:abstractNum>
  <w:abstractNum w:abstractNumId="142">
    <w:nsid w:val="257D4626"/>
    <w:multiLevelType w:val="hybridMultilevel"/>
    <w:lvl w:ilvl="0">
      <w:lvlJc w:val="left"/>
      <w:lvlText w:val="•"/>
      <w:numFmt w:val="bullet"/>
      <w:start w:val="1"/>
    </w:lvl>
  </w:abstractNum>
  <w:abstractNum w:abstractNumId="143">
    <w:nsid w:val="5AA8580E"/>
    <w:multiLevelType w:val="hybridMultilevel"/>
    <w:lvl w:ilvl="0">
      <w:lvlJc w:val="left"/>
      <w:lvlText w:val="•"/>
      <w:numFmt w:val="bullet"/>
      <w:start w:val="1"/>
    </w:lvl>
  </w:abstractNum>
  <w:abstractNum w:abstractNumId="144">
    <w:nsid w:val="68FA8D0D"/>
    <w:multiLevelType w:val="hybridMultilevel"/>
    <w:lvl w:ilvl="0">
      <w:lvlJc w:val="left"/>
      <w:lvlText w:val="•"/>
      <w:numFmt w:val="bullet"/>
      <w:start w:val="1"/>
    </w:lvl>
  </w:abstractNum>
  <w:abstractNum w:abstractNumId="145">
    <w:nsid w:val="40F2CBD2"/>
    <w:multiLevelType w:val="hybridMultilevel"/>
    <w:lvl w:ilvl="0">
      <w:lvlJc w:val="left"/>
      <w:lvlText w:val="%1."/>
      <w:numFmt w:val="upperLetter"/>
      <w:start w:val="6"/>
    </w:lvl>
  </w:abstractNum>
  <w:abstractNum w:abstractNumId="146">
    <w:nsid w:val="3BD615EB"/>
    <w:multiLevelType w:val="hybridMultilevel"/>
    <w:lvl w:ilvl="0">
      <w:lvlJc w:val="left"/>
      <w:lvlText w:val="%1."/>
      <w:numFmt w:val="upperLetter"/>
      <w:start w:val="7"/>
    </w:lvl>
  </w:abstractNum>
  <w:abstractNum w:abstractNumId="147">
    <w:nsid w:val="A045AB2"/>
    <w:multiLevelType w:val="hybridMultilevel"/>
    <w:lvl w:ilvl="0">
      <w:lvlJc w:val="left"/>
      <w:lvlText w:val="%1."/>
      <w:numFmt w:val="upperLetter"/>
      <w:start w:val="8"/>
    </w:lvl>
  </w:abstractNum>
  <w:abstractNum w:abstractNumId="148">
    <w:nsid w:val="1872261F"/>
    <w:multiLevelType w:val="hybridMultilevel"/>
    <w:lvl w:ilvl="0">
      <w:lvlJc w:val="left"/>
      <w:lvlText w:val="%1."/>
      <w:numFmt w:val="upperLetter"/>
      <w:start w:val="9"/>
    </w:lvl>
  </w:abstractNum>
  <w:abstractNum w:abstractNumId="149">
    <w:nsid w:val="3DE8306C"/>
    <w:multiLevelType w:val="hybridMultilevel"/>
    <w:lvl w:ilvl="0">
      <w:lvlJc w:val="left"/>
      <w:lvlText w:val="%1."/>
      <w:numFmt w:val="upperLetter"/>
      <w:start w:val="1"/>
    </w:lvl>
  </w:abstractNum>
  <w:abstractNum w:abstractNumId="150">
    <w:nsid w:val="7631573A"/>
    <w:multiLevelType w:val="hybridMultilevel"/>
    <w:lvl w:ilvl="0">
      <w:lvlJc w:val="left"/>
      <w:lvlText w:val="%1."/>
      <w:numFmt w:val="upperLetter"/>
      <w:start w:val="2"/>
    </w:lvl>
  </w:abstractNum>
  <w:abstractNum w:abstractNumId="151">
    <w:nsid w:val="58DF53B"/>
    <w:multiLevelType w:val="hybridMultilevel"/>
    <w:lvl w:ilvl="0">
      <w:lvlJc w:val="left"/>
      <w:lvlText w:val="%1."/>
      <w:numFmt w:val="upperLetter"/>
      <w:start w:val="3"/>
    </w:lvl>
  </w:abstractNum>
  <w:abstractNum w:abstractNumId="152">
    <w:nsid w:val="ACDFAC0"/>
    <w:multiLevelType w:val="hybridMultilevel"/>
    <w:lvl w:ilvl="0">
      <w:lvlJc w:val="left"/>
      <w:lvlText w:val="%1."/>
      <w:numFmt w:val="upperLetter"/>
      <w:start w:val="4"/>
    </w:lvl>
  </w:abstractNum>
  <w:abstractNum w:abstractNumId="153">
    <w:nsid w:val="1F578454"/>
    <w:multiLevelType w:val="hybridMultilevel"/>
    <w:lvl w:ilvl="0">
      <w:lvlJc w:val="left"/>
      <w:lvlText w:val="(%1)"/>
      <w:numFmt w:val="decimal"/>
      <w:start w:val="1"/>
    </w:lvl>
  </w:abstractNum>
  <w:abstractNum w:abstractNumId="154">
    <w:nsid w:val="5B0DAD2A"/>
    <w:multiLevelType w:val="hybridMultilevel"/>
    <w:lvl w:ilvl="0">
      <w:lvlJc w:val="left"/>
      <w:lvlText w:val="(%1)"/>
      <w:numFmt w:val="decimal"/>
      <w:start w:val="1"/>
    </w:lvl>
  </w:abstractNum>
  <w:abstractNum w:abstractNumId="155">
    <w:nsid w:val="4E3D26AB"/>
    <w:multiLevelType w:val="hybridMultilevel"/>
    <w:lvl w:ilvl="0">
      <w:lvlJc w:val="left"/>
      <w:lvlText w:val="*"/>
      <w:numFmt w:val="bullet"/>
      <w:start w:val="1"/>
    </w:lvl>
  </w:abstractNum>
  <w:abstractNum w:abstractNumId="156">
    <w:nsid w:val="BE2C8BA"/>
    <w:multiLevelType w:val="hybridMultilevel"/>
    <w:lvl w:ilvl="0">
      <w:lvlJc w:val="left"/>
      <w:lvlText w:val="**"/>
      <w:numFmt w:val="bullet"/>
      <w:start w:val="1"/>
    </w:lvl>
  </w:abstractNum>
  <w:abstractNum w:abstractNumId="157">
    <w:nsid w:val="7B14914E"/>
    <w:multiLevelType w:val="hybridMultilevel"/>
    <w:lvl w:ilvl="0">
      <w:lvlJc w:val="left"/>
      <w:lvlText w:val="(%1)"/>
      <w:numFmt w:val="decimal"/>
      <w:start w:val="1"/>
    </w:lvl>
  </w:abstractNum>
  <w:abstractNum w:abstractNumId="158">
    <w:nsid w:val="6F0939F8"/>
    <w:multiLevelType w:val="hybridMultilevel"/>
    <w:lvl w:ilvl="0">
      <w:lvlJc w:val="left"/>
      <w:lvlText w:val="(%1)"/>
      <w:numFmt w:val="lowerLetter"/>
      <w:start w:val="1"/>
    </w:lvl>
    <w:lvl w:ilvl="1">
      <w:lvlJc w:val="left"/>
      <w:lvlText w:val="•"/>
      <w:numFmt w:val="bullet"/>
      <w:start w:val="1"/>
    </w:lvl>
  </w:abstractNum>
  <w:abstractNum w:abstractNumId="159">
    <w:nsid w:val="154291F6"/>
    <w:multiLevelType w:val="hybridMultilevel"/>
    <w:lvl w:ilvl="0">
      <w:lvlJc w:val="left"/>
      <w:lvlText w:val="(%1)"/>
      <w:numFmt w:val="lowerLetter"/>
      <w:start w:val="4"/>
    </w:lvl>
  </w:abstractNum>
  <w:abstractNum w:abstractNumId="160">
    <w:nsid w:val="3CEBD7C7"/>
    <w:multiLevelType w:val="hybridMultilevel"/>
    <w:lvl w:ilvl="0">
      <w:lvlJc w:val="left"/>
      <w:lvlText w:val="(%1)"/>
      <w:numFmt w:val="lowerLetter"/>
      <w:start w:val="11"/>
    </w:lvl>
  </w:abstractNum>
  <w:abstractNum w:abstractNumId="161">
    <w:nsid w:val="60EE9C16"/>
    <w:multiLevelType w:val="hybridMultilevel"/>
    <w:lvl w:ilvl="0">
      <w:lvlJc w:val="left"/>
      <w:lvlText w:val="(%1)"/>
      <w:numFmt w:val="lowerLetter"/>
      <w:start w:val="17"/>
    </w:lvl>
  </w:abstractNum>
  <w:abstractNum w:abstractNumId="162">
    <w:nsid w:val="6385489E"/>
    <w:multiLevelType w:val="hybridMultilevel"/>
    <w:lvl w:ilvl="0">
      <w:lvlJc w:val="left"/>
      <w:lvlText w:val="(%1)"/>
      <w:numFmt w:val="lowerLetter"/>
      <w:start w:val="17"/>
    </w:lvl>
  </w:abstractNum>
  <w:abstractNum w:abstractNumId="163">
    <w:nsid w:val="E4B973"/>
    <w:multiLevelType w:val="hybridMultilevel"/>
    <w:lvl w:ilvl="0">
      <w:lvlJc w:val="left"/>
      <w:lvlText w:val="•"/>
      <w:numFmt w:val="bullet"/>
      <w:start w:val="1"/>
    </w:lvl>
  </w:abstractNum>
  <w:abstractNum w:abstractNumId="164">
    <w:nsid w:val="4A0FFA11"/>
    <w:multiLevelType w:val="hybridMultilevel"/>
    <w:lvl w:ilvl="0">
      <w:lvlJc w:val="left"/>
      <w:lvlText w:val="•"/>
      <w:numFmt w:val="bullet"/>
      <w:start w:val="1"/>
    </w:lvl>
  </w:abstractNum>
  <w:abstractNum w:abstractNumId="165">
    <w:nsid w:val="5E446208"/>
    <w:multiLevelType w:val="hybridMultilevel"/>
    <w:lvl w:ilvl="0">
      <w:lvlJc w:val="left"/>
      <w:lvlText w:val="•"/>
      <w:numFmt w:val="bullet"/>
      <w:start w:val="1"/>
    </w:lvl>
  </w:abstractNum>
  <w:abstractNum w:abstractNumId="166">
    <w:nsid w:val="5F3272DB"/>
    <w:multiLevelType w:val="hybridMultilevel"/>
    <w:lvl w:ilvl="0">
      <w:lvlJc w:val="left"/>
      <w:lvlText w:val="•"/>
      <w:numFmt w:val="bullet"/>
      <w:start w:val="1"/>
    </w:lvl>
  </w:abstractNum>
  <w:abstractNum w:abstractNumId="167">
    <w:nsid w:val="7616D704"/>
    <w:multiLevelType w:val="hybridMultilevel"/>
    <w:lvl w:ilvl="0">
      <w:lvlJc w:val="left"/>
      <w:lvlText w:val="•"/>
      <w:numFmt w:val="bullet"/>
      <w:start w:val="1"/>
    </w:lvl>
  </w:abstractNum>
  <w:abstractNum w:abstractNumId="168">
    <w:nsid w:val="C56F860"/>
    <w:multiLevelType w:val="hybridMultilevel"/>
    <w:lvl w:ilvl="0">
      <w:lvlJc w:val="left"/>
      <w:lvlText w:val="•"/>
      <w:numFmt w:val="bullet"/>
      <w:start w:val="1"/>
    </w:lvl>
  </w:abstractNum>
  <w:abstractNum w:abstractNumId="169">
    <w:nsid w:val="64D17722"/>
    <w:multiLevelType w:val="hybridMultilevel"/>
    <w:lvl w:ilvl="0">
      <w:lvlJc w:val="left"/>
      <w:lvlText w:val="•"/>
      <w:numFmt w:val="bullet"/>
      <w:start w:val="1"/>
    </w:lvl>
  </w:abstractNum>
  <w:abstractNum w:abstractNumId="170">
    <w:nsid w:val="7924CA0A"/>
    <w:multiLevelType w:val="hybridMultilevel"/>
    <w:lvl w:ilvl="0">
      <w:lvlJc w:val="left"/>
      <w:lvlText w:val="%1."/>
      <w:numFmt w:val="decimal"/>
      <w:start w:val="1"/>
    </w:lvl>
    <w:lvl w:ilvl="1">
      <w:lvlJc w:val="left"/>
      <w:lvlText w:val="(%2)"/>
      <w:numFmt w:val="lowerLetter"/>
      <w:start w:val="1"/>
    </w:lvl>
  </w:abstractNum>
  <w:abstractNum w:abstractNumId="171">
    <w:nsid w:val="CFD4EA7"/>
    <w:multiLevelType w:val="hybridMultilevel"/>
    <w:lvl w:ilvl="0">
      <w:lvlJc w:val="left"/>
      <w:lvlText w:val="(%1)"/>
      <w:numFmt w:val="lowerLetter"/>
      <w:start w:val="1"/>
    </w:lvl>
  </w:abstractNum>
  <w:abstractNum w:abstractNumId="172">
    <w:nsid w:val="232FCF4D"/>
    <w:multiLevelType w:val="hybridMultilevel"/>
    <w:lvl w:ilvl="0">
      <w:lvlJc w:val="left"/>
      <w:lvlText w:val="(%1)"/>
      <w:numFmt w:val="lowerLetter"/>
      <w:start w:val="3"/>
    </w:lvl>
  </w:abstractNum>
  <w:abstractNum w:abstractNumId="173">
    <w:nsid w:val="1EA21031"/>
    <w:multiLevelType w:val="hybridMultilevel"/>
    <w:lvl w:ilvl="0">
      <w:lvlJc w:val="left"/>
      <w:lvlText w:val="(%1)"/>
      <w:numFmt w:val="lowerLetter"/>
      <w:start w:val="4"/>
    </w:lvl>
  </w:abstractNum>
  <w:abstractNum w:abstractNumId="174">
    <w:nsid w:val="67A5A6B5"/>
    <w:multiLevelType w:val="hybridMultilevel"/>
    <w:lvl w:ilvl="0">
      <w:lvlJc w:val="left"/>
      <w:lvlText w:val="(%1)"/>
      <w:numFmt w:val="lowerLetter"/>
      <w:start w:val="1"/>
    </w:lvl>
  </w:abstractNum>
  <w:abstractNum w:abstractNumId="175">
    <w:nsid w:val="C2A5C5B"/>
    <w:multiLevelType w:val="hybridMultilevel"/>
    <w:lvl w:ilvl="0">
      <w:lvlJc w:val="left"/>
      <w:lvlText w:val="(%1)"/>
      <w:numFmt w:val="lowerLetter"/>
      <w:start w:val="2"/>
    </w:lvl>
  </w:abstractNum>
  <w:abstractNum w:abstractNumId="176">
    <w:nsid w:val="5F94DC03"/>
    <w:multiLevelType w:val="hybridMultilevel"/>
    <w:lvl w:ilvl="0">
      <w:lvlJc w:val="left"/>
      <w:lvlText w:val="(%1)"/>
      <w:numFmt w:val="lowerLetter"/>
      <w:start w:val="2"/>
    </w:lvl>
  </w:abstractNum>
  <w:abstractNum w:abstractNumId="177">
    <w:nsid w:val="237BBCA0"/>
    <w:multiLevelType w:val="hybridMultilevel"/>
    <w:lvl w:ilvl="0">
      <w:lvlJc w:val="left"/>
      <w:lvlText w:val="•"/>
      <w:numFmt w:val="bullet"/>
      <w:start w:val="1"/>
    </w:lvl>
    <w:lvl w:ilvl="1">
      <w:lvlJc w:val="left"/>
      <w:lvlText w:val="•"/>
      <w:numFmt w:val="bullet"/>
      <w:start w:val="1"/>
    </w:lvl>
  </w:abstractNum>
  <w:abstractNum w:abstractNumId="178">
    <w:nsid w:val="162EB70D"/>
    <w:multiLevelType w:val="hybridMultilevel"/>
    <w:lvl w:ilvl="0">
      <w:lvlJc w:val="left"/>
      <w:lvlText w:val="•"/>
      <w:numFmt w:val="bullet"/>
      <w:start w:val="1"/>
    </w:lvl>
  </w:abstractNum>
  <w:abstractNum w:abstractNumId="179">
    <w:nsid w:val="78070222"/>
    <w:multiLevelType w:val="hybridMultilevel"/>
    <w:lvl w:ilvl="0">
      <w:lvlJc w:val="left"/>
      <w:lvlText w:val="(%1)"/>
      <w:numFmt w:val="lowerLetter"/>
      <w:start w:val="1"/>
    </w:lvl>
  </w:abstractNum>
  <w:abstractNum w:abstractNumId="180">
    <w:nsid w:val="6163ED0D"/>
    <w:multiLevelType w:val="hybridMultilevel"/>
    <w:lvl w:ilvl="0">
      <w:lvlJc w:val="left"/>
      <w:lvlText w:val="•"/>
      <w:numFmt w:val="bullet"/>
      <w:start w:val="1"/>
    </w:lvl>
  </w:abstractNum>
  <w:abstractNum w:abstractNumId="181">
    <w:nsid w:val="C600E47"/>
    <w:multiLevelType w:val="hybridMultilevel"/>
    <w:lvl w:ilvl="0">
      <w:lvlJc w:val="left"/>
      <w:lvlText w:val="(%1)"/>
      <w:numFmt w:val="lowerLetter"/>
      <w:start w:val="1"/>
    </w:lvl>
  </w:abstractNum>
  <w:abstractNum w:abstractNumId="182">
    <w:nsid w:val="7D94F75D"/>
    <w:multiLevelType w:val="hybridMultilevel"/>
    <w:lvl w:ilvl="0">
      <w:lvlJc w:val="left"/>
      <w:lvlText w:val="(%1)"/>
      <w:numFmt w:val="lowerLetter"/>
      <w:start w:val="1"/>
    </w:lvl>
  </w:abstractNum>
  <w:abstractNum w:abstractNumId="183">
    <w:nsid w:val="6C31E7CD"/>
    <w:multiLevelType w:val="hybridMultilevel"/>
    <w:lvl w:ilvl="0">
      <w:lvlJc w:val="left"/>
      <w:lvlText w:val="(%1)"/>
      <w:numFmt w:val="lowerLetter"/>
      <w:start w:val="3"/>
    </w:lvl>
  </w:abstractNum>
  <w:abstractNum w:abstractNumId="184">
    <w:nsid w:val="2BB7929B"/>
    <w:multiLevelType w:val="hybridMultilevel"/>
    <w:lvl w:ilvl="0">
      <w:lvlJc w:val="left"/>
      <w:lvlText w:val="(%1)"/>
      <w:numFmt w:val="decimal"/>
      <w:start w:val="1"/>
    </w:lvl>
  </w:abstractNum>
  <w:abstractNum w:abstractNumId="185">
    <w:nsid w:val="58A2A487"/>
    <w:multiLevelType w:val="hybridMultilevel"/>
    <w:lvl w:ilvl="0">
      <w:lvlJc w:val="left"/>
      <w:lvlText w:val="(%1)"/>
      <w:numFmt w:val="upperLetter"/>
      <w:start w:val="1"/>
    </w:lvl>
    <w:lvl w:ilvl="1">
      <w:lvlJc w:val="left"/>
      <w:lvlText w:val="(%2)"/>
      <w:numFmt w:val="lowerRoman"/>
      <w:start w:val="1"/>
    </w:lvl>
  </w:abstractNum>
  <w:abstractNum w:abstractNumId="186">
    <w:nsid w:val="3A6F0E78"/>
    <w:multiLevelType w:val="hybridMultilevel"/>
    <w:lvl w:ilvl="0">
      <w:lvlJc w:val="left"/>
      <w:lvlText w:val="1"/>
      <w:numFmt w:val="bullet"/>
      <w:start w:val="1"/>
    </w:lvl>
  </w:abstractNum>
  <w:abstractNum w:abstractNumId="187">
    <w:nsid w:val="379A5B56"/>
    <w:multiLevelType w:val="hybridMultilevel"/>
    <w:lvl w:ilvl="0">
      <w:lvlJc w:val="left"/>
      <w:lvlText w:val="(%1)"/>
      <w:numFmt w:val="lowerLetter"/>
      <w:start w:val="1"/>
    </w:lvl>
  </w:abstractNum>
  <w:abstractNum w:abstractNumId="188">
    <w:nsid w:val="53B735D5"/>
    <w:multiLevelType w:val="hybridMultilevel"/>
    <w:lvl w:ilvl="0">
      <w:lvlJc w:val="left"/>
      <w:lvlText w:val="(%1)"/>
      <w:numFmt w:val="lowerLetter"/>
      <w:start w:val="1"/>
    </w:lvl>
  </w:abstractNum>
  <w:abstractNum w:abstractNumId="189">
    <w:nsid w:val="29784870"/>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90">
    <w:nsid w:val="4CDCED4C"/>
    <w:multiLevelType w:val="hybridMultilevel"/>
    <w:lvl w:ilvl="0">
      <w:lvlJc w:val="left"/>
      <w:lvlText w:val="(%1)"/>
      <w:numFmt w:val="lowerRoman"/>
      <w:start w:val="2"/>
    </w:lvl>
  </w:abstractNum>
  <w:abstractNum w:abstractNumId="191">
    <w:nsid w:val="10A30D9C"/>
    <w:multiLevelType w:val="hybridMultilevel"/>
    <w:lvl w:ilvl="0">
      <w:lvlJc w:val="left"/>
      <w:lvlText w:val="(%1)"/>
      <w:numFmt w:val="lowerLetter"/>
      <w:start w:val="1"/>
    </w:lvl>
  </w:abstractNum>
  <w:abstractNum w:abstractNumId="192">
    <w:nsid w:val="A66E486"/>
    <w:multiLevelType w:val="hybridMultilevel"/>
    <w:lvl w:ilvl="0">
      <w:lvlJc w:val="left"/>
      <w:lvlText w:val="(%1)"/>
      <w:numFmt w:val="lowerLetter"/>
      <w:start w:val="2"/>
    </w:lvl>
  </w:abstractNum>
  <w:abstractNum w:abstractNumId="193">
    <w:nsid w:val="306235E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4">
    <w:nsid w:val="1187C70F"/>
    <w:multiLevelType w:val="hybridMultilevel"/>
    <w:lvl w:ilvl="0">
      <w:lvlJc w:val="left"/>
      <w:lvlText w:val="(%1)"/>
      <w:numFmt w:val="lowerRoman"/>
      <w:start w:val="2"/>
    </w:lvl>
  </w:abstractNum>
  <w:abstractNum w:abstractNumId="195">
    <w:nsid w:val="5476DE98"/>
    <w:multiLevelType w:val="hybridMultilevel"/>
    <w:lvl w:ilvl="0">
      <w:lvlJc w:val="left"/>
      <w:lvlText w:val="(%1)"/>
      <w:numFmt w:val="lowerLetter"/>
      <w:start w:val="1"/>
    </w:lvl>
  </w:abstractNum>
  <w:abstractNum w:abstractNumId="196">
    <w:nsid w:val="EA697F2"/>
    <w:multiLevelType w:val="hybridMultilevel"/>
    <w:lvl w:ilvl="0">
      <w:lvlJc w:val="left"/>
      <w:lvlText w:val="(%1)"/>
      <w:numFmt w:val="lowerLetter"/>
      <w:start w:val="2"/>
    </w:lvl>
  </w:abstractNum>
  <w:abstractNum w:abstractNumId="197">
    <w:nsid w:val="70BA39EB"/>
    <w:multiLevelType w:val="hybridMultilevel"/>
    <w:lvl w:ilvl="0">
      <w:lvlJc w:val="left"/>
      <w:lvlText w:val="(%1)"/>
      <w:numFmt w:val="lowerLetter"/>
      <w:start w:val="1"/>
    </w:lvl>
  </w:abstractNum>
  <w:abstractNum w:abstractNumId="198">
    <w:nsid w:val="4A8DB59C"/>
    <w:multiLevelType w:val="hybridMultilevel"/>
    <w:lvl w:ilvl="0">
      <w:lvlJc w:val="left"/>
      <w:lvlText w:val="(%1)"/>
      <w:numFmt w:val="lowerLetter"/>
      <w:start w:val="1"/>
    </w:lvl>
    <w:lvl w:ilvl="1">
      <w:lvlJc w:val="left"/>
      <w:lvlText w:val="(%2)"/>
      <w:numFmt w:val="lowerRoman"/>
      <w:start w:val="1"/>
    </w:lvl>
  </w:abstractNum>
  <w:abstractNum w:abstractNumId="199">
    <w:nsid w:val="1AFD9053"/>
    <w:multiLevelType w:val="hybridMultilevel"/>
    <w:lvl w:ilvl="0">
      <w:lvlJc w:val="left"/>
      <w:lvlText w:val="(%1)"/>
      <w:numFmt w:val="lowerLetter"/>
      <w:start w:val="1"/>
    </w:lvl>
  </w:abstractNum>
  <w:abstractNum w:abstractNumId="200">
    <w:nsid w:val="558BB10D"/>
    <w:multiLevelType w:val="hybridMultilevel"/>
    <w:lvl w:ilvl="0">
      <w:lvlJc w:val="left"/>
      <w:lvlText w:val="(%1)"/>
      <w:numFmt w:val="lowerLetter"/>
      <w:start w:val="1"/>
    </w:lvl>
  </w:abstractNum>
  <w:abstractNum w:abstractNumId="201">
    <w:nsid w:val="43B27FA7"/>
    <w:multiLevelType w:val="hybridMultilevel"/>
    <w:lvl w:ilvl="0">
      <w:lvlJc w:val="left"/>
      <w:lvlText w:val="(%1)"/>
      <w:numFmt w:val="lowerLetter"/>
      <w:start w:val="1"/>
    </w:lvl>
  </w:abstractNum>
  <w:abstractNum w:abstractNumId="202">
    <w:nsid w:val="27FADEFA"/>
    <w:multiLevelType w:val="hybridMultilevel"/>
    <w:lvl w:ilvl="0">
      <w:lvlJc w:val="left"/>
      <w:lvlText w:val="(%1)"/>
      <w:numFmt w:val="lowerLetter"/>
      <w:start w:val="1"/>
    </w:lvl>
  </w:abstractNum>
  <w:abstractNum w:abstractNumId="203">
    <w:nsid w:val="78BB805A"/>
    <w:multiLevelType w:val="hybridMultilevel"/>
    <w:lvl w:ilvl="0">
      <w:lvlJc w:val="left"/>
      <w:lvlText w:val="(%1)"/>
      <w:numFmt w:val="lowerLetter"/>
      <w:start w:val="1"/>
    </w:lvl>
  </w:abstractNum>
  <w:abstractNum w:abstractNumId="204">
    <w:nsid w:val="62548FD8"/>
    <w:multiLevelType w:val="hybridMultilevel"/>
    <w:lvl w:ilvl="0">
      <w:lvlJc w:val="left"/>
      <w:lvlText w:val="(%1)"/>
      <w:numFmt w:val="lowerLetter"/>
      <w:start w:val="1"/>
    </w:lvl>
  </w:abstractNum>
  <w:abstractNum w:abstractNumId="205">
    <w:nsid w:val="FA085B0"/>
    <w:multiLevelType w:val="hybridMultilevel"/>
    <w:lvl w:ilvl="0">
      <w:lvlJc w:val="left"/>
      <w:lvlText w:val="(%1)"/>
      <w:numFmt w:val="lowerLetter"/>
      <w:start w:val="3"/>
    </w:lvl>
  </w:abstractNum>
  <w:abstractNum w:abstractNumId="206">
    <w:nsid w:val="4E5DCB5"/>
    <w:multiLevelType w:val="hybridMultilevel"/>
    <w:lvl w:ilvl="0">
      <w:lvlJc w:val="left"/>
      <w:lvlText w:val="(%1)"/>
      <w:numFmt w:val="lowerLetter"/>
      <w:start w:val="1"/>
    </w:lvl>
  </w:abstractNum>
  <w:abstractNum w:abstractNumId="207">
    <w:nsid w:val="41E96BDB"/>
    <w:multiLevelType w:val="hybridMultilevel"/>
    <w:lvl w:ilvl="0">
      <w:lvlJc w:val="left"/>
      <w:lvlText w:val="(%1)"/>
      <w:numFmt w:val="lowerLetter"/>
      <w:start w:val="1"/>
    </w:lvl>
  </w:abstractNum>
  <w:abstractNum w:abstractNumId="208">
    <w:nsid w:val="331C42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9">
    <w:nsid w:val="1B1493C2"/>
    <w:multiLevelType w:val="hybridMultilevel"/>
    <w:lvl w:ilvl="0">
      <w:lvlJc w:val="left"/>
      <w:lvlText w:val="(%1)"/>
      <w:numFmt w:val="lowerLetter"/>
      <w:start w:val="1"/>
    </w:lvl>
  </w:abstractNum>
  <w:abstractNum w:abstractNumId="210">
    <w:nsid w:val="39F06DFD"/>
    <w:multiLevelType w:val="hybridMultilevel"/>
    <w:lvl w:ilvl="0">
      <w:lvlJc w:val="left"/>
      <w:lvlText w:val="(%1)"/>
      <w:numFmt w:val="lowerLetter"/>
      <w:start w:val="2"/>
    </w:lvl>
    <w:lvl w:ilvl="1">
      <w:lvlJc w:val="left"/>
      <w:lvlText w:val="(%2)"/>
      <w:numFmt w:val="lowerRoman"/>
      <w:start w:val="1"/>
    </w:lvl>
  </w:abstractNum>
  <w:abstractNum w:abstractNumId="211">
    <w:nsid w:val="14802F5D"/>
    <w:multiLevelType w:val="hybridMultilevel"/>
    <w:lvl w:ilvl="0">
      <w:lvlJc w:val="left"/>
      <w:lvlText w:val="(%1)"/>
      <w:numFmt w:val="lowerLetter"/>
      <w:start w:val="1"/>
    </w:lvl>
  </w:abstractNum>
  <w:abstractNum w:abstractNumId="212">
    <w:nsid w:val="2774A209"/>
    <w:multiLevelType w:val="hybridMultilevel"/>
    <w:lvl w:ilvl="0">
      <w:lvlJc w:val="left"/>
      <w:lvlText w:val="(%1)"/>
      <w:numFmt w:val="lowerLetter"/>
      <w:start w:val="1"/>
    </w:lvl>
  </w:abstractNum>
  <w:abstractNum w:abstractNumId="213">
    <w:nsid w:val="3785655A"/>
    <w:multiLevelType w:val="hybridMultilevel"/>
    <w:lvl w:ilvl="0">
      <w:lvlJc w:val="left"/>
      <w:lvlText w:val="(%1)"/>
      <w:numFmt w:val="lowerLetter"/>
      <w:start w:val="1"/>
    </w:lvl>
    <w:lvl w:ilvl="1">
      <w:lvlJc w:val="left"/>
      <w:lvlText w:val="(%2)"/>
      <w:numFmt w:val="lowerRoman"/>
      <w:start w:val="1"/>
    </w:lvl>
  </w:abstractNum>
  <w:abstractNum w:abstractNumId="214">
    <w:nsid w:val="B2172A"/>
    <w:multiLevelType w:val="hybridMultilevel"/>
    <w:lvl w:ilvl="0">
      <w:lvlJc w:val="left"/>
      <w:lvlText w:val="(%1)"/>
      <w:numFmt w:val="lowerLetter"/>
      <w:start w:val="1"/>
    </w:lvl>
  </w:abstractNum>
  <w:abstractNum w:abstractNumId="215">
    <w:nsid w:val="532C34A5"/>
    <w:multiLevelType w:val="hybridMultilevel"/>
    <w:lvl w:ilvl="0">
      <w:lvlJc w:val="left"/>
      <w:lvlText w:val="(%1)"/>
      <w:numFmt w:val="lowerLetter"/>
      <w:start w:val="1"/>
    </w:lvl>
  </w:abstractNum>
  <w:abstractNum w:abstractNumId="216">
    <w:nsid w:val="102809E2"/>
    <w:multiLevelType w:val="hybridMultilevel"/>
    <w:lvl w:ilvl="0">
      <w:lvlJc w:val="left"/>
      <w:lvlText w:val="(%1)"/>
      <w:numFmt w:val="lowerLetter"/>
      <w:start w:val="3"/>
    </w:lvl>
  </w:abstractNum>
  <w:abstractNum w:abstractNumId="217">
    <w:nsid w:val="3B2125A3"/>
    <w:multiLevelType w:val="hybridMultilevel"/>
    <w:lvl w:ilvl="0">
      <w:lvlJc w:val="left"/>
      <w:lvlText w:val="(%1)"/>
      <w:numFmt w:val="lowerLetter"/>
      <w:start w:val="1"/>
    </w:lvl>
  </w:abstractNum>
  <w:abstractNum w:abstractNumId="218">
    <w:nsid w:val="AC68FFB"/>
    <w:multiLevelType w:val="hybridMultilevel"/>
    <w:lvl w:ilvl="0">
      <w:lvlJc w:val="left"/>
      <w:lvlText w:val="(%1)"/>
      <w:numFmt w:val="lowerLetter"/>
      <w:start w:val="1"/>
    </w:lvl>
  </w:abstractNum>
  <w:abstractNum w:abstractNumId="219">
    <w:nsid w:val="63DF3FB7"/>
    <w:multiLevelType w:val="hybridMultilevel"/>
    <w:lvl w:ilvl="0">
      <w:lvlJc w:val="left"/>
      <w:lvlText w:val="(%1)"/>
      <w:numFmt w:val="lowerLetter"/>
      <w:start w:val="1"/>
    </w:lvl>
  </w:abstractNum>
  <w:abstractNum w:abstractNumId="220">
    <w:nsid w:val="64996E13"/>
    <w:multiLevelType w:val="hybridMultilevel"/>
    <w:lvl w:ilvl="0">
      <w:lvlJc w:val="left"/>
      <w:lvlText w:val="(%1)"/>
      <w:numFmt w:val="lowerLetter"/>
      <w:start w:val="1"/>
    </w:lvl>
  </w:abstractNum>
  <w:abstractNum w:abstractNumId="221">
    <w:nsid w:val="57A37D47"/>
    <w:multiLevelType w:val="hybridMultilevel"/>
    <w:lvl w:ilvl="0">
      <w:lvlJc w:val="left"/>
      <w:lvlText w:val="(%1)"/>
      <w:numFmt w:val="lowerLetter"/>
      <w:start w:val="1"/>
    </w:lvl>
  </w:abstractNum>
  <w:abstractNum w:abstractNumId="222">
    <w:nsid w:val="74824D54"/>
    <w:multiLevelType w:val="hybridMultilevel"/>
    <w:lvl w:ilvl="0">
      <w:lvlJc w:val="left"/>
      <w:lvlText w:val="(%1)"/>
      <w:numFmt w:val="lowerLetter"/>
      <w:start w:val="1"/>
    </w:lvl>
  </w:abstractNum>
  <w:abstractNum w:abstractNumId="223">
    <w:nsid w:val="6F00529A"/>
    <w:multiLevelType w:val="hybridMultilevel"/>
    <w:lvl w:ilvl="0">
      <w:lvlJc w:val="left"/>
      <w:lvlText w:val="(%1)"/>
      <w:numFmt w:val="lowerLetter"/>
      <w:start w:val="2"/>
    </w:lvl>
  </w:abstractNum>
  <w:abstractNum w:abstractNumId="224">
    <w:nsid w:val="805B331"/>
    <w:multiLevelType w:val="hybridMultilevel"/>
    <w:lvl w:ilvl="0">
      <w:lvlJc w:val="left"/>
      <w:lvlText w:val="(%1)"/>
      <w:numFmt w:val="lowerRoman"/>
      <w:start w:val="4"/>
    </w:lvl>
  </w:abstractNum>
  <w:abstractNum w:abstractNumId="225">
    <w:nsid w:val="60A1463"/>
    <w:multiLevelType w:val="hybridMultilevel"/>
    <w:lvl w:ilvl="0">
      <w:lvlJc w:val="left"/>
      <w:lvlText w:val="(%1)"/>
      <w:numFmt w:val="lowerLetter"/>
      <w:start w:val="1"/>
    </w:lvl>
  </w:abstractNum>
  <w:abstractNum w:abstractNumId="226">
    <w:nsid w:val="43773132"/>
    <w:multiLevelType w:val="hybridMultilevel"/>
    <w:lvl w:ilvl="0">
      <w:lvlJc w:val="left"/>
      <w:lvlText w:val="(%1)"/>
      <w:numFmt w:val="lowerLetter"/>
      <w:start w:val="1"/>
    </w:lvl>
  </w:abstractNum>
  <w:abstractNum w:abstractNumId="227">
    <w:nsid w:val="16AC4B23"/>
    <w:multiLevelType w:val="hybridMultilevel"/>
    <w:lvl w:ilvl="0">
      <w:lvlJc w:val="left"/>
      <w:lvlText w:val="(%1)"/>
      <w:numFmt w:val="lowerLetter"/>
      <w:start w:val="1"/>
    </w:lvl>
  </w:abstractNum>
  <w:abstractNum w:abstractNumId="228">
    <w:nsid w:val="76C44E4E"/>
    <w:multiLevelType w:val="hybridMultilevel"/>
    <w:lvl w:ilvl="0">
      <w:lvlJc w:val="left"/>
      <w:lvlText w:val="(%1)"/>
      <w:numFmt w:val="lowerLetter"/>
      <w:start w:val="2"/>
    </w:lvl>
  </w:abstractNum>
  <w:abstractNum w:abstractNumId="229">
    <w:nsid w:val="E04E6CE"/>
    <w:multiLevelType w:val="hybridMultilevel"/>
    <w:lvl w:ilvl="0">
      <w:lvlJc w:val="left"/>
      <w:lvlText w:val="(%1)"/>
      <w:numFmt w:val="lowerLetter"/>
      <w:start w:val="1"/>
    </w:lvl>
  </w:abstractNum>
  <w:abstractNum w:abstractNumId="230">
    <w:nsid w:val="31A9DB76"/>
    <w:multiLevelType w:val="hybridMultilevel"/>
    <w:lvl w:ilvl="0">
      <w:lvlJc w:val="left"/>
      <w:lvlText w:val="(%1)"/>
      <w:numFmt w:val="lowerLetter"/>
      <w:start w:val="1"/>
    </w:lvl>
  </w:abstractNum>
  <w:abstractNum w:abstractNumId="231">
    <w:nsid w:val="4C4FFF5B"/>
    <w:multiLevelType w:val="hybridMultilevel"/>
    <w:lvl w:ilvl="0">
      <w:lvlJc w:val="left"/>
      <w:lvlText w:val="(%1)"/>
      <w:numFmt w:val="lowerLetter"/>
      <w:start w:val="1"/>
    </w:lvl>
  </w:abstractNum>
  <w:abstractNum w:abstractNumId="232">
    <w:nsid w:val="51B76675"/>
    <w:multiLevelType w:val="hybridMultilevel"/>
    <w:lvl w:ilvl="0">
      <w:lvlJc w:val="left"/>
      <w:lvlText w:val="(%1)"/>
      <w:numFmt w:val="lowerLetter"/>
      <w:start w:val="1"/>
    </w:lvl>
    <w:lvl w:ilvl="1">
      <w:lvlJc w:val="left"/>
      <w:lvlText w:val="(%2)"/>
      <w:numFmt w:val="lowerRoman"/>
      <w:start w:val="1"/>
    </w:lvl>
  </w:abstractNum>
  <w:abstractNum w:abstractNumId="233">
    <w:nsid w:val="59A4BA71"/>
    <w:multiLevelType w:val="hybridMultilevel"/>
    <w:lvl w:ilvl="0">
      <w:lvlJc w:val="left"/>
      <w:lvlText w:val="(%1)"/>
      <w:numFmt w:val="lowerLetter"/>
      <w:start w:val="1"/>
    </w:lvl>
  </w:abstractNum>
  <w:abstractNum w:abstractNumId="234">
    <w:nsid w:val="450B7FB6"/>
    <w:multiLevelType w:val="hybridMultilevel"/>
    <w:lvl w:ilvl="0">
      <w:lvlJc w:val="left"/>
      <w:lvlText w:val="(%1)"/>
      <w:numFmt w:val="lowerLetter"/>
      <w:start w:val="1"/>
    </w:lvl>
    <w:lvl w:ilvl="1">
      <w:lvlJc w:val="left"/>
      <w:lvlText w:val="(%2)"/>
      <w:numFmt w:val="lowerRoman"/>
      <w:start w:val="1"/>
    </w:lvl>
  </w:abstractNum>
  <w:abstractNum w:abstractNumId="235">
    <w:nsid w:val="340BF64D"/>
    <w:multiLevelType w:val="hybridMultilevel"/>
    <w:lvl w:ilvl="0">
      <w:lvlJc w:val="left"/>
      <w:lvlText w:val="(%1)"/>
      <w:numFmt w:val="lowerLetter"/>
      <w:start w:val="1"/>
    </w:lvl>
  </w:abstractNum>
  <w:abstractNum w:abstractNumId="236">
    <w:nsid w:val="69454021"/>
    <w:multiLevelType w:val="hybridMultilevel"/>
    <w:lvl w:ilvl="0">
      <w:lvlJc w:val="left"/>
      <w:lvlText w:val="(%1)"/>
      <w:numFmt w:val="lowerLetter"/>
      <w:start w:val="1"/>
    </w:lvl>
  </w:abstractNum>
  <w:abstractNum w:abstractNumId="237">
    <w:nsid w:val="49F15C6B"/>
    <w:multiLevelType w:val="hybridMultilevel"/>
    <w:lvl w:ilvl="0">
      <w:lvlJc w:val="left"/>
      <w:lvlText w:val="(%1)"/>
      <w:numFmt w:val="lowerLetter"/>
      <w:start w:val="1"/>
    </w:lvl>
    <w:lvl w:ilvl="1">
      <w:lvlJc w:val="left"/>
      <w:lvlText w:val="(%2)"/>
      <w:numFmt w:val="lowerRoman"/>
      <w:start w:val="1"/>
    </w:lvl>
  </w:abstractNum>
  <w:abstractNum w:abstractNumId="238">
    <w:nsid w:val="75F56228"/>
    <w:multiLevelType w:val="hybridMultilevel"/>
    <w:lvl w:ilvl="0">
      <w:lvlJc w:val="left"/>
      <w:lvlText w:val="%1"/>
      <w:numFmt w:val="lowerLetter"/>
      <w:start w:val="1"/>
    </w:lvl>
    <w:lvl w:ilvl="1">
      <w:lvlJc w:val="left"/>
      <w:lvlText w:val="(%2)"/>
      <w:numFmt w:val="lowerLetter"/>
      <w:start w:val="61"/>
    </w:lvl>
  </w:abstractNum>
  <w:abstractNum w:abstractNumId="239">
    <w:nsid w:val="1C618271"/>
    <w:multiLevelType w:val="hybridMultilevel"/>
    <w:lvl w:ilvl="0">
      <w:lvlJc w:val="left"/>
      <w:lvlText w:val="(%1)"/>
      <w:numFmt w:val="lowerLetter"/>
      <w:start w:val="2"/>
    </w:lvl>
    <w:lvl w:ilvl="1">
      <w:lvlJc w:val="left"/>
      <w:lvlText w:val="%2"/>
      <w:numFmt w:val="lowerLetter"/>
      <w:start w:val="1"/>
    </w:lvl>
  </w:abstractNum>
  <w:abstractNum w:abstractNumId="240">
    <w:nsid w:val="6505F02E"/>
    <w:multiLevelType w:val="hybridMultilevel"/>
    <w:lvl w:ilvl="0">
      <w:lvlJc w:val="left"/>
      <w:lvlText w:val="2"/>
      <w:numFmt w:val="bullet"/>
      <w:start w:val="1"/>
    </w:lvl>
  </w:abstractNum>
  <w:abstractNum w:abstractNumId="241">
    <w:nsid w:val="2FE5D025"/>
    <w:multiLevelType w:val="hybridMultilevel"/>
    <w:lvl w:ilvl="0">
      <w:lvlJc w:val="left"/>
      <w:lvlText w:val="3"/>
      <w:numFmt w:val="bullet"/>
      <w:start w:val="1"/>
    </w:lvl>
  </w:abstractNum>
  <w:abstractNum w:abstractNumId="242">
    <w:nsid w:val="30E1B1CF"/>
    <w:multiLevelType w:val="hybridMultilevel"/>
    <w:lvl w:ilvl="0">
      <w:lvlJc w:val="left"/>
      <w:lvlText w:val="(%1)"/>
      <w:numFmt w:val="lowerLetter"/>
      <w:start w:val="1"/>
    </w:lvl>
  </w:abstractNum>
  <w:abstractNum w:abstractNumId="243">
    <w:nsid w:val="C7A9237"/>
    <w:multiLevelType w:val="hybridMultilevel"/>
    <w:lvl w:ilvl="0">
      <w:lvlJc w:val="left"/>
      <w:lvlText w:val="(%1)"/>
      <w:numFmt w:val="lowerLetter"/>
      <w:start w:val="1"/>
    </w:lvl>
  </w:abstractNum>
  <w:abstractNum w:abstractNumId="244">
    <w:nsid w:val="676B3580"/>
    <w:multiLevelType w:val="hybridMultilevel"/>
    <w:lvl w:ilvl="0">
      <w:lvlJc w:val="left"/>
      <w:lvlText w:val="(%1)"/>
      <w:numFmt w:val="lowerLetter"/>
      <w:start w:val="1"/>
    </w:lvl>
  </w:abstractNum>
  <w:abstractNum w:abstractNumId="245">
    <w:nsid w:val="3193C8F9"/>
    <w:multiLevelType w:val="hybridMultilevel"/>
    <w:lvl w:ilvl="0">
      <w:lvlJc w:val="left"/>
      <w:lvlText w:val="(%1)"/>
      <w:numFmt w:val="lowerLetter"/>
      <w:start w:val="1"/>
    </w:lvl>
  </w:abstractNum>
  <w:abstractNum w:abstractNumId="246">
    <w:nsid w:val="5FA6C6DC"/>
    <w:multiLevelType w:val="hybridMultilevel"/>
    <w:lvl w:ilvl="0">
      <w:lvlJc w:val="left"/>
      <w:lvlText w:val="(%1)"/>
      <w:numFmt w:val="lowerLetter"/>
      <w:start w:val="1"/>
    </w:lvl>
  </w:abstractNum>
  <w:abstractNum w:abstractNumId="247">
    <w:nsid w:val="77933F62"/>
    <w:multiLevelType w:val="hybridMultilevel"/>
    <w:lvl w:ilvl="0">
      <w:lvlJc w:val="left"/>
      <w:lvlText w:val="4"/>
      <w:numFmt w:val="bullet"/>
      <w:start w:val="1"/>
    </w:lvl>
  </w:abstractNum>
  <w:abstractNum w:abstractNumId="248">
    <w:nsid w:val="6CB4EE9C"/>
    <w:multiLevelType w:val="hybridMultilevel"/>
    <w:lvl w:ilvl="0">
      <w:lvlJc w:val="left"/>
      <w:lvlText w:val="(%1)"/>
      <w:numFmt w:val="lowerLetter"/>
      <w:start w:val="1"/>
    </w:lvl>
  </w:abstractNum>
  <w:abstractNum w:abstractNumId="249">
    <w:nsid w:val="6A6D56D7"/>
    <w:multiLevelType w:val="hybridMultilevel"/>
    <w:lvl w:ilvl="0">
      <w:lvlJc w:val="left"/>
      <w:lvlText w:val="(%1)"/>
      <w:numFmt w:val="lowerLetter"/>
      <w:start w:val="1"/>
    </w:lvl>
  </w:abstractNum>
  <w:abstractNum w:abstractNumId="250">
    <w:nsid w:val="5B727F19"/>
    <w:multiLevelType w:val="hybridMultilevel"/>
    <w:lvl w:ilvl="0">
      <w:lvlJc w:val="left"/>
      <w:lvlText w:val="(%1)"/>
      <w:numFmt w:val="lowerLetter"/>
      <w:start w:val="1"/>
    </w:lvl>
  </w:abstractNum>
  <w:abstractNum w:abstractNumId="251">
    <w:nsid w:val="514E5CB0"/>
    <w:multiLevelType w:val="hybridMultilevel"/>
    <w:lvl w:ilvl="0">
      <w:lvlJc w:val="left"/>
      <w:lvlText w:val="(%1)"/>
      <w:numFmt w:val="lowerLetter"/>
      <w:start w:val="1"/>
    </w:lvl>
  </w:abstractNum>
  <w:abstractNum w:abstractNumId="252">
    <w:nsid w:val="4210D41E"/>
    <w:multiLevelType w:val="hybridMultilevel"/>
    <w:lvl w:ilvl="0">
      <w:lvlJc w:val="left"/>
      <w:lvlText w:val="5"/>
      <w:numFmt w:val="bullet"/>
      <w:start w:val="1"/>
    </w:lvl>
  </w:abstractNum>
  <w:abstractNum w:abstractNumId="253">
    <w:nsid w:val="4FF4CC6D"/>
    <w:multiLevelType w:val="hybridMultilevel"/>
    <w:lvl w:ilvl="0">
      <w:lvlJc w:val="left"/>
      <w:lvlText w:val="(%1)"/>
      <w:numFmt w:val="lowerLetter"/>
      <w:start w:val="1"/>
    </w:lvl>
  </w:abstractNum>
  <w:abstractNum w:abstractNumId="254">
    <w:nsid w:val="404EAF4A"/>
    <w:multiLevelType w:val="hybridMultilevel"/>
    <w:lvl w:ilvl="0">
      <w:lvlJc w:val="left"/>
      <w:lvlText w:val="(%1)"/>
      <w:numFmt w:val="lowerLetter"/>
      <w:start w:val="1"/>
    </w:lvl>
  </w:abstractNum>
  <w:abstractNum w:abstractNumId="255">
    <w:nsid w:val="4A16874F"/>
    <w:multiLevelType w:val="hybridMultilevel"/>
    <w:lvl w:ilvl="0">
      <w:lvlJc w:val="left"/>
      <w:lvlText w:val="(%1)"/>
      <w:numFmt w:val="lowerLetter"/>
      <w:start w:val="1"/>
    </w:lvl>
    <w:lvl w:ilvl="1">
      <w:lvlJc w:val="left"/>
      <w:lvlText w:val="(%2)"/>
      <w:numFmt w:val="lowerRoman"/>
      <w:start w:val="1"/>
    </w:lvl>
  </w:abstractNum>
  <w:abstractNum w:abstractNumId="256">
    <w:nsid w:val="55FEE0D1"/>
    <w:multiLevelType w:val="hybridMultilevel"/>
    <w:lvl w:ilvl="0">
      <w:lvlJc w:val="left"/>
      <w:lvlText w:val="(%1)"/>
      <w:numFmt w:val="lowerLetter"/>
      <w:start w:val="3"/>
    </w:lvl>
  </w:abstractNum>
  <w:abstractNum w:abstractNumId="257">
    <w:nsid w:val="3C5E07C"/>
    <w:multiLevelType w:val="hybridMultilevel"/>
    <w:lvl w:ilvl="0">
      <w:lvlJc w:val="left"/>
      <w:lvlText w:val="(%1)"/>
      <w:numFmt w:val="lowerLetter"/>
      <w:start w:val="1"/>
    </w:lvl>
  </w:abstractNum>
  <w:abstractNum w:abstractNumId="258">
    <w:nsid w:val="60C2D273"/>
    <w:multiLevelType w:val="hybridMultilevel"/>
    <w:lvl w:ilvl="0">
      <w:lvlJc w:val="left"/>
      <w:lvlText w:val="(%1)"/>
      <w:numFmt w:val="lowerLetter"/>
      <w:start w:val="2"/>
    </w:lvl>
  </w:abstractNum>
  <w:abstractNum w:abstractNumId="259">
    <w:nsid w:val="4CC32F1F"/>
    <w:multiLevelType w:val="hybridMultilevel"/>
    <w:lvl w:ilvl="0">
      <w:lvlJc w:val="left"/>
      <w:lvlText w:val="(%1)"/>
      <w:numFmt w:val="lowerLetter"/>
      <w:start w:val="1"/>
    </w:lvl>
    <w:lvl w:ilvl="1">
      <w:lvlJc w:val="left"/>
      <w:lvlText w:val="(%2)"/>
      <w:numFmt w:val="lowerRoman"/>
      <w:start w:val="1"/>
    </w:lvl>
  </w:abstractNum>
  <w:abstractNum w:abstractNumId="260">
    <w:nsid w:val="11CAC74A"/>
    <w:multiLevelType w:val="hybridMultilevel"/>
    <w:lvl w:ilvl="0">
      <w:lvlJc w:val="left"/>
      <w:lvlText w:val="6"/>
      <w:numFmt w:val="bullet"/>
      <w:start w:val="1"/>
    </w:lvl>
  </w:abstractNum>
  <w:abstractNum w:abstractNumId="261">
    <w:nsid w:val="126CADE9"/>
    <w:multiLevelType w:val="hybridMultilevel"/>
    <w:lvl w:ilvl="0">
      <w:lvlJc w:val="left"/>
      <w:lvlText w:val="(%1)"/>
      <w:numFmt w:val="lowerLetter"/>
      <w:start w:val="1"/>
    </w:lvl>
  </w:abstractNum>
  <w:abstractNum w:abstractNumId="262">
    <w:nsid w:val="19132E7B"/>
    <w:multiLevelType w:val="hybridMultilevel"/>
    <w:lvl w:ilvl="0">
      <w:lvlJc w:val="left"/>
      <w:lvlText w:val="7"/>
      <w:numFmt w:val="bullet"/>
      <w:start w:val="1"/>
    </w:lvl>
  </w:abstractNum>
  <w:abstractNum w:abstractNumId="263">
    <w:nsid w:val="63822DC0"/>
    <w:multiLevelType w:val="hybridMultilevel"/>
    <w:lvl w:ilvl="0">
      <w:lvlJc w:val="left"/>
      <w:lvlText w:val="(%1)"/>
      <w:numFmt w:val="lowerLetter"/>
      <w:start w:val="1"/>
    </w:lvl>
  </w:abstractNum>
  <w:abstractNum w:abstractNumId="264">
    <w:nsid w:val="6C11685A"/>
    <w:multiLevelType w:val="hybridMultilevel"/>
    <w:lvl w:ilvl="0">
      <w:lvlJc w:val="left"/>
      <w:lvlText w:val="(%1)"/>
      <w:numFmt w:val="lowerLetter"/>
      <w:start w:val="1"/>
    </w:lvl>
  </w:abstractNum>
  <w:abstractNum w:abstractNumId="265">
    <w:nsid w:val="5E1EAE31"/>
    <w:multiLevelType w:val="hybridMultilevel"/>
    <w:lvl w:ilvl="0">
      <w:lvlJc w:val="left"/>
      <w:lvlText w:val="(%1)"/>
      <w:numFmt w:val="lowerLetter"/>
      <w:start w:val="1"/>
    </w:lvl>
    <w:lvl w:ilvl="1">
      <w:lvlJc w:val="left"/>
      <w:lvlText w:val="(%2)"/>
      <w:numFmt w:val="lowerRoman"/>
      <w:start w:val="1"/>
    </w:lvl>
  </w:abstractNum>
  <w:abstractNum w:abstractNumId="266">
    <w:nsid w:val="178E240D"/>
    <w:multiLevelType w:val="hybridMultilevel"/>
    <w:lvl w:ilvl="0">
      <w:lvlJc w:val="left"/>
      <w:lvlText w:val="8"/>
      <w:numFmt w:val="bullet"/>
      <w:start w:val="1"/>
    </w:lvl>
  </w:abstractNum>
  <w:abstractNum w:abstractNumId="267">
    <w:nsid w:val="5556A87B"/>
    <w:multiLevelType w:val="hybridMultilevel"/>
    <w:lvl w:ilvl="0">
      <w:lvlJc w:val="left"/>
      <w:lvlText w:val="(%1)"/>
      <w:numFmt w:val="lowerLetter"/>
      <w:start w:val="1"/>
    </w:lvl>
  </w:abstractNum>
  <w:abstractNum w:abstractNumId="268">
    <w:nsid w:val="28100A9C"/>
    <w:multiLevelType w:val="hybridMultilevel"/>
    <w:lvl w:ilvl="0">
      <w:lvlJc w:val="left"/>
      <w:lvlText w:val="(%1)"/>
      <w:numFmt w:val="lowerLetter"/>
      <w:start w:val="1"/>
    </w:lvl>
    <w:lvl w:ilvl="1">
      <w:lvlJc w:val="left"/>
      <w:lvlText w:val="(%2)"/>
      <w:numFmt w:val="lowerRoman"/>
      <w:start w:val="1"/>
    </w:lvl>
  </w:abstractNum>
  <w:abstractNum w:abstractNumId="269">
    <w:nsid w:val="D838636"/>
    <w:multiLevelType w:val="hybridMultilevel"/>
    <w:lvl w:ilvl="0">
      <w:lvlJc w:val="left"/>
      <w:lvlText w:val="(%1)"/>
      <w:numFmt w:val="lowerLetter"/>
      <w:start w:val="1"/>
    </w:lvl>
    <w:lvl w:ilvl="1">
      <w:lvlJc w:val="left"/>
      <w:lvlText w:val="(%2)"/>
      <w:numFmt w:val="lowerRoman"/>
      <w:start w:val="1"/>
    </w:lvl>
  </w:abstractNum>
  <w:abstractNum w:abstractNumId="270">
    <w:nsid w:val="71B82AED"/>
    <w:multiLevelType w:val="hybridMultilevel"/>
    <w:lvl w:ilvl="0">
      <w:lvlJc w:val="left"/>
      <w:lvlText w:val="(%1)"/>
      <w:numFmt w:val="lowerLetter"/>
      <w:start w:val="1"/>
    </w:lvl>
  </w:abstractNum>
  <w:abstractNum w:abstractNumId="271">
    <w:nsid w:val="D15FACA"/>
    <w:multiLevelType w:val="hybridMultilevel"/>
    <w:lvl w:ilvl="0">
      <w:lvlJc w:val="left"/>
      <w:lvlText w:val="(%1)"/>
      <w:numFmt w:val="lowerLetter"/>
      <w:start w:val="1"/>
    </w:lvl>
  </w:abstractNum>
  <w:abstractNum w:abstractNumId="272">
    <w:nsid w:val="3D69565B"/>
    <w:multiLevelType w:val="hybridMultilevel"/>
    <w:lvl w:ilvl="0">
      <w:lvlJc w:val="left"/>
      <w:lvlText w:val="(%1)"/>
      <w:numFmt w:val="lowerLetter"/>
      <w:start w:val="1"/>
    </w:lvl>
  </w:abstractNum>
  <w:abstractNum w:abstractNumId="273">
    <w:nsid w:val="2299DCBC"/>
    <w:multiLevelType w:val="hybridMultilevel"/>
    <w:lvl w:ilvl="0">
      <w:lvlJc w:val="left"/>
      <w:lvlText w:val="(%1)"/>
      <w:numFmt w:val="lowerLetter"/>
      <w:start w:val="1"/>
    </w:lvl>
    <w:lvl w:ilvl="1">
      <w:lvlJc w:val="left"/>
      <w:lvlText w:val="(%2)"/>
      <w:numFmt w:val="lowerRoman"/>
      <w:start w:val="1"/>
    </w:lvl>
  </w:abstractNum>
  <w:abstractNum w:abstractNumId="274">
    <w:nsid w:val="19908D02"/>
    <w:multiLevelType w:val="hybridMultilevel"/>
    <w:lvl w:ilvl="0">
      <w:lvlJc w:val="left"/>
      <w:lvlText w:val="(%1)"/>
      <w:numFmt w:val="lowerLetter"/>
      <w:start w:val="2"/>
    </w:lvl>
  </w:abstractNum>
  <w:abstractNum w:abstractNumId="275">
    <w:nsid w:val="24D48BDB"/>
    <w:multiLevelType w:val="hybridMultilevel"/>
    <w:lvl w:ilvl="0">
      <w:lvlJc w:val="left"/>
      <w:lvlText w:val="9"/>
      <w:numFmt w:val="bullet"/>
      <w:start w:val="1"/>
    </w:lvl>
  </w:abstractNum>
  <w:abstractNum w:abstractNumId="276">
    <w:nsid w:val="542DA5B5"/>
    <w:multiLevelType w:val="hybridMultilevel"/>
    <w:lvl w:ilvl="0">
      <w:lvlJc w:val="left"/>
      <w:lvlText w:val="(%1)"/>
      <w:numFmt w:val="lowerLetter"/>
      <w:start w:val="1"/>
    </w:lvl>
    <w:lvl w:ilvl="1">
      <w:lvlJc w:val="left"/>
      <w:lvlText w:val="(%2)"/>
      <w:numFmt w:val="lowerLetter"/>
      <w:start w:val="9"/>
    </w:lvl>
  </w:abstractNum>
  <w:abstractNum w:abstractNumId="277">
    <w:nsid w:val="793753DE"/>
    <w:multiLevelType w:val="hybridMultilevel"/>
    <w:lvl w:ilvl="0">
      <w:lvlJc w:val="left"/>
      <w:lvlText w:val="%1"/>
      <w:numFmt w:val="lowerLetter"/>
      <w:start w:val="1"/>
    </w:lvl>
    <w:lvl w:ilvl="1">
      <w:lvlJc w:val="left"/>
      <w:lvlText w:val="(%2)"/>
      <w:numFmt w:val="lowerLetter"/>
      <w:start w:val="35"/>
    </w:lvl>
  </w:abstractNum>
  <w:abstractNum w:abstractNumId="278">
    <w:nsid w:val="1C67CB3D"/>
    <w:multiLevelType w:val="hybridMultilevel"/>
    <w:lvl w:ilvl="0">
      <w:lvlJc w:val="left"/>
      <w:lvlText w:val="(%1)"/>
      <w:numFmt w:val="lowerLetter"/>
      <w:start w:val="2"/>
    </w:lvl>
    <w:lvl w:ilvl="1">
      <w:lvlJc w:val="left"/>
      <w:lvlText w:val="(%2)"/>
      <w:numFmt w:val="lowerLetter"/>
      <w:start w:val="9"/>
    </w:lvl>
  </w:abstractNum>
  <w:abstractNum w:abstractNumId="279">
    <w:nsid w:val="40E29452"/>
    <w:multiLevelType w:val="hybridMultilevel"/>
    <w:lvl w:ilvl="0">
      <w:lvlJc w:val="left"/>
      <w:lvlText w:val="%1"/>
      <w:numFmt w:val="lowerLetter"/>
      <w:start w:val="1"/>
    </w:lvl>
    <w:lvl w:ilvl="1">
      <w:lvlJc w:val="left"/>
      <w:lvlText w:val="(%2)"/>
      <w:numFmt w:val="lowerRoman"/>
      <w:start w:val="2"/>
    </w:lvl>
  </w:abstractNum>
  <w:abstractNum w:abstractNumId="280">
    <w:nsid w:val="63A4AAB6"/>
    <w:multiLevelType w:val="hybridMultilevel"/>
    <w:lvl w:ilvl="0">
      <w:lvlJc w:val="left"/>
      <w:lvlText w:val="(%1)"/>
      <w:numFmt w:val="lowerLetter"/>
      <w:start w:val="3"/>
    </w:lvl>
    <w:lvl w:ilvl="1">
      <w:lvlJc w:val="left"/>
      <w:lvlText w:val="(%2)"/>
      <w:numFmt w:val="lowerRoman"/>
      <w:start w:val="1"/>
    </w:lvl>
  </w:abstractNum>
  <w:abstractNum w:abstractNumId="281">
    <w:nsid w:val="77DA4A57"/>
    <w:multiLevelType w:val="hybridMultilevel"/>
    <w:lvl w:ilvl="0">
      <w:lvlJc w:val="left"/>
      <w:lvlText w:val="%1"/>
      <w:numFmt w:val="decimal"/>
      <w:start w:val="10"/>
    </w:lvl>
  </w:abstractNum>
  <w:abstractNum w:abstractNumId="282">
    <w:nsid w:val="1230F102"/>
    <w:multiLevelType w:val="hybridMultilevel"/>
    <w:lvl w:ilvl="0">
      <w:lvlJc w:val="left"/>
      <w:lvlText w:val="(%1)"/>
      <w:numFmt w:val="lowerLetter"/>
      <w:start w:val="1"/>
    </w:lvl>
  </w:abstractNum>
  <w:abstractNum w:abstractNumId="283">
    <w:nsid w:val="25B57ED4"/>
    <w:multiLevelType w:val="hybridMultilevel"/>
    <w:lvl w:ilvl="0">
      <w:lvlJc w:val="left"/>
      <w:lvlText w:val="(%1)"/>
      <w:numFmt w:val="lowerLetter"/>
      <w:start w:val="1"/>
    </w:lvl>
  </w:abstractNum>
  <w:abstractNum w:abstractNumId="284">
    <w:nsid w:val="47CF16C4"/>
    <w:multiLevelType w:val="hybridMultilevel"/>
    <w:lvl w:ilvl="0">
      <w:lvlJc w:val="left"/>
      <w:lvlText w:val="(%1)"/>
      <w:numFmt w:val="lowerLetter"/>
      <w:start w:val="1"/>
    </w:lvl>
  </w:abstractNum>
  <w:abstractNum w:abstractNumId="285">
    <w:nsid w:val="527FA04C"/>
    <w:multiLevelType w:val="hybridMultilevel"/>
    <w:lvl w:ilvl="0">
      <w:lvlJc w:val="left"/>
      <w:lvlText w:val="(%1)"/>
      <w:numFmt w:val="lowerLetter"/>
      <w:start w:val="1"/>
    </w:lvl>
  </w:abstractNum>
  <w:abstractNum w:abstractNumId="286">
    <w:nsid w:val="6FCC0624"/>
    <w:multiLevelType w:val="hybridMultilevel"/>
    <w:lvl w:ilvl="0">
      <w:lvlJc w:val="left"/>
      <w:lvlText w:val="(%1)"/>
      <w:numFmt w:val="lowerLetter"/>
      <w:start w:val="1"/>
    </w:lvl>
  </w:abstractNum>
  <w:abstractNum w:abstractNumId="287">
    <w:nsid w:val="1DCDF795"/>
    <w:multiLevelType w:val="hybridMultilevel"/>
    <w:lvl w:ilvl="0">
      <w:lvlJc w:val="left"/>
      <w:lvlText w:val="(%1)"/>
      <w:numFmt w:val="lowerLetter"/>
      <w:start w:val="1"/>
    </w:lvl>
  </w:abstractNum>
  <w:abstractNum w:abstractNumId="288">
    <w:nsid w:val="564580C8"/>
    <w:multiLevelType w:val="hybridMultilevel"/>
    <w:lvl w:ilvl="0">
      <w:lvlJc w:val="left"/>
      <w:lvlText w:val="%1"/>
      <w:numFmt w:val="decimal"/>
      <w:start w:val="11"/>
    </w:lvl>
  </w:abstractNum>
  <w:abstractNum w:abstractNumId="289">
    <w:nsid w:val="508ED897"/>
    <w:multiLevelType w:val="hybridMultilevel"/>
    <w:lvl w:ilvl="0">
      <w:lvlJc w:val="left"/>
      <w:lvlText w:val="(%1)"/>
      <w:numFmt w:val="lowerLetter"/>
      <w:start w:val="1"/>
    </w:lvl>
  </w:abstractNum>
  <w:abstractNum w:abstractNumId="290">
    <w:nsid w:val="6A9126B5"/>
    <w:multiLevelType w:val="hybridMultilevel"/>
    <w:lvl w:ilvl="0">
      <w:lvlJc w:val="left"/>
      <w:lvlText w:val="(%1)"/>
      <w:numFmt w:val="lowerLetter"/>
      <w:start w:val="1"/>
    </w:lvl>
  </w:abstractNum>
  <w:abstractNum w:abstractNumId="291">
    <w:nsid w:val="68104812"/>
    <w:multiLevelType w:val="hybridMultilevel"/>
    <w:lvl w:ilvl="0">
      <w:lvlJc w:val="left"/>
      <w:lvlText w:val="(%1)"/>
      <w:numFmt w:val="lowerLetter"/>
      <w:start w:val="1"/>
    </w:lvl>
  </w:abstractNum>
  <w:abstractNum w:abstractNumId="292">
    <w:nsid w:val="62FB8680"/>
    <w:multiLevelType w:val="hybridMultilevel"/>
    <w:lvl w:ilvl="0">
      <w:lvlJc w:val="left"/>
      <w:lvlText w:val="(%1)"/>
      <w:numFmt w:val="lowerLetter"/>
      <w:start w:val="1"/>
    </w:lvl>
  </w:abstractNum>
  <w:abstractNum w:abstractNumId="293">
    <w:nsid w:val="3A45530"/>
    <w:multiLevelType w:val="hybridMultilevel"/>
    <w:lvl w:ilvl="0">
      <w:lvlJc w:val="left"/>
      <w:lvlText w:val="(%1)"/>
      <w:numFmt w:val="lowerLetter"/>
      <w:start w:val="1"/>
    </w:lvl>
  </w:abstractNum>
  <w:abstractNum w:abstractNumId="294">
    <w:nsid w:val="4B9275D2"/>
    <w:multiLevelType w:val="hybridMultilevel"/>
    <w:lvl w:ilvl="0">
      <w:lvlJc w:val="left"/>
      <w:lvlText w:val="(%1)"/>
      <w:numFmt w:val="lowerLetter"/>
      <w:start w:val="1"/>
    </w:lvl>
  </w:abstractNum>
  <w:abstractNum w:abstractNumId="295">
    <w:nsid w:val="4F0CEEDB"/>
    <w:multiLevelType w:val="hybridMultilevel"/>
    <w:lvl w:ilvl="0">
      <w:lvlJc w:val="left"/>
      <w:lvlText w:val="(%1)"/>
      <w:numFmt w:val="lowerLetter"/>
      <w:start w:val="1"/>
    </w:lvl>
  </w:abstractNum>
  <w:abstractNum w:abstractNumId="296">
    <w:nsid w:val="61C30361"/>
    <w:multiLevelType w:val="hybridMultilevel"/>
    <w:lvl w:ilvl="0">
      <w:lvlJc w:val="left"/>
      <w:lvlText w:val="(%1)"/>
      <w:numFmt w:val="lowerLetter"/>
      <w:start w:val="1"/>
    </w:lvl>
  </w:abstractNum>
  <w:abstractNum w:abstractNumId="297">
    <w:nsid w:val="632099E0"/>
    <w:multiLevelType w:val="hybridMultilevel"/>
    <w:lvl w:ilvl="0">
      <w:lvlJc w:val="left"/>
      <w:lvlText w:val="(%1)"/>
      <w:numFmt w:val="lowerLetter"/>
      <w:start w:val="1"/>
    </w:lvl>
    <w:lvl w:ilvl="1">
      <w:lvlJc w:val="left"/>
      <w:lvlText w:val="(%2)"/>
      <w:numFmt w:val="lowerRoman"/>
      <w:start w:val="1"/>
    </w:lvl>
  </w:abstractNum>
  <w:abstractNum w:abstractNumId="298">
    <w:nsid w:val="24639756"/>
    <w:multiLevelType w:val="hybridMultilevel"/>
    <w:lvl w:ilvl="0">
      <w:lvlJc w:val="left"/>
      <w:lvlText w:val="(%1)"/>
      <w:numFmt w:val="lowerLetter"/>
      <w:start w:val="1"/>
    </w:lvl>
  </w:abstractNum>
  <w:abstractNum w:abstractNumId="299">
    <w:nsid w:val="9D30DFD"/>
    <w:multiLevelType w:val="hybridMultilevel"/>
    <w:lvl w:ilvl="0">
      <w:lvlJc w:val="left"/>
      <w:lvlText w:val="(%1)"/>
      <w:numFmt w:val="lowerLetter"/>
      <w:start w:val="2"/>
    </w:lvl>
  </w:abstractNum>
  <w:abstractNum w:abstractNumId="300">
    <w:nsid w:val="70A42016"/>
    <w:multiLevelType w:val="hybridMultilevel"/>
    <w:lvl w:ilvl="0">
      <w:lvlJc w:val="left"/>
      <w:lvlText w:val="(%1)"/>
      <w:numFmt w:val="lowerLetter"/>
      <w:start w:val="1"/>
    </w:lvl>
    <w:lvl w:ilvl="1">
      <w:lvlJc w:val="left"/>
      <w:lvlText w:val="(%2)"/>
      <w:numFmt w:val="lowerRoman"/>
      <w:start w:val="1"/>
    </w:lvl>
  </w:abstractNum>
  <w:abstractNum w:abstractNumId="301">
    <w:nsid w:val="161BC243"/>
    <w:multiLevelType w:val="hybridMultilevel"/>
    <w:lvl w:ilvl="0">
      <w:lvlJc w:val="left"/>
      <w:lvlText w:val="(%1)"/>
      <w:numFmt w:val="lowerLetter"/>
      <w:start w:val="6"/>
    </w:lvl>
  </w:abstractNum>
  <w:abstractNum w:abstractNumId="302">
    <w:nsid w:val="16E908C8"/>
    <w:multiLevelType w:val="hybridMultilevel"/>
    <w:lvl w:ilvl="0">
      <w:lvlJc w:val="left"/>
      <w:lvlText w:val="(%1)"/>
      <w:numFmt w:val="lowerLetter"/>
      <w:start w:val="1"/>
    </w:lvl>
  </w:abstractNum>
  <w:abstractNum w:abstractNumId="303">
    <w:nsid w:val="2E0D7671"/>
    <w:multiLevelType w:val="hybridMultilevel"/>
    <w:lvl w:ilvl="0">
      <w:lvlJc w:val="left"/>
      <w:lvlText w:val="(%1)"/>
      <w:numFmt w:val="lowerRoman"/>
      <w:start w:val="1"/>
    </w:lvl>
  </w:abstractNum>
  <w:abstractNum w:abstractNumId="304">
    <w:nsid w:val="38B59EFF"/>
    <w:multiLevelType w:val="hybridMultilevel"/>
    <w:lvl w:ilvl="0">
      <w:lvlJc w:val="left"/>
      <w:lvlText w:val="%1"/>
      <w:numFmt w:val="decimal"/>
      <w:start w:val="12"/>
    </w:lvl>
  </w:abstractNum>
  <w:abstractNum w:abstractNumId="305">
    <w:nsid w:val="307995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6">
    <w:nsid w:val="52E2024D"/>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307">
    <w:nsid w:val="CE344B5"/>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308">
    <w:nsid w:val="29B0E9A8"/>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309">
    <w:nsid w:val="6F49CD8A"/>
    <w:multiLevelType w:val="hybridMultilevel"/>
    <w:lvl w:ilvl="0">
      <w:lvlJc w:val="left"/>
      <w:lvlText w:val="(%1)"/>
      <w:numFmt w:val="lowerRoman"/>
      <w:start w:val="5"/>
    </w:lvl>
  </w:abstractNum>
  <w:abstractNum w:abstractNumId="310">
    <w:nsid w:val="4DC5D907"/>
    <w:multiLevelType w:val="hybridMultilevel"/>
    <w:lvl w:ilvl="0">
      <w:lvlJc w:val="left"/>
      <w:lvlText w:val="%1"/>
      <w:numFmt w:val="decimal"/>
      <w:start w:val="13"/>
    </w:lvl>
  </w:abstractNum>
  <w:abstractNum w:abstractNumId="311">
    <w:nsid w:val="D55945E"/>
    <w:multiLevelType w:val="hybridMultilevel"/>
    <w:lvl w:ilvl="0">
      <w:lvlJc w:val="left"/>
      <w:lvlText w:val="(%1)"/>
      <w:numFmt w:val="lowerLetter"/>
      <w:start w:val="1"/>
    </w:lvl>
  </w:abstractNum>
  <w:abstractNum w:abstractNumId="312">
    <w:nsid w:val="672417E1"/>
    <w:multiLevelType w:val="hybridMultilevel"/>
    <w:lvl w:ilvl="0">
      <w:lvlJc w:val="left"/>
      <w:lvlText w:val="(%1)"/>
      <w:numFmt w:val="lowerLetter"/>
      <w:start w:val="3"/>
    </w:lvl>
  </w:abstractNum>
  <w:abstractNum w:abstractNumId="313">
    <w:nsid w:val="5FF6CA09"/>
    <w:multiLevelType w:val="hybridMultilevel"/>
    <w:lvl w:ilvl="0">
      <w:lvlJc w:val="left"/>
      <w:lvlText w:val="(%1)"/>
      <w:numFmt w:val="lowerLetter"/>
      <w:start w:val="1"/>
    </w:lvl>
  </w:abstractNum>
  <w:abstractNum w:abstractNumId="314">
    <w:nsid w:val="330B1333"/>
    <w:multiLevelType w:val="hybridMultilevel"/>
    <w:lvl w:ilvl="0">
      <w:lvlJc w:val="left"/>
      <w:lvlText w:val="(%1)"/>
      <w:numFmt w:val="lowerLetter"/>
      <w:start w:val="1"/>
    </w:lvl>
  </w:abstractNum>
  <w:abstractNum w:abstractNumId="315">
    <w:nsid w:val="2EF32EA6"/>
    <w:multiLevelType w:val="hybridMultilevel"/>
    <w:lvl w:ilvl="0">
      <w:lvlJc w:val="left"/>
      <w:lvlText w:val="(%1)"/>
      <w:numFmt w:val="lowerLetter"/>
      <w:start w:val="3"/>
    </w:lvl>
  </w:abstractNum>
  <w:abstractNum w:abstractNumId="316">
    <w:nsid w:val="32766A55"/>
    <w:multiLevelType w:val="hybridMultilevel"/>
    <w:lvl w:ilvl="0">
      <w:lvlJc w:val="left"/>
      <w:lvlText w:val="(%1)"/>
      <w:numFmt w:val="lowerLetter"/>
      <w:start w:val="1"/>
    </w:lvl>
    <w:lvl w:ilvl="1">
      <w:lvlJc w:val="left"/>
      <w:lvlText w:val="(%2)"/>
      <w:numFmt w:val="lowerRoman"/>
      <w:start w:val="1"/>
    </w:lvl>
  </w:abstractNum>
  <w:abstractNum w:abstractNumId="317">
    <w:nsid w:val="22D71957"/>
    <w:multiLevelType w:val="hybridMultilevel"/>
    <w:lvl w:ilvl="0">
      <w:lvlJc w:val="left"/>
      <w:lvlText w:val="(%1)"/>
      <w:numFmt w:val="lowerLetter"/>
      <w:start w:val="1"/>
    </w:lvl>
  </w:abstractNum>
  <w:abstractNum w:abstractNumId="318">
    <w:nsid w:val="4CC1263B"/>
    <w:multiLevelType w:val="hybridMultilevel"/>
    <w:lvl w:ilvl="0">
      <w:lvlJc w:val="left"/>
      <w:lvlText w:val="(%1)"/>
      <w:numFmt w:val="lowerLetter"/>
      <w:start w:val="1"/>
    </w:lvl>
  </w:abstractNum>
  <w:abstractNum w:abstractNumId="319">
    <w:nsid w:val="8BBEB1D"/>
    <w:multiLevelType w:val="hybridMultilevel"/>
    <w:lvl w:ilvl="0">
      <w:lvlJc w:val="left"/>
      <w:lvlText w:val="(%1)"/>
      <w:numFmt w:val="lowerLetter"/>
      <w:start w:val="1"/>
    </w:lvl>
  </w:abstractNum>
  <w:abstractNum w:abstractNumId="320">
    <w:nsid w:val="7365F1EE"/>
    <w:multiLevelType w:val="hybridMultilevel"/>
    <w:lvl w:ilvl="0">
      <w:lvlJc w:val="left"/>
      <w:lvlText w:val="(%1)"/>
      <w:numFmt w:val="lowerLetter"/>
      <w:start w:val="1"/>
    </w:lvl>
    <w:lvl w:ilvl="1">
      <w:lvlJc w:val="left"/>
      <w:lvlText w:val="(%2)"/>
      <w:numFmt w:val="lowerRoman"/>
      <w:start w:val="1"/>
    </w:lvl>
  </w:abstractNum>
  <w:abstractNum w:abstractNumId="321">
    <w:nsid w:val="37524CF0"/>
    <w:multiLevelType w:val="hybridMultilevel"/>
    <w:lvl w:ilvl="0">
      <w:lvlJc w:val="left"/>
      <w:lvlText w:val="(%1)"/>
      <w:numFmt w:val="lowerLetter"/>
      <w:start w:val="1"/>
    </w:lvl>
    <w:lvl w:ilvl="1">
      <w:lvlJc w:val="left"/>
      <w:lvlText w:val="(%2)"/>
      <w:numFmt w:val="lowerRoman"/>
      <w:start w:val="1"/>
    </w:lvl>
  </w:abstractNum>
  <w:abstractNum w:abstractNumId="322">
    <w:nsid w:val="70CC332F"/>
    <w:multiLevelType w:val="hybridMultilevel"/>
    <w:lvl w:ilvl="0">
      <w:lvlJc w:val="left"/>
      <w:lvlText w:val="(%1)"/>
      <w:numFmt w:val="lowerLetter"/>
      <w:start w:val="1"/>
    </w:lvl>
    <w:lvl w:ilvl="1">
      <w:lvlJc w:val="left"/>
      <w:lvlText w:val="(%2)"/>
      <w:numFmt w:val="lowerRoman"/>
      <w:start w:val="1"/>
    </w:lvl>
  </w:abstractNum>
  <w:abstractNum w:abstractNumId="323">
    <w:nsid w:val="5661786E"/>
    <w:multiLevelType w:val="hybridMultilevel"/>
    <w:lvl w:ilvl="0">
      <w:lvlJc w:val="left"/>
      <w:lvlText w:val="%1"/>
      <w:numFmt w:val="decimal"/>
      <w:start w:val="14"/>
    </w:lvl>
  </w:abstractNum>
  <w:abstractNum w:abstractNumId="324">
    <w:nsid w:val="3AF6A220"/>
    <w:multiLevelType w:val="hybridMultilevel"/>
    <w:lvl w:ilvl="0">
      <w:lvlJc w:val="left"/>
      <w:lvlText w:val="(%1)"/>
      <w:numFmt w:val="lowerLetter"/>
      <w:start w:val="1"/>
    </w:lvl>
  </w:abstractNum>
  <w:abstractNum w:abstractNumId="325">
    <w:nsid w:val="3C5EA902"/>
    <w:multiLevelType w:val="hybridMultilevel"/>
    <w:lvl w:ilvl="0">
      <w:lvlJc w:val="left"/>
      <w:lvlText w:val="(%1)"/>
      <w:numFmt w:val="lowerLetter"/>
      <w:start w:val="1"/>
    </w:lvl>
  </w:abstractNum>
  <w:abstractNum w:abstractNumId="326">
    <w:nsid w:val="256E6749"/>
    <w:multiLevelType w:val="hybridMultilevel"/>
    <w:lvl w:ilvl="0">
      <w:lvlJc w:val="left"/>
      <w:lvlText w:val="(%1)"/>
      <w:numFmt w:val="lowerLetter"/>
      <w:start w:val="2"/>
    </w:lvl>
    <w:lvl w:ilvl="1">
      <w:lvlJc w:val="left"/>
      <w:lvlText w:val="(%2)"/>
      <w:numFmt w:val="lowerRoman"/>
      <w:start w:val="1"/>
    </w:lvl>
  </w:abstractNum>
  <w:abstractNum w:abstractNumId="327">
    <w:nsid w:val="1CB9A581"/>
    <w:multiLevelType w:val="hybridMultilevel"/>
    <w:lvl w:ilvl="0">
      <w:lvlJc w:val="left"/>
      <w:lvlText w:val="(%1)"/>
      <w:numFmt w:val="lowerLetter"/>
      <w:start w:val="1"/>
    </w:lvl>
  </w:abstractNum>
  <w:abstractNum w:abstractNumId="328">
    <w:nsid w:val="1F7F42E2"/>
    <w:multiLevelType w:val="hybridMultilevel"/>
    <w:lvl w:ilvl="0">
      <w:lvlJc w:val="left"/>
      <w:lvlText w:val="(%1)"/>
      <w:numFmt w:val="lowerLetter"/>
      <w:start w:val="1"/>
    </w:lvl>
  </w:abstractNum>
  <w:abstractNum w:abstractNumId="329">
    <w:nsid w:val="49D1FEA0"/>
    <w:multiLevelType w:val="hybridMultilevel"/>
    <w:lvl w:ilvl="0">
      <w:lvlJc w:val="left"/>
      <w:lvlText w:val="(%1)"/>
      <w:numFmt w:val="lowerLetter"/>
      <w:start w:val="1"/>
    </w:lvl>
  </w:abstractNum>
  <w:abstractNum w:abstractNumId="330">
    <w:nsid w:val="268CB37F"/>
    <w:multiLevelType w:val="hybridMultilevel"/>
    <w:lvl w:ilvl="0">
      <w:lvlJc w:val="left"/>
      <w:lvlText w:val="(%1)"/>
      <w:numFmt w:val="lowerLetter"/>
      <w:start w:val="3"/>
    </w:lvl>
  </w:abstractNum>
  <w:abstractNum w:abstractNumId="331">
    <w:nsid w:val="102362F8"/>
    <w:multiLevelType w:val="hybridMultilevel"/>
    <w:lvl w:ilvl="0">
      <w:lvlJc w:val="left"/>
      <w:lvlText w:val="(%1)"/>
      <w:numFmt w:val="lowerLetter"/>
      <w:start w:val="1"/>
    </w:lvl>
  </w:abstractNum>
  <w:abstractNum w:abstractNumId="332">
    <w:nsid w:val="5FEDC0E3"/>
    <w:multiLevelType w:val="hybridMultilevel"/>
    <w:lvl w:ilvl="0">
      <w:lvlJc w:val="left"/>
      <w:lvlText w:val="(%1)"/>
      <w:numFmt w:val="lowerLetter"/>
      <w:start w:val="1"/>
    </w:lvl>
  </w:abstractNum>
  <w:abstractNum w:abstractNumId="333">
    <w:nsid w:val="3D75BC47"/>
    <w:multiLevelType w:val="hybridMultilevel"/>
    <w:lvl w:ilvl="0">
      <w:lvlJc w:val="left"/>
      <w:lvlText w:val="(%1)"/>
      <w:numFmt w:val="lowerLetter"/>
      <w:start w:val="4"/>
    </w:lvl>
  </w:abstractNum>
  <w:abstractNum w:abstractNumId="334">
    <w:nsid w:val="3E30D969"/>
    <w:multiLevelType w:val="hybridMultilevel"/>
    <w:lvl w:ilvl="0">
      <w:lvlJc w:val="left"/>
      <w:lvlText w:val="(%1)"/>
      <w:numFmt w:val="lowerLetter"/>
      <w:start w:val="1"/>
    </w:lvl>
  </w:abstractNum>
  <w:abstractNum w:abstractNumId="335">
    <w:nsid w:val="18A35FE3"/>
    <w:multiLevelType w:val="hybridMultilevel"/>
    <w:lvl w:ilvl="0">
      <w:lvlJc w:val="left"/>
      <w:lvlText w:val="(%1)"/>
      <w:numFmt w:val="lowerLetter"/>
      <w:start w:val="1"/>
    </w:lvl>
  </w:abstractNum>
  <w:abstractNum w:abstractNumId="336">
    <w:nsid w:val="6DEF5211"/>
    <w:multiLevelType w:val="hybridMultilevel"/>
    <w:lvl w:ilvl="0">
      <w:lvlJc w:val="left"/>
      <w:lvlText w:val="(%1)"/>
      <w:numFmt w:val="lowerLetter"/>
      <w:start w:val="1"/>
    </w:lvl>
  </w:abstractNum>
  <w:abstractNum w:abstractNumId="337">
    <w:nsid w:val="1112DBB6"/>
    <w:multiLevelType w:val="hybridMultilevel"/>
    <w:lvl w:ilvl="0">
      <w:lvlJc w:val="left"/>
      <w:lvlText w:val="(%1)"/>
      <w:numFmt w:val="lowerLetter"/>
      <w:start w:val="1"/>
    </w:lvl>
  </w:abstractNum>
  <w:abstractNum w:abstractNumId="338">
    <w:nsid w:val="2586A498"/>
    <w:multiLevelType w:val="hybridMultilevel"/>
    <w:lvl w:ilvl="0">
      <w:lvlJc w:val="left"/>
      <w:lvlText w:val="(%1)"/>
      <w:numFmt w:val="lowerLetter"/>
      <w:start w:val="1"/>
    </w:lvl>
  </w:abstractNum>
  <w:abstractNum w:abstractNumId="339">
    <w:nsid w:val="17A03BB9"/>
    <w:multiLevelType w:val="hybridMultilevel"/>
    <w:lvl w:ilvl="0">
      <w:lvlJc w:val="left"/>
      <w:lvlText w:val="(%1)"/>
      <w:numFmt w:val="lowerLetter"/>
      <w:start w:val="3"/>
    </w:lvl>
  </w:abstractNum>
  <w:abstractNum w:abstractNumId="340">
    <w:nsid w:val="5CA941"/>
    <w:multiLevelType w:val="hybridMultilevel"/>
    <w:lvl w:ilvl="0">
      <w:lvlJc w:val="left"/>
      <w:lvlText w:val="%1"/>
      <w:numFmt w:val="decimal"/>
      <w:start w:val="16"/>
    </w:lvl>
  </w:abstractNum>
  <w:abstractNum w:abstractNumId="341">
    <w:nsid w:val="734C7D9F"/>
    <w:multiLevelType w:val="hybridMultilevel"/>
    <w:lvl w:ilvl="0">
      <w:lvlJc w:val="left"/>
      <w:lvlText w:val="(%1)"/>
      <w:numFmt w:val="lowerLetter"/>
      <w:start w:val="1"/>
    </w:lvl>
    <w:lvl w:ilvl="1">
      <w:lvlJc w:val="left"/>
      <w:lvlText w:val="(%2)"/>
      <w:numFmt w:val="lowerRoman"/>
      <w:start w:val="1"/>
    </w:lvl>
  </w:abstractNum>
  <w:abstractNum w:abstractNumId="342">
    <w:nsid w:val="24F5D018"/>
    <w:multiLevelType w:val="hybridMultilevel"/>
    <w:lvl w:ilvl="0">
      <w:lvlJc w:val="left"/>
      <w:lvlText w:val="(%1)"/>
      <w:numFmt w:val="lowerRoman"/>
      <w:start w:val="4"/>
    </w:lvl>
  </w:abstractNum>
  <w:abstractNum w:abstractNumId="343">
    <w:nsid w:val="6780C122"/>
    <w:multiLevelType w:val="hybridMultilevel"/>
    <w:lvl w:ilvl="0">
      <w:lvlJc w:val="left"/>
      <w:lvlText w:val="(%1)"/>
      <w:numFmt w:val="lowerLetter"/>
      <w:start w:val="1"/>
    </w:lvl>
  </w:abstractNum>
  <w:abstractNum w:abstractNumId="344">
    <w:nsid w:val="534347A8"/>
    <w:multiLevelType w:val="hybridMultilevel"/>
    <w:lvl w:ilvl="0">
      <w:lvlJc w:val="left"/>
      <w:lvlText w:val="(%1)"/>
      <w:numFmt w:val="lowerLetter"/>
      <w:start w:val="2"/>
    </w:lvl>
  </w:abstractNum>
  <w:abstractNum w:abstractNumId="345">
    <w:nsid w:val="5800E34B"/>
    <w:multiLevelType w:val="hybridMultilevel"/>
    <w:lvl w:ilvl="0">
      <w:lvlJc w:val="left"/>
      <w:lvlText w:val="(%1)"/>
      <w:numFmt w:val="lowerLetter"/>
      <w:start w:val="1"/>
    </w:lvl>
  </w:abstractNum>
  <w:abstractNum w:abstractNumId="346">
    <w:nsid w:val="1673EFC8"/>
    <w:multiLevelType w:val="hybridMultilevel"/>
    <w:lvl w:ilvl="0">
      <w:lvlJc w:val="left"/>
      <w:lvlText w:val="(%1)"/>
      <w:numFmt w:val="lowerLetter"/>
      <w:start w:val="1"/>
    </w:lvl>
  </w:abstractNum>
  <w:abstractNum w:abstractNumId="347">
    <w:nsid w:val="5B9B1FD"/>
    <w:multiLevelType w:val="hybridMultilevel"/>
    <w:lvl w:ilvl="0">
      <w:lvlJc w:val="left"/>
      <w:lvlText w:val="(%1)"/>
      <w:numFmt w:val="lowerLetter"/>
      <w:start w:val="1"/>
    </w:lvl>
    <w:lvl w:ilvl="1">
      <w:lvlJc w:val="left"/>
      <w:lvlText w:val="(%2)"/>
      <w:numFmt w:val="lowerRoman"/>
      <w:start w:val="1"/>
    </w:lvl>
  </w:abstractNum>
  <w:abstractNum w:abstractNumId="348">
    <w:nsid w:val="7AD7FCA2"/>
    <w:multiLevelType w:val="hybridMultilevel"/>
    <w:lvl w:ilvl="0">
      <w:lvlJc w:val="left"/>
      <w:lvlText w:val="(%1)"/>
      <w:numFmt w:val="lowerLetter"/>
      <w:start w:val="2"/>
    </w:lvl>
  </w:abstractNum>
  <w:abstractNum w:abstractNumId="349">
    <w:nsid w:val="63351604"/>
    <w:multiLevelType w:val="hybridMultilevel"/>
    <w:lvl w:ilvl="0">
      <w:lvlJc w:val="left"/>
      <w:lvlText w:val="(%1)"/>
      <w:numFmt w:val="lowerLetter"/>
      <w:start w:val="5"/>
    </w:lvl>
    <w:lvl w:ilvl="1">
      <w:lvlJc w:val="left"/>
      <w:lvlText w:val="(%2)"/>
      <w:numFmt w:val="lowerRoman"/>
      <w:start w:val="1"/>
    </w:lvl>
  </w:abstractNum>
  <w:abstractNum w:abstractNumId="350">
    <w:nsid w:val="E759D1A"/>
    <w:multiLevelType w:val="hybridMultilevel"/>
    <w:lvl w:ilvl="0">
      <w:lvlJc w:val="left"/>
      <w:lvlText w:val="%1"/>
      <w:numFmt w:val="decimal"/>
      <w:start w:val="17"/>
    </w:lvl>
  </w:abstractNum>
  <w:abstractNum w:abstractNumId="351">
    <w:nsid w:val="6E3DEE90"/>
    <w:multiLevelType w:val="hybridMultilevel"/>
    <w:lvl w:ilvl="0">
      <w:lvlJc w:val="left"/>
      <w:lvlText w:val="(%1)"/>
      <w:numFmt w:val="lowerLetter"/>
      <w:start w:val="1"/>
    </w:lvl>
    <w:lvl w:ilvl="1">
      <w:lvlJc w:val="left"/>
      <w:lvlText w:val="(%2)"/>
      <w:numFmt w:val="lowerRoman"/>
      <w:start w:val="1"/>
    </w:lvl>
  </w:abstractNum>
  <w:abstractNum w:abstractNumId="352">
    <w:nsid w:val="1A8762F4"/>
    <w:multiLevelType w:val="hybridMultilevel"/>
    <w:lvl w:ilvl="0">
      <w:lvlJc w:val="left"/>
      <w:lvlText w:val="%1"/>
      <w:numFmt w:val="lowerLetter"/>
      <w:start w:val="1"/>
    </w:lvl>
    <w:lvl w:ilvl="1">
      <w:lvlJc w:val="left"/>
      <w:lvlText w:val="(%2)"/>
      <w:numFmt w:val="lowerRoman"/>
      <w:start w:val="2"/>
    </w:lvl>
  </w:abstractNum>
  <w:abstractNum w:abstractNumId="353">
    <w:nsid w:val="7F41D049"/>
    <w:multiLevelType w:val="hybridMultilevel"/>
    <w:lvl w:ilvl="0">
      <w:lvlJc w:val="left"/>
      <w:lvlText w:val="(%1)"/>
      <w:numFmt w:val="lowerLetter"/>
      <w:start w:val="3"/>
    </w:lvl>
    <w:lvl w:ilvl="1">
      <w:lvlJc w:val="left"/>
      <w:lvlText w:val="%2"/>
      <w:numFmt w:val="lowerRoman"/>
      <w:start w:val="1"/>
    </w:lvl>
  </w:abstractNum>
  <w:abstractNum w:abstractNumId="354">
    <w:nsid w:val="449F66FE"/>
    <w:multiLevelType w:val="hybridMultilevel"/>
    <w:lvl w:ilvl="0">
      <w:lvlJc w:val="left"/>
      <w:lvlText w:val="%1"/>
      <w:numFmt w:val="decimal"/>
      <w:start w:val="18"/>
    </w:lvl>
  </w:abstractNum>
  <w:abstractNum w:abstractNumId="355">
    <w:nsid w:val="557E05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6">
    <w:nsid w:val="3BA0794B"/>
    <w:multiLevelType w:val="hybridMultilevel"/>
    <w:lvl w:ilvl="0">
      <w:lvlJc w:val="left"/>
      <w:lvlText w:val="(%1)"/>
      <w:numFmt w:val="lowerLetter"/>
      <w:start w:val="1"/>
    </w:lvl>
  </w:abstractNum>
  <w:abstractNum w:abstractNumId="357">
    <w:nsid w:val="6A0DCE48"/>
    <w:multiLevelType w:val="hybridMultilevel"/>
    <w:lvl w:ilvl="0">
      <w:lvlJc w:val="left"/>
      <w:lvlText w:val="(%1)"/>
      <w:numFmt w:val="lowerLetter"/>
      <w:start w:val="1"/>
    </w:lvl>
  </w:abstractNum>
  <w:abstractNum w:abstractNumId="358">
    <w:nsid w:val="7237AA96"/>
    <w:multiLevelType w:val="hybridMultilevel"/>
    <w:lvl w:ilvl="0">
      <w:lvlJc w:val="left"/>
      <w:lvlText w:val="(%1)"/>
      <w:numFmt w:val="lowerLetter"/>
      <w:start w:val="4"/>
    </w:lvl>
  </w:abstractNum>
  <w:abstractNum w:abstractNumId="359">
    <w:nsid w:val="5B1FBC2D"/>
    <w:multiLevelType w:val="hybridMultilevel"/>
    <w:lvl w:ilvl="0">
      <w:lvlJc w:val="left"/>
      <w:lvlText w:val="(%1)"/>
      <w:numFmt w:val="lowerLetter"/>
      <w:start w:val="1"/>
    </w:lvl>
  </w:abstractNum>
  <w:abstractNum w:abstractNumId="360">
    <w:nsid w:val="33DFCCE8"/>
    <w:multiLevelType w:val="hybridMultilevel"/>
    <w:lvl w:ilvl="0">
      <w:lvlJc w:val="left"/>
      <w:lvlText w:val="%1"/>
      <w:numFmt w:val="decimal"/>
      <w:start w:val="19"/>
    </w:lvl>
  </w:abstractNum>
  <w:abstractNum w:abstractNumId="361">
    <w:nsid w:val="18C45E15"/>
    <w:multiLevelType w:val="hybridMultilevel"/>
    <w:lvl w:ilvl="0">
      <w:lvlJc w:val="left"/>
      <w:lvlText w:val="(%1)"/>
      <w:numFmt w:val="lowerLetter"/>
      <w:start w:val="1"/>
    </w:lvl>
    <w:lvl w:ilvl="1">
      <w:lvlJc w:val="left"/>
      <w:lvlText w:val="(%2)"/>
      <w:numFmt w:val="lowerLetter"/>
      <w:start w:val="1"/>
    </w:lvl>
  </w:abstractNum>
  <w:abstractNum w:abstractNumId="362">
    <w:nsid w:val="6B431F25"/>
    <w:multiLevelType w:val="hybridMultilevel"/>
    <w:lvl w:ilvl="0">
      <w:lvlJc w:val="left"/>
      <w:lvlText w:val="%1"/>
      <w:numFmt w:val="lowerLetter"/>
      <w:start w:val="1"/>
    </w:lvl>
    <w:lvl w:ilvl="1">
      <w:lvlJc w:val="left"/>
      <w:lvlText w:val="(%2)"/>
      <w:numFmt w:val="lowerLetter"/>
      <w:start w:val="9"/>
    </w:lvl>
  </w:abstractNum>
  <w:abstractNum w:abstractNumId="363">
    <w:nsid w:val="13CD8DCB"/>
    <w:multiLevelType w:val="hybridMultilevel"/>
    <w:lvl w:ilvl="0">
      <w:lvlJc w:val="left"/>
      <w:lvlText w:val="(%1)"/>
      <w:numFmt w:val="lowerRoman"/>
      <w:start w:val="2"/>
    </w:lvl>
  </w:abstractNum>
  <w:abstractNum w:abstractNumId="364">
    <w:nsid w:val="563A1A5C"/>
    <w:multiLevelType w:val="hybridMultilevel"/>
    <w:lvl w:ilvl="0">
      <w:lvlJc w:val="left"/>
      <w:lvlText w:val="(%1)"/>
      <w:numFmt w:val="lowerLetter"/>
      <w:start w:val="7"/>
    </w:lvl>
    <w:lvl w:ilvl="1">
      <w:lvlJc w:val="left"/>
      <w:lvlText w:val="(%2)"/>
      <w:numFmt w:val="lowerRoman"/>
      <w:start w:val="1"/>
    </w:lvl>
  </w:abstractNum>
  <w:abstractNum w:abstractNumId="365">
    <w:nsid w:val="2973F88F"/>
    <w:multiLevelType w:val="hybridMultilevel"/>
    <w:lvl w:ilvl="0">
      <w:lvlJc w:val="left"/>
      <w:lvlText w:val="%1"/>
      <w:numFmt w:val="lowerLetter"/>
      <w:start w:val="1"/>
    </w:lvl>
    <w:lvl w:ilvl="1">
      <w:lvlJc w:val="left"/>
      <w:lvlText w:val="(%2)"/>
      <w:numFmt w:val="lowerRoman"/>
      <w:start w:val="9"/>
    </w:lvl>
  </w:abstractNum>
  <w:abstractNum w:abstractNumId="366">
    <w:nsid w:val="2C70EDAE"/>
    <w:multiLevelType w:val="hybridMultilevel"/>
    <w:lvl w:ilvl="0">
      <w:lvlJc w:val="left"/>
      <w:lvlText w:val="(%1)"/>
      <w:numFmt w:val="lowerLetter"/>
      <w:start w:val="8"/>
    </w:lvl>
    <w:lvl w:ilvl="1">
      <w:lvlJc w:val="left"/>
      <w:lvlText w:val="%2"/>
      <w:numFmt w:val="lowerRoman"/>
      <w:start w:val="1"/>
    </w:lvl>
  </w:abstractNum>
  <w:abstractNum w:abstractNumId="367">
    <w:nsid w:val="44296C6D"/>
    <w:multiLevelType w:val="hybridMultilevel"/>
    <w:lvl w:ilvl="0">
      <w:lvlJc w:val="left"/>
      <w:lvlText w:val="%1"/>
      <w:numFmt w:val="lowerLetter"/>
      <w:start w:val="1"/>
    </w:lvl>
    <w:lvl w:ilvl="1">
      <w:lvlJc w:val="left"/>
      <w:lvlText w:val="(%2)"/>
      <w:numFmt w:val="lowerRoman"/>
      <w:start w:val="1"/>
    </w:lvl>
  </w:abstractNum>
  <w:abstractNum w:abstractNumId="368">
    <w:nsid w:val="3A86D445"/>
    <w:multiLevelType w:val="hybridMultilevel"/>
    <w:lvl w:ilvl="0">
      <w:lvlJc w:val="left"/>
      <w:lvlText w:val="(%1)"/>
      <w:numFmt w:val="lowerLetter"/>
      <w:start w:val="10"/>
    </w:lvl>
    <w:lvl w:ilvl="1">
      <w:lvlJc w:val="left"/>
      <w:lvlText w:val="(%2)"/>
      <w:numFmt w:val="lowerRoman"/>
      <w:start w:val="1"/>
    </w:lvl>
  </w:abstractNum>
  <w:abstractNum w:abstractNumId="369">
    <w:nsid w:val="51F79246"/>
    <w:multiLevelType w:val="hybridMultilevel"/>
    <w:lvl w:ilvl="0">
      <w:lvlJc w:val="left"/>
      <w:lvlText w:val="(%1)"/>
      <w:numFmt w:val="lowerLetter"/>
      <w:start w:val="1"/>
    </w:lvl>
    <w:lvl w:ilvl="1">
      <w:lvlJc w:val="left"/>
      <w:lvlText w:val="(%2)"/>
      <w:numFmt w:val="lowerRoman"/>
      <w:start w:val="1"/>
    </w:lvl>
  </w:abstractNum>
  <w:abstractNum w:abstractNumId="370">
    <w:nsid w:val="5BC9A827"/>
    <w:multiLevelType w:val="hybridMultilevel"/>
    <w:lvl w:ilvl="0">
      <w:lvlJc w:val="left"/>
      <w:lvlText w:val="(%1)"/>
      <w:numFmt w:val="lowerLetter"/>
      <w:start w:val="1"/>
    </w:lvl>
  </w:abstractNum>
  <w:abstractNum w:abstractNumId="371">
    <w:nsid w:val="3AE37D86"/>
    <w:multiLevelType w:val="hybridMultilevel"/>
    <w:lvl w:ilvl="0">
      <w:lvlJc w:val="left"/>
      <w:lvlText w:val="(%1)"/>
      <w:numFmt w:val="lowerLetter"/>
      <w:start w:val="1"/>
    </w:lvl>
  </w:abstractNum>
  <w:abstractNum w:abstractNumId="372">
    <w:nsid w:val="45440FE5"/>
    <w:multiLevelType w:val="hybridMultilevel"/>
    <w:lvl w:ilvl="0">
      <w:lvlJc w:val="left"/>
      <w:lvlText w:val="(%1)"/>
      <w:numFmt w:val="lowerLetter"/>
      <w:start w:val="1"/>
    </w:lvl>
  </w:abstractNum>
  <w:abstractNum w:abstractNumId="373">
    <w:nsid w:val="BF783F"/>
    <w:multiLevelType w:val="hybridMultilevel"/>
    <w:lvl w:ilvl="0">
      <w:lvlJc w:val="left"/>
      <w:lvlText w:val="(%1)"/>
      <w:numFmt w:val="lowerLetter"/>
      <w:start w:val="1"/>
    </w:lvl>
  </w:abstractNum>
  <w:abstractNum w:abstractNumId="374">
    <w:nsid w:val="22643EA9"/>
    <w:multiLevelType w:val="hybridMultilevel"/>
    <w:lvl w:ilvl="0">
      <w:lvlJc w:val="left"/>
      <w:lvlText w:val="(%1)"/>
      <w:numFmt w:val="lowerLetter"/>
      <w:start w:val="1"/>
    </w:lvl>
  </w:abstractNum>
  <w:abstractNum w:abstractNumId="375">
    <w:nsid w:val="1887578D"/>
    <w:multiLevelType w:val="hybridMultilevel"/>
    <w:lvl w:ilvl="0">
      <w:lvlJc w:val="left"/>
      <w:lvlText w:val="(%1)"/>
      <w:numFmt w:val="lowerLetter"/>
      <w:start w:val="3"/>
    </w:lvl>
  </w:abstractNum>
  <w:abstractNum w:abstractNumId="376">
    <w:nsid w:val="58C05B8A"/>
    <w:multiLevelType w:val="hybridMultilevel"/>
    <w:lvl w:ilvl="0">
      <w:lvlJc w:val="left"/>
      <w:lvlText w:val="(%1)"/>
      <w:numFmt w:val="lowerRoman"/>
      <w:start w:val="1"/>
    </w:lvl>
  </w:abstractNum>
  <w:abstractNum w:abstractNumId="377">
    <w:nsid w:val="38D82E71"/>
    <w:multiLevelType w:val="hybridMultilevel"/>
    <w:lvl w:ilvl="0">
      <w:lvlJc w:val="left"/>
      <w:lvlText w:val="(%1)"/>
      <w:numFmt w:val="lowerRoman"/>
      <w:start w:val="2"/>
    </w:lvl>
  </w:abstractNum>
  <w:abstractNum w:abstractNumId="378">
    <w:nsid w:val="1E41098A"/>
    <w:multiLevelType w:val="hybridMultilevel"/>
    <w:lvl w:ilvl="0">
      <w:lvlJc w:val="left"/>
      <w:lvlText w:val="(%1)"/>
      <w:numFmt w:val="lowerLetter"/>
      <w:start w:val="1"/>
    </w:lvl>
  </w:abstractNum>
  <w:abstractNum w:abstractNumId="379">
    <w:nsid w:val="5398582C"/>
    <w:multiLevelType w:val="hybridMultilevel"/>
    <w:lvl w:ilvl="0">
      <w:lvlJc w:val="left"/>
      <w:lvlText w:val="(%1)"/>
      <w:numFmt w:val="lowerLetter"/>
      <w:start w:val="5"/>
    </w:lvl>
  </w:abstractNum>
  <w:abstractNum w:abstractNumId="380">
    <w:nsid w:val="1C0D4475"/>
    <w:multiLevelType w:val="hybridMultilevel"/>
    <w:lvl w:ilvl="0">
      <w:lvlJc w:val="left"/>
      <w:lvlText w:val="(%1)"/>
      <w:numFmt w:val="lowerLetter"/>
      <w:start w:val="1"/>
    </w:lvl>
  </w:abstractNum>
  <w:abstractNum w:abstractNumId="381">
    <w:nsid w:val="2CB6A6A4"/>
    <w:multiLevelType w:val="hybridMultilevel"/>
    <w:lvl w:ilvl="0">
      <w:lvlJc w:val="left"/>
      <w:lvlText w:val="%1"/>
      <w:numFmt w:val="decimal"/>
      <w:start w:val="22"/>
    </w:lvl>
  </w:abstractNum>
  <w:abstractNum w:abstractNumId="382">
    <w:nsid w:val="41D646BC"/>
    <w:multiLevelType w:val="hybridMultilevel"/>
    <w:lvl w:ilvl="0">
      <w:lvlJc w:val="left"/>
      <w:lvlText w:val="(%1)"/>
      <w:numFmt w:val="lowerLetter"/>
      <w:start w:val="1"/>
    </w:lvl>
  </w:abstractNum>
  <w:abstractNum w:abstractNumId="383">
    <w:nsid w:val="3694A76A"/>
    <w:multiLevelType w:val="hybridMultilevel"/>
    <w:lvl w:ilvl="0">
      <w:lvlJc w:val="left"/>
      <w:lvlText w:val="(%1)"/>
      <w:numFmt w:val="lowerLetter"/>
      <w:start w:val="1"/>
    </w:lvl>
  </w:abstractNum>
  <w:abstractNum w:abstractNumId="384">
    <w:nsid w:val="2BF876E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5">
    <w:nsid w:val="675ADBA"/>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386">
    <w:nsid w:val="C12AC7F"/>
    <w:multiLevelType w:val="hybridMultilevel"/>
    <w:lvl w:ilvl="0">
      <w:lvlJc w:val="left"/>
      <w:lvlText w:val="%1"/>
      <w:numFmt w:val="lowerLetter"/>
      <w:start w:val="1"/>
    </w:lvl>
    <w:lvl w:ilvl="1">
      <w:lvlJc w:val="left"/>
      <w:lvlText w:val="(%2)"/>
      <w:numFmt w:val="lowerLetter"/>
      <w:start w:val="22"/>
    </w:lvl>
  </w:abstractNum>
  <w:abstractNum w:abstractNumId="387">
    <w:nsid w:val="6798F039"/>
    <w:multiLevelType w:val="hybridMultilevel"/>
    <w:lvl w:ilvl="0">
      <w:lvlJc w:val="left"/>
      <w:lvlText w:val="(%1)"/>
      <w:numFmt w:val="lowerLetter"/>
      <w:start w:val="2"/>
    </w:lvl>
    <w:lvl w:ilvl="1">
      <w:lvlJc w:val="left"/>
      <w:lvlText w:val="(%2)"/>
      <w:numFmt w:val="lowerLetter"/>
      <w:start w:val="9"/>
    </w:lvl>
  </w:abstractNum>
  <w:abstractNum w:abstractNumId="388">
    <w:nsid w:val="70837C02"/>
    <w:multiLevelType w:val="hybridMultilevel"/>
    <w:lvl w:ilvl="0">
      <w:lvlJc w:val="left"/>
      <w:lvlText w:val="(%1)"/>
      <w:numFmt w:val="lowerLetter"/>
      <w:start w:val="1"/>
    </w:lvl>
  </w:abstractNum>
  <w:abstractNum w:abstractNumId="389">
    <w:nsid w:val="7E4A5715"/>
    <w:multiLevelType w:val="hybridMultilevel"/>
    <w:lvl w:ilvl="0">
      <w:lvlJc w:val="left"/>
      <w:lvlText w:val="%1"/>
      <w:numFmt w:val="decimal"/>
      <w:start w:val="24"/>
    </w:lvl>
  </w:abstractNum>
  <w:abstractNum w:abstractNumId="390">
    <w:nsid w:val="42B8AC67"/>
    <w:multiLevelType w:val="hybridMultilevel"/>
    <w:lvl w:ilvl="0">
      <w:lvlJc w:val="left"/>
      <w:lvlText w:val="(%1)"/>
      <w:numFmt w:val="lowerLetter"/>
      <w:start w:val="1"/>
    </w:lvl>
  </w:abstractNum>
  <w:abstractNum w:abstractNumId="391">
    <w:nsid w:val="246348EA"/>
    <w:multiLevelType w:val="hybridMultilevel"/>
    <w:lvl w:ilvl="0">
      <w:lvlJc w:val="left"/>
      <w:lvlText w:val="(%1)"/>
      <w:numFmt w:val="lowerLetter"/>
      <w:start w:val="2"/>
    </w:lvl>
  </w:abstractNum>
  <w:abstractNum w:abstractNumId="392">
    <w:nsid w:val="170EB52B"/>
    <w:multiLevelType w:val="hybridMultilevel"/>
    <w:lvl w:ilvl="0">
      <w:lvlJc w:val="left"/>
      <w:lvlText w:val="(%1)"/>
      <w:numFmt w:val="lowerLetter"/>
      <w:start w:val="1"/>
    </w:lvl>
  </w:abstractNum>
  <w:abstractNum w:abstractNumId="393">
    <w:nsid w:val="2DFBCB8C"/>
    <w:multiLevelType w:val="hybridMultilevel"/>
    <w:lvl w:ilvl="0">
      <w:lvlJc w:val="left"/>
      <w:lvlText w:val="(%1)"/>
      <w:numFmt w:val="lowerLetter"/>
      <w:start w:val="1"/>
    </w:lvl>
  </w:abstractNum>
  <w:abstractNum w:abstractNumId="394">
    <w:nsid w:val="3830D6B6"/>
    <w:multiLevelType w:val="hybridMultilevel"/>
    <w:lvl w:ilvl="0">
      <w:lvlJc w:val="left"/>
      <w:lvlText w:val="(%1)"/>
      <w:numFmt w:val="lowerLetter"/>
      <w:start w:val="1"/>
    </w:lvl>
    <w:lvl w:ilvl="1">
      <w:lvlJc w:val="left"/>
      <w:lvlText w:val="(%2)"/>
      <w:numFmt w:val="lowerRoman"/>
      <w:start w:val="1"/>
    </w:lvl>
  </w:abstractNum>
  <w:abstractNum w:abstractNumId="395">
    <w:nsid w:val="6D48CF87"/>
    <w:multiLevelType w:val="hybridMultilevel"/>
    <w:lvl w:ilvl="0">
      <w:lvlJc w:val="left"/>
      <w:lvlText w:val="%1"/>
      <w:numFmt w:val="decimal"/>
      <w:start w:val="26"/>
    </w:lvl>
  </w:abstractNum>
  <w:abstractNum w:abstractNumId="396">
    <w:nsid w:val="576FC41B"/>
    <w:multiLevelType w:val="hybridMultilevel"/>
    <w:lvl w:ilvl="0">
      <w:lvlJc w:val="left"/>
      <w:lvlText w:val="(%1)"/>
      <w:numFmt w:val="lowerLetter"/>
      <w:start w:val="1"/>
    </w:lvl>
  </w:abstractNum>
  <w:abstractNum w:abstractNumId="397">
    <w:nsid w:val="64A1C464"/>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98">
    <w:nsid w:val="31723BF5"/>
    <w:multiLevelType w:val="hybridMultilevel"/>
    <w:lvl w:ilvl="0">
      <w:lvlJc w:val="left"/>
      <w:lvlText w:val="%1"/>
      <w:numFmt w:val="lowerLetter"/>
      <w:start w:val="1"/>
    </w:lvl>
    <w:lvl w:ilvl="1">
      <w:lvlJc w:val="left"/>
      <w:lvlText w:val="(%2)"/>
      <w:numFmt w:val="lowerLetter"/>
      <w:start w:val="61"/>
    </w:lvl>
  </w:abstractNum>
  <w:abstractNum w:abstractNumId="399">
    <w:nsid w:val="11F69861"/>
    <w:multiLevelType w:val="hybridMultilevel"/>
    <w:lvl w:ilvl="0">
      <w:lvlJc w:val="left"/>
      <w:lvlText w:val="(%1)"/>
      <w:numFmt w:val="lowerLetter"/>
      <w:start w:val="5"/>
    </w:lvl>
    <w:lvl w:ilvl="1">
      <w:lvlJc w:val="left"/>
      <w:lvlText w:val="%2"/>
      <w:numFmt w:val="lowerLetter"/>
      <w:start w:val="1"/>
    </w:lvl>
  </w:abstractNum>
  <w:abstractNum w:abstractNumId="400">
    <w:nsid w:val="369956AB"/>
    <w:multiLevelType w:val="hybridMultilevel"/>
    <w:lvl w:ilvl="0">
      <w:lvlJc w:val="left"/>
      <w:lvlText w:val="(%1)"/>
      <w:numFmt w:val="lowerLetter"/>
      <w:start w:val="1"/>
    </w:lvl>
  </w:abstractNum>
  <w:abstractNum w:abstractNumId="401">
    <w:nsid w:val="D3BE41C"/>
    <w:multiLevelType w:val="hybridMultilevel"/>
    <w:lvl w:ilvl="0">
      <w:lvlJc w:val="left"/>
      <w:lvlText w:val="(%1)"/>
      <w:numFmt w:val="lowerLetter"/>
      <w:start w:val="2"/>
    </w:lvl>
  </w:abstractNum>
  <w:abstractNum w:abstractNumId="402">
    <w:nsid w:val="4CDA15E7"/>
    <w:multiLevelType w:val="hybridMultilevel"/>
    <w:lvl w:ilvl="0">
      <w:lvlJc w:val="left"/>
      <w:lvlText w:val="(%1)"/>
      <w:numFmt w:val="lowerLetter"/>
      <w:start w:val="1"/>
    </w:lvl>
  </w:abstractNum>
  <w:abstractNum w:abstractNumId="403">
    <w:nsid w:val="7BDD6690"/>
    <w:multiLevelType w:val="hybridMultilevel"/>
    <w:lvl w:ilvl="0">
      <w:lvlJc w:val="left"/>
      <w:lvlText w:val="(%1)"/>
      <w:numFmt w:val="lowerLetter"/>
      <w:start w:val="6"/>
    </w:lvl>
  </w:abstractNum>
  <w:abstractNum w:abstractNumId="404">
    <w:nsid w:val="DFB5C5B"/>
    <w:multiLevelType w:val="hybridMultilevel"/>
    <w:lvl w:ilvl="0">
      <w:lvlJc w:val="left"/>
      <w:lvlText w:val="(%1)"/>
      <w:numFmt w:val="lowerLetter"/>
      <w:start w:val="1"/>
    </w:lvl>
    <w:lvl w:ilvl="1">
      <w:lvlJc w:val="left"/>
      <w:lvlText w:val="(%2)"/>
      <w:numFmt w:val="lowerRoman"/>
      <w:start w:val="1"/>
    </w:lvl>
  </w:abstractNum>
  <w:abstractNum w:abstractNumId="405">
    <w:nsid w:val="6F3E5490"/>
    <w:multiLevelType w:val="hybridMultilevel"/>
    <w:lvl w:ilvl="0">
      <w:lvlJc w:val="left"/>
      <w:lvlText w:val="(%1)"/>
      <w:numFmt w:val="lowerLetter"/>
      <w:start w:val="1"/>
    </w:lvl>
  </w:abstractNum>
  <w:abstractNum w:abstractNumId="406">
    <w:nsid w:val="1464BE1E"/>
    <w:multiLevelType w:val="hybridMultilevel"/>
    <w:lvl w:ilvl="0">
      <w:lvlJc w:val="left"/>
      <w:lvlText w:val="(%1)"/>
      <w:numFmt w:val="lowerLetter"/>
      <w:start w:val="1"/>
    </w:lvl>
    <w:lvl w:ilvl="1">
      <w:lvlJc w:val="left"/>
      <w:lvlText w:val="(%2)"/>
      <w:numFmt w:val="lowerRoman"/>
      <w:start w:val="1"/>
    </w:lvl>
  </w:abstractNum>
  <w:abstractNum w:abstractNumId="407">
    <w:nsid w:val="66BBB7E5"/>
    <w:multiLevelType w:val="hybridMultilevel"/>
    <w:lvl w:ilvl="0">
      <w:lvlJc w:val="left"/>
      <w:lvlText w:val="(%1)"/>
      <w:numFmt w:val="lowerLetter"/>
      <w:start w:val="1"/>
    </w:lvl>
    <w:lvl w:ilvl="1">
      <w:lvlJc w:val="left"/>
      <w:lvlText w:val="(%2)"/>
      <w:numFmt w:val="lowerRoman"/>
      <w:start w:val="1"/>
    </w:lvl>
  </w:abstractNum>
  <w:abstractNum w:abstractNumId="408">
    <w:nsid w:val="28168302"/>
    <w:multiLevelType w:val="hybridMultilevel"/>
    <w:lvl w:ilvl="0">
      <w:lvlJc w:val="left"/>
      <w:lvlText w:val="(%1)"/>
      <w:numFmt w:val="lowerLetter"/>
      <w:start w:val="2"/>
    </w:lvl>
    <w:lvl w:ilvl="1">
      <w:lvlJc w:val="left"/>
      <w:lvlText w:val="(%2)"/>
      <w:numFmt w:val="lowerRoman"/>
      <w:start w:val="1"/>
    </w:lvl>
  </w:abstractNum>
  <w:abstractNum w:abstractNumId="409">
    <w:nsid w:val="32A5C7A8"/>
    <w:multiLevelType w:val="hybridMultilevel"/>
    <w:lvl w:ilvl="0">
      <w:lvlJc w:val="left"/>
      <w:lvlText w:val="(%1)"/>
      <w:numFmt w:val="lowerLetter"/>
      <w:start w:val="1"/>
    </w:lvl>
    <w:lvl w:ilvl="1">
      <w:lvlJc w:val="left"/>
      <w:lvlText w:val="(%2)"/>
      <w:numFmt w:val="lowerRoman"/>
      <w:start w:val="1"/>
    </w:lvl>
  </w:abstractNum>
  <w:abstractNum w:abstractNumId="410">
    <w:nsid w:val="3A541011"/>
    <w:multiLevelType w:val="hybridMultilevel"/>
    <w:lvl w:ilvl="0">
      <w:lvlJc w:val="left"/>
      <w:lvlText w:val="(%1)"/>
      <w:numFmt w:val="lowerLetter"/>
      <w:start w:val="1"/>
    </w:lvl>
  </w:abstractNum>
  <w:abstractNum w:abstractNumId="411">
    <w:nsid w:val="4423C777"/>
    <w:multiLevelType w:val="hybridMultilevel"/>
    <w:lvl w:ilvl="0">
      <w:lvlJc w:val="left"/>
      <w:lvlText w:val="(%1)"/>
      <w:numFmt w:val="lowerRoman"/>
      <w:start w:val="1"/>
    </w:lvl>
    <w:lvl w:ilvl="1">
      <w:lvlJc w:val="left"/>
      <w:lvlText w:val="(%2)"/>
      <w:numFmt w:val="upperLetter"/>
      <w:start w:val="1"/>
    </w:lvl>
  </w:abstractNum>
  <w:abstractNum w:abstractNumId="412">
    <w:nsid w:val="5F5C6E4D"/>
    <w:multiLevelType w:val="hybridMultilevel"/>
    <w:lvl w:ilvl="0">
      <w:lvlJc w:val="left"/>
      <w:lvlText w:val="(%1)"/>
      <w:numFmt w:val="lowerLetter"/>
      <w:start w:val="2"/>
    </w:lvl>
    <w:lvl w:ilvl="1">
      <w:lvlJc w:val="left"/>
      <w:lvlText w:val="(%2)"/>
      <w:numFmt w:val="lowerRoman"/>
      <w:start w:val="1"/>
    </w:lvl>
  </w:abstractNum>
  <w:abstractNum w:abstractNumId="413">
    <w:nsid w:val="7C2A56CD"/>
    <w:multiLevelType w:val="hybridMultilevel"/>
    <w:lvl w:ilvl="0">
      <w:lvlJc w:val="left"/>
      <w:lvlText w:val="%1"/>
      <w:numFmt w:val="decimal"/>
      <w:start w:val="27"/>
    </w:lvl>
  </w:abstractNum>
  <w:abstractNum w:abstractNumId="414">
    <w:nsid w:val="7AB86EE1"/>
    <w:multiLevelType w:val="hybridMultilevel"/>
    <w:lvl w:ilvl="0">
      <w:lvlJc w:val="left"/>
      <w:lvlText w:val="(%1)"/>
      <w:numFmt w:val="lowerLetter"/>
      <w:start w:val="1"/>
    </w:lvl>
  </w:abstractNum>
  <w:abstractNum w:abstractNumId="415">
    <w:nsid w:val="B54E53B"/>
    <w:multiLevelType w:val="hybridMultilevel"/>
    <w:lvl w:ilvl="0">
      <w:lvlJc w:val="left"/>
      <w:lvlText w:val="(%1)"/>
      <w:numFmt w:val="lowerLetter"/>
      <w:start w:val="1"/>
    </w:lvl>
    <w:lvl w:ilvl="1">
      <w:lvlJc w:val="left"/>
      <w:lvlText w:val="(%2)"/>
      <w:numFmt w:val="lowerRoman"/>
      <w:start w:val="1"/>
    </w:lvl>
  </w:abstractNum>
  <w:abstractNum w:abstractNumId="416">
    <w:nsid w:val="2A00487"/>
    <w:multiLevelType w:val="hybridMultilevel"/>
    <w:lvl w:ilvl="0">
      <w:lvlJc w:val="left"/>
      <w:lvlText w:val="%1"/>
      <w:numFmt w:val="lowerLetter"/>
      <w:start w:val="1"/>
    </w:lvl>
    <w:lvl w:ilvl="1">
      <w:lvlJc w:val="left"/>
      <w:lvlText w:val="(%2)"/>
      <w:numFmt w:val="lowerRoman"/>
      <w:start w:val="4"/>
    </w:lvl>
  </w:abstractNum>
  <w:abstractNum w:abstractNumId="417">
    <w:nsid w:val="6CB1B60"/>
    <w:multiLevelType w:val="hybridMultilevel"/>
    <w:lvl w:ilvl="0">
      <w:lvlJc w:val="left"/>
      <w:lvlText w:val="(%1)"/>
      <w:numFmt w:val="lowerLetter"/>
      <w:start w:val="2"/>
    </w:lvl>
    <w:lvl w:ilvl="1">
      <w:lvlJc w:val="left"/>
      <w:lvlText w:val="%2"/>
      <w:numFmt w:val="lowerRoman"/>
      <w:start w:val="1"/>
    </w:lvl>
  </w:abstractNum>
  <w:abstractNum w:abstractNumId="418">
    <w:nsid w:val="72EDD574"/>
    <w:multiLevelType w:val="hybridMultilevel"/>
    <w:lvl w:ilvl="0">
      <w:lvlJc w:val="left"/>
      <w:lvlText w:val="(%1)"/>
      <w:numFmt w:val="lowerLetter"/>
      <w:start w:val="1"/>
    </w:lvl>
  </w:abstractNum>
  <w:abstractNum w:abstractNumId="419">
    <w:nsid w:val="7323808A"/>
    <w:multiLevelType w:val="hybridMultilevel"/>
    <w:lvl w:ilvl="0">
      <w:lvlJc w:val="left"/>
      <w:lvlText w:val="(%1)"/>
      <w:numFmt w:val="lowerLetter"/>
      <w:start w:val="1"/>
    </w:lvl>
  </w:abstractNum>
  <w:abstractNum w:abstractNumId="420">
    <w:nsid w:val="5157276"/>
    <w:multiLevelType w:val="hybridMultilevel"/>
    <w:lvl w:ilvl="0">
      <w:lvlJc w:val="left"/>
      <w:lvlText w:val="(%1)"/>
      <w:numFmt w:val="lowerRoman"/>
      <w:start w:val="1"/>
    </w:lvl>
  </w:abstractNum>
  <w:abstractNum w:abstractNumId="421">
    <w:nsid w:val="35A681DB"/>
    <w:multiLevelType w:val="hybridMultilevel"/>
    <w:lvl w:ilvl="0">
      <w:lvlJc w:val="left"/>
      <w:lvlText w:val="%1"/>
      <w:numFmt w:val="decimal"/>
      <w:start w:val="28"/>
    </w:lvl>
  </w:abstractNum>
  <w:abstractNum w:abstractNumId="422">
    <w:nsid w:val="1786C974"/>
    <w:multiLevelType w:val="hybridMultilevel"/>
    <w:lvl w:ilvl="0">
      <w:lvlJc w:val="left"/>
      <w:lvlText w:val="(%1)"/>
      <w:numFmt w:val="lowerLetter"/>
      <w:start w:val="1"/>
    </w:lvl>
  </w:abstractNum>
  <w:abstractNum w:abstractNumId="423">
    <w:nsid w:val="1C2427A1"/>
    <w:multiLevelType w:val="hybridMultilevel"/>
    <w:lvl w:ilvl="0">
      <w:lvlJc w:val="left"/>
      <w:lvlText w:val="(%1)"/>
      <w:numFmt w:val="lowerLetter"/>
      <w:start w:val="1"/>
    </w:lvl>
  </w:abstractNum>
  <w:abstractNum w:abstractNumId="424">
    <w:nsid w:val="63A24D68"/>
    <w:multiLevelType w:val="hybridMultilevel"/>
    <w:lvl w:ilvl="0">
      <w:lvlJc w:val="left"/>
      <w:lvlText w:val="(%1)"/>
      <w:numFmt w:val="lowerLetter"/>
      <w:start w:val="1"/>
    </w:lvl>
  </w:abstractNum>
  <w:abstractNum w:abstractNumId="425">
    <w:nsid w:val="4FB7A02A"/>
    <w:multiLevelType w:val="hybridMultilevel"/>
    <w:lvl w:ilvl="0">
      <w:lvlJc w:val="left"/>
      <w:lvlText w:val="(%1)"/>
      <w:numFmt w:val="lowerLetter"/>
      <w:start w:val="1"/>
    </w:lvl>
  </w:abstractNum>
  <w:abstractNum w:abstractNumId="426">
    <w:nsid w:val="96CF728"/>
    <w:multiLevelType w:val="hybridMultilevel"/>
    <w:lvl w:ilvl="0">
      <w:lvlJc w:val="left"/>
      <w:lvlText w:val="%1"/>
      <w:numFmt w:val="decimal"/>
      <w:start w:val="29"/>
    </w:lvl>
  </w:abstractNum>
  <w:abstractNum w:abstractNumId="427">
    <w:nsid w:val="3B121183"/>
    <w:multiLevelType w:val="hybridMultilevel"/>
    <w:lvl w:ilvl="0">
      <w:lvlJc w:val="left"/>
      <w:lvlText w:val="(%1)"/>
      <w:numFmt w:val="lowerLetter"/>
      <w:start w:val="1"/>
    </w:lvl>
    <w:lvl w:ilvl="1">
      <w:lvlJc w:val="left"/>
      <w:lvlText w:val="(%2)"/>
      <w:numFmt w:val="lowerRoman"/>
      <w:start w:val="1"/>
    </w:lvl>
  </w:abstractNum>
  <w:abstractNum w:abstractNumId="428">
    <w:nsid w:val="3459648F"/>
    <w:multiLevelType w:val="hybridMultilevel"/>
    <w:lvl w:ilvl="0">
      <w:lvlJc w:val="left"/>
      <w:lvlText w:val="(%1)"/>
      <w:numFmt w:val="lowerLetter"/>
      <w:start w:val="3"/>
    </w:lvl>
    <w:lvl w:ilvl="1">
      <w:lvlJc w:val="left"/>
      <w:lvlText w:val="(%2)"/>
      <w:numFmt w:val="lowerRoman"/>
      <w:start w:val="1"/>
    </w:lvl>
  </w:abstractNum>
  <w:abstractNum w:abstractNumId="429">
    <w:nsid w:val="3ADF331D"/>
    <w:multiLevelType w:val="hybridMultilevel"/>
    <w:lvl w:ilvl="0">
      <w:lvlJc w:val="left"/>
      <w:lvlText w:val="(%1)"/>
      <w:numFmt w:val="lowerLetter"/>
      <w:start w:val="1"/>
    </w:lvl>
  </w:abstractNum>
  <w:abstractNum w:abstractNumId="430">
    <w:nsid w:val="4D08A9E4"/>
    <w:multiLevelType w:val="hybridMultilevel"/>
    <w:lvl w:ilvl="0">
      <w:lvlJc w:val="left"/>
      <w:lvlText w:val="(%1)"/>
      <w:numFmt w:val="lowerLetter"/>
      <w:start w:val="1"/>
    </w:lvl>
  </w:abstractNum>
  <w:abstractNum w:abstractNumId="431">
    <w:nsid w:val="6AF2BB3A"/>
    <w:multiLevelType w:val="hybridMultilevel"/>
    <w:lvl w:ilvl="0">
      <w:lvlJc w:val="left"/>
      <w:lvlText w:val="%1"/>
      <w:numFmt w:val="decimal"/>
      <w:start w:val="30"/>
    </w:lvl>
  </w:abstractNum>
  <w:abstractNum w:abstractNumId="432">
    <w:nsid w:val="481B1739"/>
    <w:multiLevelType w:val="hybridMultilevel"/>
    <w:lvl w:ilvl="0">
      <w:lvlJc w:val="left"/>
      <w:lvlText w:val="(%1)"/>
      <w:numFmt w:val="lowerLetter"/>
      <w:start w:val="1"/>
    </w:lvl>
    <w:lvl w:ilvl="1">
      <w:lvlJc w:val="left"/>
      <w:lvlText w:val="(%2)"/>
      <w:numFmt w:val="lowerRoman"/>
      <w:start w:val="1"/>
    </w:lvl>
  </w:abstractNum>
  <w:abstractNum w:abstractNumId="433">
    <w:nsid w:val="19E2BFCC"/>
    <w:multiLevelType w:val="hybridMultilevel"/>
    <w:lvl w:ilvl="0">
      <w:lvlJc w:val="left"/>
      <w:lvlText w:val="(%1)"/>
      <w:numFmt w:val="lowerRoman"/>
      <w:start w:val="7"/>
    </w:lvl>
  </w:abstractNum>
  <w:abstractNum w:abstractNumId="434">
    <w:nsid w:val="66D021CA"/>
    <w:multiLevelType w:val="hybridMultilevel"/>
    <w:lvl w:ilvl="0">
      <w:lvlJc w:val="left"/>
      <w:lvlText w:val="%1"/>
      <w:numFmt w:val="lowerLetter"/>
      <w:start w:val="1"/>
    </w:lvl>
    <w:lvl w:ilvl="1">
      <w:lvlJc w:val="left"/>
      <w:lvlText w:val="(%2)"/>
      <w:numFmt w:val="upperLetter"/>
      <w:start w:val="1"/>
    </w:lvl>
  </w:abstractNum>
  <w:abstractNum w:abstractNumId="435">
    <w:nsid w:val="56167394"/>
    <w:multiLevelType w:val="hybridMultilevel"/>
    <w:lvl w:ilvl="0">
      <w:lvlJc w:val="left"/>
      <w:lvlText w:val="(%1)"/>
      <w:numFmt w:val="lowerLetter"/>
      <w:start w:val="3"/>
    </w:lvl>
    <w:lvl w:ilvl="1">
      <w:lvlJc w:val="left"/>
      <w:lvlText w:val="%2"/>
      <w:numFmt w:val="upperLetter"/>
      <w:start w:val="1"/>
    </w:lvl>
  </w:abstractNum>
  <w:abstractNum w:abstractNumId="436">
    <w:nsid w:val="921145C"/>
    <w:multiLevelType w:val="hybridMultilevel"/>
    <w:lvl w:ilvl="0">
      <w:lvlJc w:val="left"/>
      <w:lvlText w:val="(%1)"/>
      <w:numFmt w:val="lowerLetter"/>
      <w:start w:val="1"/>
    </w:lvl>
    <w:lvl w:ilvl="1">
      <w:lvlJc w:val="left"/>
      <w:lvlText w:val="(%2)"/>
      <w:numFmt w:val="lowerRoman"/>
      <w:start w:val="1"/>
    </w:lvl>
  </w:abstractNum>
  <w:abstractNum w:abstractNumId="437">
    <w:nsid w:val="7B34DFE8"/>
    <w:multiLevelType w:val="hybridMultilevel"/>
    <w:lvl w:ilvl="0">
      <w:lvlJc w:val="left"/>
      <w:lvlText w:val="(%1)"/>
      <w:numFmt w:val="lowerRoman"/>
      <w:start w:val="3"/>
    </w:lvl>
  </w:abstractNum>
  <w:abstractNum w:abstractNumId="438">
    <w:nsid w:val="3CD22B79"/>
    <w:multiLevelType w:val="hybridMultilevel"/>
    <w:lvl w:ilvl="0">
      <w:lvlJc w:val="left"/>
      <w:lvlText w:val="(%1)"/>
      <w:numFmt w:val="lowerLetter"/>
      <w:start w:val="2"/>
    </w:lvl>
    <w:lvl w:ilvl="1">
      <w:lvlJc w:val="left"/>
      <w:lvlText w:val="(%2)"/>
      <w:numFmt w:val="lowerRoman"/>
      <w:start w:val="1"/>
    </w:lvl>
  </w:abstractNum>
  <w:abstractNum w:abstractNumId="439">
    <w:nsid w:val="3137975E"/>
    <w:multiLevelType w:val="hybridMultilevel"/>
    <w:lvl w:ilvl="0">
      <w:lvlJc w:val="left"/>
      <w:lvlText w:val="(%1)"/>
      <w:numFmt w:val="lowerLetter"/>
      <w:start w:val="1"/>
    </w:lvl>
  </w:abstractNum>
  <w:abstractNum w:abstractNumId="440">
    <w:nsid w:val="2DDAA791"/>
    <w:multiLevelType w:val="hybridMultilevel"/>
    <w:lvl w:ilvl="0">
      <w:lvlJc w:val="left"/>
      <w:lvlText w:val="(%1)"/>
      <w:numFmt w:val="lowerLetter"/>
      <w:start w:val="1"/>
    </w:lvl>
  </w:abstractNum>
  <w:abstractNum w:abstractNumId="441">
    <w:nsid w:val="77263B8A"/>
    <w:multiLevelType w:val="hybridMultilevel"/>
    <w:lvl w:ilvl="0">
      <w:lvlJc w:val="left"/>
      <w:lvlText w:val="(%1)"/>
      <w:numFmt w:val="lowerLetter"/>
      <w:start w:val="1"/>
    </w:lvl>
  </w:abstractNum>
  <w:abstractNum w:abstractNumId="442">
    <w:nsid w:val="755B5ED6"/>
    <w:multiLevelType w:val="hybridMultilevel"/>
    <w:lvl w:ilvl="0">
      <w:lvlJc w:val="left"/>
      <w:lvlText w:val="(%1)"/>
      <w:numFmt w:val="lowerLetter"/>
      <w:start w:val="1"/>
    </w:lvl>
  </w:abstractNum>
  <w:abstractNum w:abstractNumId="443">
    <w:nsid w:val="D3715DE"/>
    <w:multiLevelType w:val="hybridMultilevel"/>
    <w:lvl w:ilvl="0">
      <w:lvlJc w:val="left"/>
      <w:lvlText w:val="(%1)"/>
      <w:numFmt w:val="lowerLetter"/>
      <w:start w:val="1"/>
    </w:lvl>
  </w:abstractNum>
  <w:abstractNum w:abstractNumId="444">
    <w:nsid w:val="73509257"/>
    <w:multiLevelType w:val="hybridMultilevel"/>
    <w:lvl w:ilvl="0">
      <w:lvlJc w:val="left"/>
      <w:lvlText w:val="(%1)"/>
      <w:numFmt w:val="lowerLetter"/>
      <w:start w:val="1"/>
    </w:lvl>
    <w:lvl w:ilvl="1">
      <w:lvlJc w:val="left"/>
      <w:lvlText w:val="(%2)"/>
      <w:numFmt w:val="lowerRoman"/>
      <w:start w:val="1"/>
    </w:lvl>
  </w:abstractNum>
  <w:abstractNum w:abstractNumId="445">
    <w:nsid w:val="7013CDB7"/>
    <w:multiLevelType w:val="hybridMultilevel"/>
    <w:lvl w:ilvl="0">
      <w:lvlJc w:val="left"/>
      <w:lvlText w:val="1"/>
      <w:numFmt w:val="bullet"/>
      <w:start w:val="1"/>
    </w:lvl>
  </w:abstractNum>
  <w:abstractNum w:abstractNumId="446">
    <w:nsid w:val="188BFB19"/>
    <w:multiLevelType w:val="hybridMultilevel"/>
    <w:lvl w:ilvl="0">
      <w:lvlJc w:val="left"/>
      <w:lvlText w:val="2"/>
      <w:numFmt w:val="bullet"/>
      <w:start w:val="1"/>
    </w:lvl>
  </w:abstractNum>
  <w:abstractNum w:abstractNumId="447">
    <w:nsid w:val="75F096DF"/>
    <w:multiLevelType w:val="hybridMultilevel"/>
    <w:lvl w:ilvl="0">
      <w:lvlJc w:val="left"/>
      <w:lvlText w:val="3"/>
      <w:numFmt w:val="bullet"/>
      <w:start w:val="1"/>
    </w:lvl>
  </w:abstractNum>
  <w:abstractNum w:abstractNumId="448">
    <w:nsid w:val="76DEE918"/>
    <w:multiLevelType w:val="hybridMultilevel"/>
    <w:lvl w:ilvl="0">
      <w:lvlJc w:val="left"/>
      <w:lvlText w:val="(%1)"/>
      <w:numFmt w:val="lowerLetter"/>
      <w:start w:val="1"/>
    </w:lvl>
  </w:abstractNum>
  <w:abstractNum w:abstractNumId="449">
    <w:nsid w:val="B79D08D"/>
    <w:multiLevelType w:val="hybridMultilevel"/>
    <w:lvl w:ilvl="0">
      <w:lvlJc w:val="left"/>
      <w:lvlText w:val="4"/>
      <w:numFmt w:val="bullet"/>
      <w:start w:val="1"/>
    </w:lvl>
  </w:abstractNum>
  <w:abstractNum w:abstractNumId="450">
    <w:nsid w:val="69141769"/>
    <w:multiLevelType w:val="hybridMultilevel"/>
    <w:lvl w:ilvl="0">
      <w:lvlJc w:val="left"/>
      <w:lvlText w:val="5"/>
      <w:numFmt w:val="bullet"/>
      <w:start w:val="1"/>
    </w:lvl>
  </w:abstractNum>
  <w:abstractNum w:abstractNumId="451">
    <w:nsid w:val="7BF45B8E"/>
    <w:multiLevelType w:val="hybridMultilevel"/>
    <w:lvl w:ilvl="0">
      <w:lvlJc w:val="left"/>
      <w:lvlText w:val="1"/>
      <w:numFmt w:val="bullet"/>
      <w:start w:val="1"/>
    </w:lvl>
  </w:abstractNum>
  <w:abstractNum w:abstractNumId="452">
    <w:nsid w:val="41205269"/>
    <w:multiLevelType w:val="hybridMultilevel"/>
    <w:lvl w:ilvl="0">
      <w:lvlJc w:val="left"/>
      <w:lvlText w:val="2"/>
      <w:numFmt w:val="bullet"/>
      <w:start w:val="1"/>
    </w:lvl>
  </w:abstractNum>
  <w:abstractNum w:abstractNumId="453">
    <w:nsid w:val="9AE0DD"/>
    <w:multiLevelType w:val="hybridMultilevel"/>
    <w:lvl w:ilvl="0">
      <w:lvlJc w:val="left"/>
      <w:lvlText w:val="3"/>
      <w:numFmt w:val="bullet"/>
      <w:start w:val="1"/>
    </w:lvl>
  </w:abstractNum>
  <w:abstractNum w:abstractNumId="454">
    <w:nsid w:val="1818832F"/>
    <w:multiLevelType w:val="hybridMultilevel"/>
    <w:lvl w:ilvl="0">
      <w:lvlJc w:val="left"/>
      <w:lvlText w:val="4"/>
      <w:numFmt w:val="bullet"/>
      <w:start w:val="1"/>
    </w:lvl>
  </w:abstractNum>
  <w:abstractNum w:abstractNumId="455">
    <w:nsid w:val="24C29FD1"/>
    <w:multiLevelType w:val="hybridMultilevel"/>
    <w:lvl w:ilvl="0">
      <w:lvlJc w:val="left"/>
      <w:lvlText w:val="5"/>
      <w:numFmt w:val="bullet"/>
      <w:start w:val="1"/>
    </w:lvl>
  </w:abstractNum>
  <w:abstractNum w:abstractNumId="456">
    <w:nsid w:val="50528108"/>
    <w:multiLevelType w:val="hybridMultilevel"/>
    <w:lvl w:ilvl="0">
      <w:lvlJc w:val="left"/>
      <w:lvlText w:val="6"/>
      <w:numFmt w:val="bullet"/>
      <w:start w:val="1"/>
    </w:lvl>
  </w:abstractNum>
  <w:abstractNum w:abstractNumId="457">
    <w:nsid w:val="21857A57"/>
    <w:multiLevelType w:val="hybridMultilevel"/>
    <w:lvl w:ilvl="0">
      <w:lvlJc w:val="left"/>
      <w:lvlText w:val="7"/>
      <w:numFmt w:val="bullet"/>
      <w:start w:val="1"/>
    </w:lvl>
  </w:abstractNum>
  <w:abstractNum w:abstractNumId="458">
    <w:nsid w:val="5FD4B154"/>
    <w:multiLevelType w:val="hybridMultilevel"/>
    <w:lvl w:ilvl="0">
      <w:lvlJc w:val="left"/>
      <w:lvlText w:val="8"/>
      <w:numFmt w:val="bullet"/>
      <w:start w:val="1"/>
    </w:lvl>
  </w:abstractNum>
  <w:abstractNum w:abstractNumId="459">
    <w:nsid w:val="4ABE597"/>
    <w:multiLevelType w:val="hybridMultilevel"/>
    <w:lvl w:ilvl="0">
      <w:lvlJc w:val="left"/>
      <w:lvlText w:val="9"/>
      <w:numFmt w:val="bullet"/>
      <w:start w:val="1"/>
    </w:lvl>
  </w:abstractNum>
  <w:abstractNum w:abstractNumId="460">
    <w:nsid w:val="5C64AD75"/>
    <w:multiLevelType w:val="hybridMultilevel"/>
    <w:lvl w:ilvl="0">
      <w:lvlJc w:val="left"/>
      <w:lvlText w:val="%1"/>
      <w:numFmt w:val="decimal"/>
      <w:start w:val="10"/>
    </w:lvl>
  </w:abstractNum>
  <w:abstractNum w:abstractNumId="461">
    <w:nsid w:val="2CDD5B39"/>
    <w:multiLevelType w:val="hybridMultilevel"/>
    <w:lvl w:ilvl="0">
      <w:lvlJc w:val="left"/>
      <w:lvlText w:val="1"/>
      <w:numFmt w:val="bullet"/>
      <w:start w:val="1"/>
    </w:lvl>
  </w:abstractNum>
  <w:abstractNum w:abstractNumId="462">
    <w:nsid w:val="6F9EA0D1"/>
    <w:multiLevelType w:val="hybridMultilevel"/>
    <w:lvl w:ilvl="0">
      <w:lvlJc w:val="left"/>
      <w:lvlText w:val="2"/>
      <w:numFmt w:val="bullet"/>
      <w:start w:val="1"/>
    </w:lvl>
  </w:abstractNum>
  <w:abstractNum w:abstractNumId="463">
    <w:nsid w:val="247FC4AE"/>
    <w:multiLevelType w:val="hybridMultilevel"/>
    <w:lvl w:ilvl="0">
      <w:lvlJc w:val="left"/>
      <w:lvlText w:val="(%1)"/>
      <w:numFmt w:val="lowerLetter"/>
      <w:start w:val="1"/>
    </w:lvl>
  </w:abstractNum>
  <w:abstractNum w:abstractNumId="464">
    <w:nsid w:val="46C01B05"/>
    <w:multiLevelType w:val="hybridMultilevel"/>
    <w:lvl w:ilvl="0">
      <w:lvlJc w:val="left"/>
      <w:lvlText w:val="3"/>
      <w:numFmt w:val="bullet"/>
      <w:start w:val="1"/>
    </w:lvl>
  </w:abstractNum>
  <w:abstractNum w:abstractNumId="465">
    <w:nsid w:val="566EC29B"/>
    <w:multiLevelType w:val="hybridMultilevel"/>
    <w:lvl w:ilvl="0">
      <w:lvlJc w:val="left"/>
      <w:lvlText w:val="(%1)"/>
      <w:numFmt w:val="lowerLetter"/>
      <w:start w:val="1"/>
    </w:lvl>
  </w:abstractNum>
  <w:abstractNum w:abstractNumId="466">
    <w:nsid w:val="7A963843"/>
    <w:multiLevelType w:val="hybridMultilevel"/>
    <w:lvl w:ilvl="0">
      <w:lvlJc w:val="left"/>
      <w:lvlText w:val="4"/>
      <w:numFmt w:val="bullet"/>
      <w:start w:val="1"/>
    </w:lvl>
  </w:abstractNum>
  <w:abstractNum w:abstractNumId="467">
    <w:nsid w:val="4FE12F61"/>
    <w:multiLevelType w:val="hybridMultilevel"/>
    <w:lvl w:ilvl="0">
      <w:lvlJc w:val="left"/>
      <w:lvlText w:val="5"/>
      <w:numFmt w:val="bullet"/>
      <w:start w:val="1"/>
    </w:lvl>
  </w:abstractNum>
  <w:abstractNum w:abstractNumId="468">
    <w:nsid w:val="51A3A284"/>
    <w:multiLevelType w:val="hybridMultilevel"/>
    <w:lvl w:ilvl="0">
      <w:lvlJc w:val="left"/>
      <w:lvlText w:val="6"/>
      <w:numFmt w:val="bullet"/>
      <w:start w:val="1"/>
    </w:lvl>
  </w:abstractNum>
  <w:abstractNum w:abstractNumId="469">
    <w:nsid w:val="376863BC"/>
    <w:multiLevelType w:val="hybridMultilevel"/>
    <w:lvl w:ilvl="0">
      <w:lvlJc w:val="left"/>
      <w:lvlText w:val="7"/>
      <w:numFmt w:val="bullet"/>
      <w:start w:val="1"/>
    </w:lvl>
  </w:abstractNum>
  <w:abstractNum w:abstractNumId="470">
    <w:nsid w:val="118C6C0"/>
    <w:multiLevelType w:val="hybridMultilevel"/>
    <w:lvl w:ilvl="0">
      <w:lvlJc w:val="left"/>
      <w:lvlText w:val="8"/>
      <w:numFmt w:val="bullet"/>
      <w:start w:val="1"/>
    </w:lvl>
  </w:abstractNum>
  <w:abstractNum w:abstractNumId="471">
    <w:nsid w:val="7F7E4A15"/>
    <w:multiLevelType w:val="hybridMultilevel"/>
    <w:lvl w:ilvl="0">
      <w:lvlJc w:val="left"/>
      <w:lvlText w:val="9"/>
      <w:numFmt w:val="bullet"/>
      <w:start w:val="1"/>
    </w:lvl>
  </w:abstractNum>
  <w:abstractNum w:abstractNumId="472">
    <w:nsid w:val="2E8E9F47"/>
    <w:multiLevelType w:val="hybridMultilevel"/>
    <w:lvl w:ilvl="0">
      <w:lvlJc w:val="left"/>
      <w:lvlText w:val="1"/>
      <w:numFmt w:val="bullet"/>
      <w:start w:val="1"/>
    </w:lvl>
  </w:abstractNum>
  <w:abstractNum w:abstractNumId="473">
    <w:nsid w:val="76742596"/>
    <w:multiLevelType w:val="hybridMultilevel"/>
    <w:lvl w:ilvl="0">
      <w:lvlJc w:val="left"/>
      <w:lvlText w:val="2"/>
      <w:numFmt w:val="bullet"/>
      <w:start w:val="1"/>
    </w:lvl>
  </w:abstractNum>
  <w:abstractNum w:abstractNumId="474">
    <w:nsid w:val="CB55FF3"/>
    <w:multiLevelType w:val="hybridMultilevel"/>
    <w:lvl w:ilvl="0">
      <w:lvlJc w:val="left"/>
      <w:lvlText w:val="3"/>
      <w:numFmt w:val="bullet"/>
      <w:start w:val="1"/>
    </w:lvl>
  </w:abstractNum>
  <w:abstractNum w:abstractNumId="475">
    <w:nsid w:val="21DF319E"/>
    <w:multiLevelType w:val="hybridMultilevel"/>
    <w:lvl w:ilvl="0">
      <w:lvlJc w:val="left"/>
      <w:lvlText w:val="4"/>
      <w:numFmt w:val="bullet"/>
      <w:start w:val="1"/>
    </w:lvl>
  </w:abstractNum>
  <w:abstractNum w:abstractNumId="476">
    <w:nsid w:val="6687F34D"/>
    <w:multiLevelType w:val="hybridMultilevel"/>
    <w:lvl w:ilvl="0">
      <w:lvlJc w:val="left"/>
      <w:lvlText w:val="5"/>
      <w:numFmt w:val="bullet"/>
      <w:start w:val="1"/>
    </w:lvl>
  </w:abstractNum>
  <w:abstractNum w:abstractNumId="477">
    <w:nsid w:val="25415B0C"/>
    <w:multiLevelType w:val="hybridMultilevel"/>
    <w:lvl w:ilvl="0">
      <w:lvlJc w:val="left"/>
      <w:lvlText w:val="6"/>
      <w:numFmt w:val="bullet"/>
      <w:start w:val="1"/>
    </w:lvl>
  </w:abstractNum>
  <w:abstractNum w:abstractNumId="478">
    <w:nsid w:val="17CFC87D"/>
    <w:multiLevelType w:val="hybridMultilevel"/>
    <w:lvl w:ilvl="0">
      <w:lvlJc w:val="left"/>
      <w:lvlText w:val="7"/>
      <w:numFmt w:val="bullet"/>
      <w:start w:val="1"/>
    </w:lvl>
  </w:abstractNum>
  <w:abstractNum w:abstractNumId="479">
    <w:nsid w:val="5D66DC65"/>
    <w:multiLevelType w:val="hybridMultilevel"/>
    <w:lvl w:ilvl="0">
      <w:lvlJc w:val="left"/>
      <w:lvlText w:val="8"/>
      <w:numFmt w:val="bullet"/>
      <w:start w:val="1"/>
    </w:lvl>
  </w:abstractNum>
  <w:abstractNum w:abstractNumId="480">
    <w:nsid w:val="30BB2B99"/>
    <w:multiLevelType w:val="hybridMultilevel"/>
    <w:lvl w:ilvl="0">
      <w:lvlJc w:val="left"/>
      <w:lvlText w:val="9"/>
      <w:numFmt w:val="bullet"/>
      <w:start w:val="1"/>
    </w:lvl>
  </w:abstractNum>
  <w:abstractNum w:abstractNumId="481">
    <w:nsid w:val="E3DFE6"/>
    <w:multiLevelType w:val="hybridMultilevel"/>
    <w:lvl w:ilvl="0">
      <w:lvlJc w:val="left"/>
      <w:lvlText w:val="1"/>
      <w:numFmt w:val="bullet"/>
      <w:start w:val="1"/>
    </w:lvl>
  </w:abstractNum>
  <w:abstractNum w:abstractNumId="482">
    <w:nsid w:val="595B37F3"/>
    <w:multiLevelType w:val="hybridMultilevel"/>
    <w:lvl w:ilvl="0">
      <w:lvlJc w:val="left"/>
      <w:lvlText w:val="2"/>
      <w:numFmt w:val="bullet"/>
      <w:start w:val="1"/>
    </w:lvl>
  </w:abstractNum>
  <w:abstractNum w:abstractNumId="483">
    <w:nsid w:val="71DB7E02"/>
    <w:multiLevelType w:val="hybridMultilevel"/>
    <w:lvl w:ilvl="0">
      <w:lvlJc w:val="left"/>
      <w:lvlText w:val="3"/>
      <w:numFmt w:val="bullet"/>
      <w:start w:val="1"/>
    </w:lvl>
  </w:abstractNum>
  <w:abstractNum w:abstractNumId="484">
    <w:nsid w:val="17EC0C4"/>
    <w:multiLevelType w:val="hybridMultilevel"/>
    <w:lvl w:ilvl="0">
      <w:lvlJc w:val="left"/>
      <w:lvlText w:val="4"/>
      <w:numFmt w:val="bullet"/>
      <w:start w:val="1"/>
    </w:lvl>
  </w:abstractNum>
  <w:abstractNum w:abstractNumId="485">
    <w:nsid w:val="7173BB22"/>
    <w:multiLevelType w:val="hybridMultilevel"/>
    <w:lvl w:ilvl="0">
      <w:lvlJc w:val="left"/>
      <w:lvlText w:val="5"/>
      <w:numFmt w:val="bullet"/>
      <w:start w:val="1"/>
    </w:lvl>
  </w:abstractNum>
  <w:abstractNum w:abstractNumId="486">
    <w:nsid w:val="169E1DD3"/>
    <w:multiLevelType w:val="hybridMultilevel"/>
    <w:lvl w:ilvl="0">
      <w:lvlJc w:val="left"/>
      <w:lvlText w:val="6"/>
      <w:numFmt w:val="bullet"/>
      <w:start w:val="1"/>
    </w:lvl>
  </w:abstractNum>
  <w:abstractNum w:abstractNumId="487">
    <w:nsid w:val="51D141CC"/>
    <w:multiLevelType w:val="hybridMultilevel"/>
    <w:lvl w:ilvl="0">
      <w:lvlJc w:val="left"/>
      <w:lvlText w:val="7"/>
      <w:numFmt w:val="bullet"/>
      <w:start w:val="1"/>
    </w:lvl>
  </w:abstractNum>
  <w:abstractNum w:abstractNumId="488">
    <w:nsid w:val="12F9357A"/>
    <w:multiLevelType w:val="hybridMultilevel"/>
    <w:lvl w:ilvl="0">
      <w:lvlJc w:val="left"/>
      <w:lvlText w:val="8"/>
      <w:numFmt w:val="bullet"/>
      <w:start w:val="1"/>
    </w:lvl>
  </w:abstractNum>
  <w:abstractNum w:abstractNumId="489">
    <w:nsid w:val="7672CF28"/>
    <w:multiLevelType w:val="hybridMultilevel"/>
    <w:lvl w:ilvl="0">
      <w:lvlJc w:val="left"/>
      <w:lvlText w:val="(%1)"/>
      <w:numFmt w:val="lowerLetter"/>
      <w:start w:val="1"/>
    </w:lvl>
    <w:lvl w:ilvl="1">
      <w:lvlJc w:val="left"/>
      <w:lvlText w:val="(%2)"/>
      <w:numFmt w:val="lowerRoman"/>
      <w:start w:val="1"/>
    </w:lvl>
  </w:abstractNum>
  <w:abstractNum w:abstractNumId="490">
    <w:nsid w:val="567D2763"/>
    <w:multiLevelType w:val="hybridMultilevel"/>
    <w:lvl w:ilvl="0">
      <w:lvlJc w:val="left"/>
      <w:lvlText w:val="9"/>
      <w:numFmt w:val="bullet"/>
      <w:start w:val="1"/>
    </w:lvl>
  </w:abstractNum>
  <w:abstractNum w:abstractNumId="491">
    <w:nsid w:val="6F5DE2EF"/>
    <w:multiLevelType w:val="hybridMultilevel"/>
    <w:lvl w:ilvl="0">
      <w:lvlJc w:val="left"/>
      <w:lvlText w:val="(%1)"/>
      <w:numFmt w:val="lowerLetter"/>
      <w:start w:val="1"/>
    </w:lvl>
    <w:lvl w:ilvl="1">
      <w:lvlJc w:val="left"/>
      <w:lvlText w:val="(%2)"/>
      <w:numFmt w:val="lowerRoman"/>
      <w:start w:val="1"/>
    </w:lvl>
  </w:abstractNum>
  <w:abstractNum w:abstractNumId="492">
    <w:nsid w:val="23502A61"/>
    <w:multiLevelType w:val="hybridMultilevel"/>
    <w:lvl w:ilvl="0">
      <w:lvlJc w:val="left"/>
      <w:lvlText w:val="%1"/>
      <w:numFmt w:val="decimal"/>
      <w:start w:val="10"/>
    </w:lvl>
  </w:abstractNum>
  <w:abstractNum w:abstractNumId="493">
    <w:nsid w:val="461BC834"/>
    <w:multiLevelType w:val="hybridMultilevel"/>
    <w:lvl w:ilvl="0">
      <w:lvlJc w:val="left"/>
      <w:lvlText w:val="%1"/>
      <w:numFmt w:val="decimal"/>
      <w:start w:val="11"/>
    </w:lvl>
  </w:abstractNum>
  <w:abstractNum w:abstractNumId="494">
    <w:nsid w:val="13DDA79D"/>
    <w:multiLevelType w:val="hybridMultilevel"/>
    <w:lvl w:ilvl="0">
      <w:lvlJc w:val="left"/>
      <w:lvlText w:val="1"/>
      <w:numFmt w:val="bullet"/>
      <w:start w:val="1"/>
    </w:lvl>
  </w:abstractNum>
  <w:abstractNum w:abstractNumId="495">
    <w:nsid w:val="6A104566"/>
    <w:multiLevelType w:val="hybridMultilevel"/>
    <w:lvl w:ilvl="0">
      <w:lvlJc w:val="left"/>
      <w:lvlText w:val="2"/>
      <w:numFmt w:val="bullet"/>
      <w:start w:val="1"/>
    </w:lvl>
  </w:abstractNum>
  <w:abstractNum w:abstractNumId="496">
    <w:nsid w:val="1C8A8ACF"/>
    <w:multiLevelType w:val="hybridMultilevel"/>
    <w:lvl w:ilvl="0">
      <w:lvlJc w:val="left"/>
      <w:lvlText w:val="3"/>
      <w:numFmt w:val="bullet"/>
      <w:start w:val="1"/>
    </w:lvl>
  </w:abstractNum>
  <w:abstractNum w:abstractNumId="497">
    <w:nsid w:val="E73DFE0"/>
    <w:multiLevelType w:val="hybridMultilevel"/>
    <w:lvl w:ilvl="0">
      <w:lvlJc w:val="left"/>
      <w:lvlText w:val=")"/>
      <w:numFmt w:val="bullet"/>
      <w:start w:val="1"/>
    </w:lvl>
  </w:abstractNum>
  <w:abstractNum w:abstractNumId="498">
    <w:nsid w:val="39F174C7"/>
    <w:multiLevelType w:val="hybridMultilevel"/>
    <w:lvl w:ilvl="0">
      <w:lvlJc w:val="left"/>
      <w:lvlText w:val=")"/>
      <w:numFmt w:val="bullet"/>
      <w:start w:val="1"/>
    </w:lvl>
  </w:abstractNum>
  <w:abstractNum w:abstractNumId="499">
    <w:nsid w:val="6E2E2D53"/>
    <w:multiLevelType w:val="hybridMultilevel"/>
    <w:lvl w:ilvl="0">
      <w:lvlJc w:val="left"/>
      <w:lvlText w:val=")"/>
      <w:numFmt w:val="bullet"/>
      <w:start w:val="1"/>
    </w:lvl>
  </w:abstractNum>
  <w:abstractNum w:abstractNumId="500">
    <w:nsid w:val="45DC439D"/>
    <w:multiLevelType w:val="hybridMultilevel"/>
    <w:lvl w:ilvl="0">
      <w:lvlJc w:val="left"/>
      <w:lvlText w:val="(%1)"/>
      <w:numFmt w:val="decimal"/>
      <w:start w:val="1"/>
    </w:lvl>
  </w:abstractNum>
  <w:abstractNum w:abstractNumId="501">
    <w:nsid w:val="3B0A3B87"/>
    <w:multiLevelType w:val="hybridMultilevel"/>
    <w:lvl w:ilvl="0">
      <w:lvlJc w:val="left"/>
      <w:lvlText w:val="(%1)"/>
      <w:numFmt w:val="upperLetter"/>
      <w:start w:val="1"/>
    </w:lvl>
  </w:abstractNum>
  <w:abstractNum w:abstractNumId="502">
    <w:nsid w:val="6DAC7768"/>
    <w:multiLevelType w:val="hybridMultilevel"/>
    <w:lvl w:ilvl="0">
      <w:lvlJc w:val="left"/>
      <w:lvlText w:val="1"/>
      <w:numFmt w:val="bullet"/>
      <w:start w:val="1"/>
    </w:lvl>
  </w:abstractNum>
  <w:abstractNum w:abstractNumId="503">
    <w:nsid w:val="746AE2E4"/>
    <w:multiLevelType w:val="hybridMultilevel"/>
    <w:lvl w:ilvl="0">
      <w:lvlJc w:val="left"/>
      <w:lvlText w:val="(%1)"/>
      <w:numFmt w:val="lowerLetter"/>
      <w:start w:val="1"/>
    </w:lvl>
  </w:abstractNum>
  <w:abstractNum w:abstractNumId="504">
    <w:nsid w:val="317E611D"/>
    <w:multiLevelType w:val="hybridMultilevel"/>
    <w:lvl w:ilvl="0">
      <w:lvlJc w:val="left"/>
      <w:lvlText w:val="(%1)"/>
      <w:numFmt w:val="lowerLetter"/>
      <w:start w:val="1"/>
    </w:lvl>
  </w:abstractNum>
  <w:abstractNum w:abstractNumId="505">
    <w:nsid w:val="7A61D75B"/>
    <w:multiLevelType w:val="hybridMultilevel"/>
    <w:lvl w:ilvl="0">
      <w:lvlJc w:val="left"/>
      <w:lvlText w:val="2"/>
      <w:numFmt w:val="bullet"/>
      <w:start w:val="1"/>
    </w:lvl>
  </w:abstractNum>
  <w:abstractNum w:abstractNumId="506">
    <w:nsid w:val="164A1482"/>
    <w:multiLevelType w:val="hybridMultilevel"/>
    <w:lvl w:ilvl="0">
      <w:lvlJc w:val="left"/>
      <w:lvlText w:val="(%1)"/>
      <w:numFmt w:val="lowerLetter"/>
      <w:start w:val="1"/>
    </w:lvl>
  </w:abstractNum>
  <w:abstractNum w:abstractNumId="507">
    <w:nsid w:val="1806546B"/>
    <w:multiLevelType w:val="hybridMultilevel"/>
    <w:lvl w:ilvl="0">
      <w:lvlJc w:val="left"/>
      <w:lvlText w:val="3"/>
      <w:numFmt w:val="bullet"/>
      <w:start w:val="1"/>
    </w:lvl>
  </w:abstractNum>
  <w:abstractNum w:abstractNumId="508">
    <w:nsid w:val="1FA33267"/>
    <w:multiLevelType w:val="hybridMultilevel"/>
    <w:lvl w:ilvl="0">
      <w:lvlJc w:val="left"/>
      <w:lvlText w:val="(%1)"/>
      <w:numFmt w:val="lowerLetter"/>
      <w:start w:val="1"/>
    </w:lvl>
  </w:abstractNum>
  <w:abstractNum w:abstractNumId="509">
    <w:nsid w:val="2E19DD00"/>
    <w:multiLevelType w:val="hybridMultilevel"/>
    <w:lvl w:ilvl="0">
      <w:lvlJc w:val="left"/>
      <w:lvlText w:val="4"/>
      <w:numFmt w:val="bullet"/>
      <w:start w:val="1"/>
    </w:lvl>
  </w:abstractNum>
  <w:abstractNum w:abstractNumId="510">
    <w:nsid w:val="756D30D0"/>
    <w:multiLevelType w:val="hybridMultilevel"/>
    <w:lvl w:ilvl="0">
      <w:lvlJc w:val="left"/>
      <w:lvlText w:val="5"/>
      <w:numFmt w:val="bullet"/>
      <w:start w:val="1"/>
    </w:lvl>
  </w:abstractNum>
  <w:abstractNum w:abstractNumId="511">
    <w:nsid w:val="505E5E01"/>
    <w:multiLevelType w:val="hybridMultilevel"/>
    <w:lvl w:ilvl="0">
      <w:lvlJc w:val="left"/>
      <w:lvlText w:val="6"/>
      <w:numFmt w:val="bullet"/>
      <w:start w:val="1"/>
    </w:lvl>
  </w:abstractNum>
  <w:abstractNum w:abstractNumId="512">
    <w:nsid w:val="2EFDBCE6"/>
    <w:multiLevelType w:val="hybridMultilevel"/>
    <w:lvl w:ilvl="0">
      <w:lvlJc w:val="left"/>
      <w:lvlText w:val="(%1)"/>
      <w:numFmt w:val="lowerLetter"/>
      <w:start w:val="1"/>
    </w:lvl>
  </w:abstractNum>
  <w:abstractNum w:abstractNumId="513">
    <w:nsid w:val="4EC868C4"/>
    <w:multiLevelType w:val="hybridMultilevel"/>
    <w:lvl w:ilvl="0">
      <w:lvlJc w:val="left"/>
      <w:lvlText w:val="7"/>
      <w:numFmt w:val="bullet"/>
      <w:start w:val="1"/>
    </w:lvl>
  </w:abstractNum>
  <w:abstractNum w:abstractNumId="514">
    <w:nsid w:val="4239DC03"/>
    <w:multiLevelType w:val="hybridMultilevel"/>
    <w:lvl w:ilvl="0">
      <w:lvlJc w:val="left"/>
      <w:lvlText w:val="8"/>
      <w:numFmt w:val="bullet"/>
      <w:start w:val="1"/>
    </w:lvl>
  </w:abstractNum>
  <w:abstractNum w:abstractNumId="515">
    <w:nsid w:val="307C7DAA"/>
    <w:multiLevelType w:val="hybridMultilevel"/>
    <w:lvl w:ilvl="0">
      <w:lvlJc w:val="left"/>
      <w:lvlText w:val="(%1)"/>
      <w:numFmt w:val="lowerLetter"/>
      <w:start w:val="1"/>
    </w:lvl>
  </w:abstractNum>
  <w:abstractNum w:abstractNumId="516">
    <w:nsid w:val="403C23E6"/>
    <w:multiLevelType w:val="hybridMultilevel"/>
    <w:lvl w:ilvl="0">
      <w:lvlJc w:val="left"/>
      <w:lvlText w:val="(%1)"/>
      <w:numFmt w:val="lowerLetter"/>
      <w:start w:val="3"/>
    </w:lvl>
  </w:abstractNum>
  <w:abstractNum w:abstractNumId="517">
    <w:nsid w:val="58D7F9D7"/>
    <w:multiLevelType w:val="hybridMultilevel"/>
    <w:lvl w:ilvl="0">
      <w:lvlJc w:val="left"/>
      <w:lvlText w:val="9"/>
      <w:numFmt w:val="bullet"/>
      <w:start w:val="1"/>
    </w:lvl>
  </w:abstractNum>
  <w:abstractNum w:abstractNumId="518">
    <w:nsid w:val="24DBF76"/>
    <w:multiLevelType w:val="hybridMultilevel"/>
    <w:lvl w:ilvl="0">
      <w:lvlJc w:val="left"/>
      <w:lvlText w:val="(%1)"/>
      <w:numFmt w:val="lowerLetter"/>
      <w:start w:val="1"/>
    </w:lvl>
  </w:abstractNum>
  <w:abstractNum w:abstractNumId="519">
    <w:nsid w:val="53355960"/>
    <w:multiLevelType w:val="hybridMultilevel"/>
    <w:lvl w:ilvl="0">
      <w:lvlJc w:val="left"/>
      <w:lvlText w:val="%1"/>
      <w:numFmt w:val="decimal"/>
      <w:start w:val="10"/>
    </w:lvl>
  </w:abstractNum>
  <w:abstractNum w:abstractNumId="520">
    <w:nsid w:val="4F4AC8FF"/>
    <w:multiLevelType w:val="hybridMultilevel"/>
    <w:lvl w:ilvl="0">
      <w:lvlJc w:val="left"/>
      <w:lvlText w:val="(%1)"/>
      <w:numFmt w:val="lowerLetter"/>
      <w:start w:val="1"/>
    </w:lvl>
  </w:abstractNum>
  <w:abstractNum w:abstractNumId="521">
    <w:nsid w:val="58CAE6D9"/>
    <w:multiLevelType w:val="hybridMultilevel"/>
    <w:lvl w:ilvl="0">
      <w:lvlJc w:val="left"/>
      <w:lvlText w:val="(%1)"/>
      <w:numFmt w:val="lowerLetter"/>
      <w:start w:val="1"/>
    </w:lvl>
  </w:abstractNum>
  <w:abstractNum w:abstractNumId="522">
    <w:nsid w:val="42933C4F"/>
    <w:multiLevelType w:val="hybridMultilevel"/>
    <w:lvl w:ilvl="0">
      <w:lvlJc w:val="left"/>
      <w:lvlText w:val="(%1)"/>
      <w:numFmt w:val="lowerLetter"/>
      <w:start w:val="1"/>
    </w:lvl>
  </w:abstractNum>
  <w:abstractNum w:abstractNumId="523">
    <w:nsid w:val="729AF360"/>
    <w:multiLevelType w:val="hybridMultilevel"/>
    <w:lvl w:ilvl="0">
      <w:lvlJc w:val="left"/>
      <w:lvlText w:val="(%1)"/>
      <w:numFmt w:val="lowerLetter"/>
      <w:start w:val="1"/>
    </w:lvl>
  </w:abstractNum>
  <w:abstractNum w:abstractNumId="524">
    <w:nsid w:val="1EE6AF0D"/>
    <w:multiLevelType w:val="hybridMultilevel"/>
    <w:lvl w:ilvl="0">
      <w:lvlJc w:val="left"/>
      <w:lvlText w:val="(%1)"/>
      <w:numFmt w:val="lowerLetter"/>
      <w:start w:val="1"/>
    </w:lvl>
  </w:abstractNum>
  <w:abstractNum w:abstractNumId="525">
    <w:nsid w:val="5670E3ED"/>
    <w:multiLevelType w:val="hybridMultilevel"/>
    <w:lvl w:ilvl="0">
      <w:lvlJc w:val="left"/>
      <w:lvlText w:val="%1"/>
      <w:numFmt w:val="decimal"/>
      <w:start w:val="11"/>
    </w:lvl>
  </w:abstractNum>
  <w:abstractNum w:abstractNumId="526">
    <w:nsid w:val="5CAB38C6"/>
    <w:multiLevelType w:val="hybridMultilevel"/>
    <w:lvl w:ilvl="0">
      <w:lvlJc w:val="left"/>
      <w:lvlText w:val="(%1)"/>
      <w:numFmt w:val="lowerLetter"/>
      <w:start w:val="1"/>
    </w:lvl>
  </w:abstractNum>
  <w:abstractNum w:abstractNumId="527">
    <w:nsid w:val="3B7139DD"/>
    <w:multiLevelType w:val="hybridMultilevel"/>
    <w:lvl w:ilvl="0">
      <w:lvlJc w:val="left"/>
      <w:lvlText w:val="(%1)"/>
      <w:numFmt w:val="lowerLetter"/>
      <w:start w:val="3"/>
    </w:lvl>
  </w:abstractNum>
  <w:abstractNum w:abstractNumId="528">
    <w:nsid w:val="64E4C3CD"/>
    <w:multiLevelType w:val="hybridMultilevel"/>
    <w:lvl w:ilvl="0">
      <w:lvlJc w:val="left"/>
      <w:lvlText w:val="(%1)"/>
      <w:numFmt w:val="lowerLetter"/>
      <w:start w:val="1"/>
    </w:lvl>
    <w:lvl w:ilvl="1">
      <w:lvlJc w:val="left"/>
      <w:lvlText w:val="(%2)"/>
      <w:numFmt w:val="lowerRoman"/>
      <w:start w:val="1"/>
    </w:lvl>
  </w:abstractNum>
  <w:abstractNum w:abstractNumId="529">
    <w:nsid w:val="169CAD8D"/>
    <w:multiLevelType w:val="hybridMultilevel"/>
    <w:lvl w:ilvl="0">
      <w:lvlJc w:val="left"/>
      <w:lvlText w:val="(%1)"/>
      <w:numFmt w:val="lowerLetter"/>
      <w:start w:val="1"/>
    </w:lvl>
  </w:abstractNum>
  <w:abstractNum w:abstractNumId="530">
    <w:nsid w:val="299F6730"/>
    <w:multiLevelType w:val="hybridMultilevel"/>
    <w:lvl w:ilvl="0">
      <w:lvlJc w:val="left"/>
      <w:lvlText w:val="(%1)"/>
      <w:numFmt w:val="lowerLetter"/>
      <w:start w:val="1"/>
    </w:lvl>
  </w:abstractNum>
  <w:abstractNum w:abstractNumId="531">
    <w:nsid w:val="2AC1076A"/>
    <w:multiLevelType w:val="hybridMultilevel"/>
    <w:lvl w:ilvl="0">
      <w:lvlJc w:val="left"/>
      <w:lvlText w:val="(%1)"/>
      <w:numFmt w:val="lowerLetter"/>
      <w:start w:val="1"/>
    </w:lvl>
  </w:abstractNum>
  <w:abstractNum w:abstractNumId="532">
    <w:nsid w:val="51A6E915"/>
    <w:multiLevelType w:val="hybridMultilevel"/>
    <w:lvl w:ilvl="0">
      <w:lvlJc w:val="left"/>
      <w:lvlText w:val="(%1)"/>
      <w:numFmt w:val="lowerLetter"/>
      <w:start w:val="1"/>
    </w:lvl>
  </w:abstractNum>
  <w:abstractNum w:abstractNumId="533">
    <w:nsid w:val="174BDE99"/>
    <w:multiLevelType w:val="hybridMultilevel"/>
    <w:lvl w:ilvl="0">
      <w:lvlJc w:val="left"/>
      <w:lvlText w:val="(%1)"/>
      <w:numFmt w:val="lowerLetter"/>
      <w:start w:val="1"/>
    </w:lvl>
  </w:abstractNum>
  <w:abstractNum w:abstractNumId="534">
    <w:nsid w:val="1F2BEA4E"/>
    <w:multiLevelType w:val="hybridMultilevel"/>
    <w:lvl w:ilvl="0">
      <w:lvlJc w:val="left"/>
      <w:lvlText w:val="(%1)"/>
      <w:numFmt w:val="lowerLetter"/>
      <w:start w:val="1"/>
    </w:lvl>
  </w:abstractNum>
  <w:abstractNum w:abstractNumId="535">
    <w:nsid w:val="3254A32"/>
    <w:multiLevelType w:val="hybridMultilevel"/>
    <w:lvl w:ilvl="0">
      <w:lvlJc w:val="left"/>
      <w:lvlText w:val="(%1)"/>
      <w:numFmt w:val="lowerLetter"/>
      <w:start w:val="1"/>
    </w:lvl>
  </w:abstractNum>
  <w:abstractNum w:abstractNumId="536">
    <w:nsid w:val="11ADB5F4"/>
    <w:multiLevelType w:val="hybridMultilevel"/>
    <w:lvl w:ilvl="0">
      <w:lvlJc w:val="left"/>
      <w:lvlText w:val="(%1)"/>
      <w:numFmt w:val="lowerLetter"/>
      <w:start w:val="1"/>
    </w:lvl>
  </w:abstractNum>
  <w:abstractNum w:abstractNumId="537">
    <w:nsid w:val="3575FED1"/>
    <w:multiLevelType w:val="hybridMultilevel"/>
    <w:lvl w:ilvl="0">
      <w:lvlJc w:val="left"/>
      <w:lvlText w:val="%1"/>
      <w:numFmt w:val="decimal"/>
      <w:start w:val="12"/>
    </w:lvl>
  </w:abstractNum>
  <w:abstractNum w:abstractNumId="538">
    <w:nsid w:val="1B2B9E9D"/>
    <w:multiLevelType w:val="hybridMultilevel"/>
    <w:lvl w:ilvl="0">
      <w:lvlJc w:val="left"/>
      <w:lvlText w:val="(%1)"/>
      <w:numFmt w:val="lowerLetter"/>
      <w:start w:val="1"/>
    </w:lvl>
    <w:lvl w:ilvl="1">
      <w:lvlJc w:val="left"/>
      <w:lvlText w:val="(%2)"/>
      <w:numFmt w:val="lowerLetter"/>
      <w:start w:val="9"/>
    </w:lvl>
  </w:abstractNum>
  <w:abstractNum w:abstractNumId="539">
    <w:nsid w:val="3150E85C"/>
    <w:multiLevelType w:val="hybridMultilevel"/>
    <w:lvl w:ilvl="0">
      <w:lvlJc w:val="left"/>
      <w:lvlText w:val="(%1)"/>
      <w:numFmt w:val="lowerRoman"/>
      <w:start w:val="2"/>
    </w:lvl>
  </w:abstractNum>
  <w:abstractNum w:abstractNumId="540">
    <w:nsid w:val="638FDBD1"/>
    <w:multiLevelType w:val="hybridMultilevel"/>
    <w:lvl w:ilvl="0">
      <w:lvlJc w:val="left"/>
      <w:lvlText w:val="(%1)"/>
      <w:numFmt w:val="lowerLetter"/>
      <w:start w:val="4"/>
    </w:lvl>
  </w:abstractNum>
  <w:abstractNum w:abstractNumId="541">
    <w:nsid w:val="1098CF6E"/>
    <w:multiLevelType w:val="hybridMultilevel"/>
    <w:lvl w:ilvl="0">
      <w:lvlJc w:val="left"/>
      <w:lvlText w:val="(%1)"/>
      <w:numFmt w:val="lowerLetter"/>
      <w:start w:val="1"/>
    </w:lvl>
  </w:abstractNum>
  <w:abstractNum w:abstractNumId="542">
    <w:nsid w:val="1AF465D"/>
    <w:multiLevelType w:val="hybridMultilevel"/>
    <w:lvl w:ilvl="0">
      <w:lvlJc w:val="left"/>
      <w:lvlText w:val="(%1)"/>
      <w:numFmt w:val="lowerLetter"/>
      <w:start w:val="1"/>
    </w:lvl>
  </w:abstractNum>
  <w:abstractNum w:abstractNumId="543">
    <w:nsid w:val="128D98B7"/>
    <w:multiLevelType w:val="hybridMultilevel"/>
    <w:lvl w:ilvl="0">
      <w:lvlJc w:val="left"/>
      <w:lvlText w:val="(%1)"/>
      <w:numFmt w:val="lowerLetter"/>
      <w:start w:val="1"/>
    </w:lvl>
  </w:abstractNum>
  <w:abstractNum w:abstractNumId="544">
    <w:nsid w:val="5F613832"/>
    <w:multiLevelType w:val="hybridMultilevel"/>
    <w:lvl w:ilvl="0">
      <w:lvlJc w:val="left"/>
      <w:lvlText w:val="(%1)"/>
      <w:numFmt w:val="lowerLetter"/>
      <w:start w:val="1"/>
    </w:lvl>
    <w:lvl w:ilvl="1">
      <w:lvlJc w:val="left"/>
      <w:lvlText w:val="(%2)"/>
      <w:numFmt w:val="lowerRoman"/>
      <w:start w:val="1"/>
    </w:lvl>
  </w:abstractNum>
  <w:abstractNum w:abstractNumId="545">
    <w:nsid w:val="43E92260"/>
    <w:multiLevelType w:val="hybridMultilevel"/>
    <w:lvl w:ilvl="0">
      <w:lvlJc w:val="left"/>
      <w:lvlText w:val="%1"/>
      <w:numFmt w:val="decimal"/>
      <w:start w:val="15"/>
    </w:lvl>
  </w:abstractNum>
  <w:abstractNum w:abstractNumId="546">
    <w:nsid w:val="430A1662"/>
    <w:multiLevelType w:val="hybridMultilevel"/>
    <w:lvl w:ilvl="0">
      <w:lvlJc w:val="left"/>
      <w:lvlText w:val="(%1)"/>
      <w:numFmt w:val="lowerLetter"/>
      <w:start w:val="1"/>
    </w:lvl>
  </w:abstractNum>
  <w:abstractNum w:abstractNumId="547">
    <w:nsid w:val="1F9D5C18"/>
    <w:multiLevelType w:val="hybridMultilevel"/>
    <w:lvl w:ilvl="0">
      <w:lvlJc w:val="left"/>
      <w:lvlText w:val="%1"/>
      <w:numFmt w:val="decimal"/>
      <w:start w:val="18"/>
    </w:lvl>
  </w:abstractNum>
  <w:abstractNum w:abstractNumId="548">
    <w:nsid w:val="1CC11C37"/>
    <w:multiLevelType w:val="hybridMultilevel"/>
    <w:lvl w:ilvl="0">
      <w:lvlJc w:val="left"/>
      <w:lvlText w:val="(%1)"/>
      <w:numFmt w:val="lowerLetter"/>
      <w:start w:val="1"/>
    </w:lvl>
  </w:abstractNum>
  <w:abstractNum w:abstractNumId="549">
    <w:nsid w:val="4557D5D8"/>
    <w:multiLevelType w:val="hybridMultilevel"/>
    <w:lvl w:ilvl="0">
      <w:lvlJc w:val="left"/>
      <w:lvlText w:val="%1"/>
      <w:numFmt w:val="decimal"/>
      <w:start w:val="19"/>
    </w:lvl>
  </w:abstractNum>
  <w:abstractNum w:abstractNumId="550">
    <w:nsid w:val="72D2B579"/>
    <w:multiLevelType w:val="hybridMultilevel"/>
    <w:lvl w:ilvl="0">
      <w:lvlJc w:val="left"/>
      <w:lvlText w:val="(%1)"/>
      <w:numFmt w:val="lowerLetter"/>
      <w:start w:val="1"/>
    </w:lvl>
  </w:abstractNum>
  <w:abstractNum w:abstractNumId="551">
    <w:nsid w:val="6C0BE536"/>
    <w:multiLevelType w:val="hybridMultilevel"/>
    <w:lvl w:ilvl="0">
      <w:lvlJc w:val="left"/>
      <w:lvlText w:val="(%1)"/>
      <w:numFmt w:val="lowerLetter"/>
      <w:start w:val="1"/>
    </w:lvl>
  </w:abstractNum>
  <w:abstractNum w:abstractNumId="552">
    <w:nsid w:val="1E22BCB2"/>
    <w:multiLevelType w:val="hybridMultilevel"/>
    <w:lvl w:ilvl="0">
      <w:lvlJc w:val="left"/>
      <w:lvlText w:val="(%1)"/>
      <w:numFmt w:val="lowerLetter"/>
      <w:start w:val="1"/>
    </w:lvl>
  </w:abstractNum>
  <w:abstractNum w:abstractNumId="553">
    <w:nsid w:val="3565F1C8"/>
    <w:multiLevelType w:val="hybridMultilevel"/>
    <w:lvl w:ilvl="0">
      <w:lvlJc w:val="left"/>
      <w:lvlText w:val="%1."/>
      <w:numFmt w:val="upperLetter"/>
      <w:start w:val="1"/>
    </w:lvl>
  </w:abstractNum>
  <w:abstractNum w:abstractNumId="554">
    <w:nsid w:val="5EA6D896"/>
    <w:multiLevelType w:val="hybridMultilevel"/>
    <w:lvl w:ilvl="0">
      <w:lvlJc w:val="left"/>
      <w:lvlText w:val="(%1)"/>
      <w:numFmt w:val="lowerRoman"/>
      <w:start w:val="1"/>
    </w:lvl>
  </w:abstractNum>
  <w:abstractNum w:abstractNumId="555">
    <w:nsid w:val="3D096BBF"/>
    <w:multiLevelType w:val="hybridMultilevel"/>
    <w:lvl w:ilvl="0">
      <w:lvlJc w:val="left"/>
      <w:lvlText w:val="(%1)"/>
      <w:numFmt w:val="lowerRoman"/>
      <w:start w:val="1"/>
    </w:lvl>
  </w:abstractNum>
  <w:abstractNum w:abstractNumId="556">
    <w:nsid w:val="BD6D5B5"/>
    <w:multiLevelType w:val="hybridMultilevel"/>
    <w:lvl w:ilvl="0">
      <w:lvlJc w:val="left"/>
      <w:lvlText w:val="(%1)"/>
      <w:numFmt w:val="lowerRoman"/>
      <w:start w:val="1"/>
    </w:lvl>
  </w:abstractNum>
  <w:abstractNum w:abstractNumId="557">
    <w:nsid w:val="3B52115C"/>
    <w:multiLevelType w:val="hybridMultilevel"/>
    <w:lvl w:ilvl="0">
      <w:lvlJc w:val="left"/>
      <w:lvlText w:val="(%1)"/>
      <w:numFmt w:val="lowerRoman"/>
      <w:start w:val="3"/>
    </w:lvl>
  </w:abstractNum>
  <w:abstractNum w:abstractNumId="558">
    <w:nsid w:val="787AA59C"/>
    <w:multiLevelType w:val="hybridMultilevel"/>
    <w:lvl w:ilvl="0">
      <w:lvlJc w:val="left"/>
      <w:lvlText w:val="(%1)"/>
      <w:numFmt w:val="lowerLetter"/>
      <w:start w:val="1"/>
    </w:lvl>
  </w:abstractNum>
  <w:abstractNum w:abstractNumId="559">
    <w:nsid w:val="70BB9983"/>
    <w:multiLevelType w:val="hybridMultilevel"/>
    <w:lvl w:ilvl="0">
      <w:lvlJc w:val="left"/>
      <w:lvlText w:val="(%1)"/>
      <w:numFmt w:val="lowerLetter"/>
      <w:start w:val="2"/>
    </w:lvl>
  </w:abstractNum>
  <w:abstractNum w:abstractNumId="560">
    <w:nsid w:val="51EEBEEA"/>
    <w:multiLevelType w:val="hybridMultilevel"/>
    <w:lvl w:ilvl="0">
      <w:lvlJc w:val="left"/>
      <w:lvlText w:val="(%1)"/>
      <w:numFmt w:val="lowerRoman"/>
      <w:start w:val="2"/>
    </w:lvl>
  </w:abstractNum>
  <w:abstractNum w:abstractNumId="561">
    <w:nsid w:val="221A0CCD"/>
    <w:multiLevelType w:val="hybridMultilevel"/>
    <w:lvl w:ilvl="0">
      <w:lvlJc w:val="left"/>
      <w:lvlText w:val="(%1)"/>
      <w:numFmt w:val="decimal"/>
      <w:start w:val="1"/>
    </w:lvl>
    <w:lvl w:ilvl="1">
      <w:lvlJc w:val="left"/>
      <w:lvlText w:val="(%2)"/>
      <w:numFmt w:val="lowerRoman"/>
      <w:start w:val="1"/>
    </w:lvl>
  </w:abstractNum>
  <w:abstractNum w:abstractNumId="562">
    <w:nsid w:val="1B7CA0ED"/>
    <w:multiLevelType w:val="hybridMultilevel"/>
    <w:lvl w:ilvl="0">
      <w:lvlJc w:val="left"/>
      <w:lvlText w:val="(%1)"/>
      <w:numFmt w:val="decimal"/>
      <w:start w:val="3"/>
    </w:lvl>
  </w:abstractNum>
  <w:abstractNum w:abstractNumId="563">
    <w:nsid w:val="2395A7FF"/>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564">
    <w:nsid w:val="3965EB66"/>
    <w:multiLevelType w:val="hybridMultilevel"/>
    <w:lvl w:ilvl="0">
      <w:lvlJc w:val="left"/>
      <w:lvlText w:val="%1"/>
      <w:numFmt w:val="decimal"/>
      <w:start w:val="1"/>
    </w:lvl>
    <w:lvl w:ilvl="1">
      <w:lvlJc w:val="left"/>
      <w:lvlText w:val="(%2)"/>
      <w:numFmt w:val="decimal"/>
      <w:start w:val="17"/>
    </w:lvl>
    <w:lvl w:ilvl="2">
      <w:lvlJc w:val="left"/>
      <w:lvlText w:val="%3"/>
      <w:numFmt w:val="lowerRoman"/>
      <w:start w:val="1"/>
    </w:lvl>
  </w:abstractNum>
  <w:abstractNum w:abstractNumId="565">
    <w:nsid w:val="3AA88B3C"/>
    <w:multiLevelType w:val="hybridMultilevel"/>
    <w:lvl w:ilvl="0">
      <w:lvlJc w:val="left"/>
      <w:lvlText w:val="(%1)"/>
      <w:numFmt w:val="decimal"/>
      <w:start w:val="2"/>
    </w:lvl>
    <w:lvl w:ilvl="1">
      <w:lvlJc w:val="left"/>
      <w:lvlText w:val="(%2)"/>
      <w:numFmt w:val="decimal"/>
      <w:start w:val="18"/>
    </w:lvl>
    <w:lvl w:ilvl="2">
      <w:lvlJc w:val="left"/>
      <w:lvlText w:val="%3"/>
      <w:numFmt w:val="lowerRoman"/>
      <w:start w:val="1"/>
    </w:lvl>
  </w:abstractNum>
  <w:abstractNum w:abstractNumId="566">
    <w:nsid w:val="26BAF231"/>
    <w:multiLevelType w:val="hybridMultilevel"/>
    <w:lvl w:ilvl="0">
      <w:lvlJc w:val="left"/>
      <w:lvlText w:val="(%1)"/>
      <w:numFmt w:val="decimal"/>
      <w:start w:val="21"/>
    </w:lvl>
  </w:abstractNum>
  <w:abstractNum w:abstractNumId="567">
    <w:nsid w:val="4B13A15A"/>
    <w:multiLevelType w:val="hybridMultilevel"/>
    <w:lvl w:ilvl="0">
      <w:lvlJc w:val="left"/>
      <w:lvlText w:val="*"/>
      <w:numFmt w:val="bullet"/>
      <w:start w:val="1"/>
    </w:lvl>
  </w:abstractNum>
  <w:abstractNum w:abstractNumId="568">
    <w:nsid w:val="701E8A0D"/>
    <w:multiLevelType w:val="hybridMultilevel"/>
    <w:lvl w:ilvl="0">
      <w:lvlJc w:val="left"/>
      <w:lvlText w:val="(%1)"/>
      <w:numFmt w:val="decimal"/>
      <w:start w:val="1"/>
    </w:lvl>
  </w:abstractNum>
  <w:abstractNum w:abstractNumId="569">
    <w:nsid w:val="41E690CF"/>
    <w:multiLevelType w:val="hybridMultilevel"/>
    <w:lvl w:ilvl="0">
      <w:lvlJc w:val="left"/>
      <w:lvlText w:val="*"/>
      <w:numFmt w:val="bullet"/>
      <w:start w:val="1"/>
    </w:lvl>
  </w:abstractNum>
  <w:abstractNum w:abstractNumId="570">
    <w:nsid w:val="7C6489B6"/>
    <w:multiLevelType w:val="hybridMultilevel"/>
    <w:lvl w:ilvl="0">
      <w:lvlJc w:val="left"/>
      <w:lvlText w:val="%1."/>
      <w:numFmt w:val="upperLetter"/>
      <w:start w:val="1"/>
    </w:lvl>
  </w:abstractNum>
  <w:abstractNum w:abstractNumId="571">
    <w:nsid w:val="53AE65DE"/>
    <w:multiLevelType w:val="hybridMultilevel"/>
    <w:lvl w:ilvl="0">
      <w:lvlJc w:val="left"/>
      <w:lvlText w:val="(%1)"/>
      <w:numFmt w:val="lowerLetter"/>
      <w:start w:val="1"/>
    </w:lvl>
  </w:abstractNum>
  <w:abstractNum w:abstractNumId="572">
    <w:nsid w:val="527F603D"/>
    <w:multiLevelType w:val="hybridMultilevel"/>
    <w:lvl w:ilvl="0">
      <w:lvlJc w:val="left"/>
      <w:lvlText w:val="(%1)"/>
      <w:numFmt w:val="lowerLetter"/>
      <w:start w:val="1"/>
    </w:lvl>
  </w:abstractNum>
  <w:abstractNum w:abstractNumId="573">
    <w:nsid w:val="7E13D013"/>
    <w:multiLevelType w:val="hybridMultilevel"/>
    <w:lvl w:ilvl="0">
      <w:lvlJc w:val="left"/>
      <w:lvlText w:val="%1."/>
      <w:numFmt w:val="upperLetter"/>
      <w:start w:val="1"/>
    </w:lvl>
  </w:abstractNum>
  <w:abstractNum w:abstractNumId="574">
    <w:nsid w:val="663BFE95"/>
    <w:multiLevelType w:val="hybridMultilevel"/>
    <w:lvl w:ilvl="0">
      <w:lvlJc w:val="left"/>
      <w:lvlText w:val="(%1)"/>
      <w:numFmt w:val="lowerLetter"/>
      <w:start w:val="1"/>
    </w:lvl>
  </w:abstractNum>
  <w:abstractNum w:abstractNumId="575">
    <w:nsid w:val="31E0986F"/>
    <w:multiLevelType w:val="hybridMultilevel"/>
    <w:lvl w:ilvl="0">
      <w:lvlJc w:val="left"/>
      <w:lvlText w:val="%1."/>
      <w:numFmt w:val="decimal"/>
      <w:start w:val="1"/>
    </w:lvl>
  </w:abstractNum>
  <w:abstractNum w:abstractNumId="576">
    <w:nsid w:val="41FCF274"/>
    <w:multiLevelType w:val="hybridMultilevel"/>
    <w:lvl w:ilvl="0">
      <w:lvlJc w:val="left"/>
      <w:lvlText w:val="%1."/>
      <w:numFmt w:val="upperLetter"/>
      <w:start w:val="1"/>
    </w:lvl>
  </w:abstractNum>
  <w:abstractNum w:abstractNumId="577">
    <w:nsid w:val="294614F7"/>
    <w:multiLevelType w:val="hybridMultilevel"/>
    <w:lvl w:ilvl="0">
      <w:lvlJc w:val="left"/>
      <w:lvlText w:val="%1."/>
      <w:numFmt w:val="decimal"/>
      <w:start w:val="1"/>
    </w:lvl>
  </w:abstractNum>
  <w:abstractNum w:abstractNumId="578">
    <w:nsid w:val="517DF487"/>
    <w:multiLevelType w:val="hybridMultilevel"/>
    <w:lvl w:ilvl="0">
      <w:lvlJc w:val="left"/>
      <w:lvlText w:val="(%1)"/>
      <w:numFmt w:val="lowerRoman"/>
      <w:start w:val="3"/>
    </w:lvl>
  </w:abstractNum>
  <w:abstractNum w:abstractNumId="579">
    <w:nsid w:val="5EBE0EAB"/>
    <w:multiLevelType w:val="hybridMultilevel"/>
    <w:lvl w:ilvl="0">
      <w:lvlJc w:val="left"/>
      <w:lvlText w:val="(%1)"/>
      <w:numFmt w:val="lowerLetter"/>
      <w:start w:val="1"/>
    </w:lvl>
  </w:abstractNum>
  <w:abstractNum w:abstractNumId="580">
    <w:nsid w:val="6E9DEAD0"/>
    <w:multiLevelType w:val="hybridMultilevel"/>
    <w:lvl w:ilvl="0">
      <w:lvlJc w:val="left"/>
      <w:lvlText w:val="(%1)"/>
      <w:numFmt w:val="lowerLetter"/>
      <w:start w:val="1"/>
    </w:lvl>
  </w:abstractNum>
  <w:abstractNum w:abstractNumId="581">
    <w:nsid w:val="4450AA00"/>
    <w:multiLevelType w:val="hybridMultilevel"/>
    <w:lvl w:ilvl="0">
      <w:lvlJc w:val="left"/>
      <w:lvlText w:val="(%1)"/>
      <w:numFmt w:val="lowerLetter"/>
      <w:start w:val="4"/>
    </w:lvl>
  </w:abstractNum>
  <w:abstractNum w:abstractNumId="582">
    <w:nsid w:val="4AC9F3E2"/>
    <w:multiLevelType w:val="hybridMultilevel"/>
    <w:lvl w:ilvl="0">
      <w:lvlJc w:val="left"/>
      <w:lvlText w:val="(%1)"/>
      <w:numFmt w:val="lowerLetter"/>
      <w:start w:val="1"/>
    </w:lvl>
  </w:abstractNum>
  <w:abstractNum w:abstractNumId="583">
    <w:nsid w:val="CC0A782"/>
    <w:multiLevelType w:val="hybridMultilevel"/>
    <w:lvl w:ilvl="0">
      <w:lvlJc w:val="left"/>
      <w:lvlText w:val="(%1)"/>
      <w:numFmt w:val="lowerLetter"/>
      <w:start w:val="1"/>
    </w:lvl>
  </w:abstractNum>
  <w:abstractNum w:abstractNumId="584">
    <w:nsid w:val="79B69BC9"/>
    <w:multiLevelType w:val="hybridMultilevel"/>
    <w:lvl w:ilvl="0">
      <w:lvlJc w:val="left"/>
      <w:lvlText w:val="(%1)"/>
      <w:numFmt w:val="lowerLetter"/>
      <w:start w:val="3"/>
    </w:lvl>
  </w:abstractNum>
  <w:abstractNum w:abstractNumId="585">
    <w:nsid w:val="2970CC78"/>
    <w:multiLevelType w:val="hybridMultilevel"/>
    <w:lvl w:ilvl="0">
      <w:lvlJc w:val="left"/>
      <w:lvlText w:val="%1."/>
      <w:numFmt w:val="decimal"/>
      <w:start w:val="1"/>
    </w:lvl>
  </w:abstractNum>
  <w:abstractNum w:abstractNumId="586">
    <w:nsid w:val="49CA1341"/>
    <w:multiLevelType w:val="hybridMultilevel"/>
    <w:lvl w:ilvl="0">
      <w:lvlJc w:val="left"/>
      <w:lvlText w:val="%1"/>
      <w:numFmt w:val="lowerRoman"/>
      <w:start w:val="1"/>
    </w:lvl>
    <w:lvl w:ilvl="1">
      <w:lvlJc w:val="left"/>
      <w:lvlText w:val="(%2)"/>
      <w:numFmt w:val="decimal"/>
      <w:start w:val="3"/>
    </w:lvl>
  </w:abstractNum>
  <w:abstractNum w:abstractNumId="587">
    <w:nsid w:val="58D717E"/>
    <w:multiLevelType w:val="hybridMultilevel"/>
    <w:lvl w:ilvl="0">
      <w:lvlJc w:val="left"/>
      <w:lvlText w:val="(%1)"/>
      <w:numFmt w:val="lowerRoman"/>
      <w:start w:val="1"/>
    </w:lvl>
    <w:lvl w:ilvl="1">
      <w:lvlJc w:val="left"/>
      <w:lvlText w:val="%2"/>
      <w:numFmt w:val="decimal"/>
      <w:start w:val="1"/>
    </w:lvl>
  </w:abstractNum>
  <w:abstractNum w:abstractNumId="588">
    <w:nsid w:val="64C2DDD5"/>
    <w:multiLevelType w:val="hybridMultilevel"/>
    <w:lvl w:ilvl="0">
      <w:lvlJc w:val="left"/>
      <w:lvlText w:val="%1."/>
      <w:numFmt w:val="decimal"/>
      <w:start w:val="3"/>
    </w:lvl>
    <w:lvl w:ilvl="1">
      <w:lvlJc w:val="left"/>
      <w:lvlText w:val="(%2)"/>
      <w:numFmt w:val="lowerRoman"/>
      <w:start w:val="1"/>
    </w:lvl>
  </w:abstractNum>
  <w:abstractNum w:abstractNumId="589">
    <w:nsid w:val="4244B8DE"/>
    <w:multiLevelType w:val="hybridMultilevel"/>
    <w:lvl w:ilvl="0">
      <w:lvlJc w:val="left"/>
      <w:lvlText w:val="%1."/>
      <w:numFmt w:val="decimal"/>
      <w:start w:val="5"/>
    </w:lvl>
  </w:abstractNum>
  <w:abstractNum w:abstractNumId="590">
    <w:nsid w:val="76490B01"/>
    <w:multiLevelType w:val="hybridMultilevel"/>
    <w:lvl w:ilvl="0">
      <w:lvlJc w:val="left"/>
      <w:lvlText w:val="(%1)"/>
      <w:numFmt w:val="lowerLetter"/>
      <w:start w:val="1"/>
    </w:lvl>
  </w:abstractNum>
  <w:abstractNum w:abstractNumId="591">
    <w:nsid w:val="36B19CBF"/>
    <w:multiLevelType w:val="hybridMultilevel"/>
    <w:lvl w:ilvl="0">
      <w:lvlJc w:val="left"/>
      <w:lvlText w:val="(%1)"/>
      <w:numFmt w:val="lowerLetter"/>
      <w:start w:val="2"/>
    </w:lvl>
  </w:abstractNum>
  <w:abstractNum w:abstractNumId="592">
    <w:nsid w:val="645EC5AB"/>
    <w:multiLevelType w:val="hybridMultilevel"/>
    <w:lvl w:ilvl="0">
      <w:lvlJc w:val="left"/>
      <w:lvlText w:val="(%1)"/>
      <w:numFmt w:val="lowerLetter"/>
      <w:start w:val="3"/>
    </w:lvl>
  </w:abstractNum>
  <w:abstractNum w:abstractNumId="593">
    <w:nsid w:val="11C5ABEF"/>
    <w:multiLevelType w:val="hybridMultilevel"/>
    <w:lvl w:ilvl="0">
      <w:lvlJc w:val="left"/>
      <w:lvlText w:val="%1"/>
      <w:numFmt w:val="decimal"/>
      <w:start w:val="1"/>
    </w:lvl>
    <w:lvl w:ilvl="1">
      <w:lvlJc w:val="left"/>
      <w:lvlText w:val="(%2)"/>
      <w:numFmt w:val="lowerLetter"/>
      <w:start w:val="4"/>
    </w:lvl>
  </w:abstractNum>
  <w:abstractNum w:abstractNumId="594">
    <w:nsid w:val="5A4744BE"/>
    <w:multiLevelType w:val="hybridMultilevel"/>
    <w:lvl w:ilvl="0">
      <w:lvlJc w:val="left"/>
      <w:lvlText w:val="%1."/>
      <w:numFmt w:val="decimal"/>
      <w:start w:val="6"/>
    </w:lvl>
    <w:lvl w:ilvl="1">
      <w:lvlJc w:val="left"/>
      <w:lvlText w:val="%2"/>
      <w:numFmt w:val="lowerLetter"/>
      <w:start w:val="1"/>
    </w:lvl>
  </w:abstractNum>
  <w:abstractNum w:abstractNumId="595">
    <w:nsid w:val="1DC4B111"/>
    <w:multiLevelType w:val="hybridMultilevel"/>
    <w:lvl w:ilvl="0">
      <w:lvlJc w:val="left"/>
      <w:lvlText w:val="%1)"/>
      <w:numFmt w:val="lowerLetter"/>
      <w:start w:val="3"/>
    </w:lvl>
  </w:abstractNum>
  <w:abstractNum w:abstractNumId="596">
    <w:nsid w:val="4C6E372B"/>
    <w:multiLevelType w:val="hybridMultilevel"/>
    <w:lvl w:ilvl="0">
      <w:lvlJc w:val="left"/>
      <w:lvlText w:val="(%1)"/>
      <w:numFmt w:val="lowerRoman"/>
      <w:start w:val="1"/>
    </w:lvl>
  </w:abstractNum>
  <w:abstractNum w:abstractNumId="597">
    <w:nsid w:val="10236EF"/>
    <w:multiLevelType w:val="hybridMultilevel"/>
    <w:lvl w:ilvl="0">
      <w:lvlJc w:val="left"/>
      <w:lvlText w:val="(%1)"/>
      <w:numFmt w:val="lowerRoman"/>
      <w:start w:val="3"/>
    </w:lvl>
  </w:abstractNum>
  <w:abstractNum w:abstractNumId="598">
    <w:nsid w:val="68D8526B"/>
    <w:multiLevelType w:val="hybridMultilevel"/>
    <w:lvl w:ilvl="0">
      <w:lvlJc w:val="left"/>
      <w:lvlText w:val="%1"/>
      <w:numFmt w:val="lowerRoman"/>
      <w:start w:val="1"/>
    </w:lvl>
    <w:lvl w:ilvl="1">
      <w:lvlJc w:val="left"/>
      <w:lvlText w:val="(%2)"/>
      <w:numFmt w:val="lowerLetter"/>
      <w:start w:val="3"/>
    </w:lvl>
  </w:abstractNum>
  <w:abstractNum w:abstractNumId="599">
    <w:nsid w:val="3C8CC138"/>
    <w:multiLevelType w:val="hybridMultilevel"/>
    <w:lvl w:ilvl="0">
      <w:lvlJc w:val="left"/>
      <w:lvlText w:val="%1"/>
      <w:numFmt w:val="lowerRoman"/>
      <w:start w:val="1"/>
    </w:lvl>
    <w:lvl w:ilvl="1">
      <w:lvlJc w:val="left"/>
      <w:lvlText w:val="(%2)"/>
      <w:numFmt w:val="lowerLetter"/>
      <w:start w:val="9"/>
    </w:lvl>
  </w:abstractNum>
  <w:abstractNum w:abstractNumId="600">
    <w:nsid w:val="42E8C7BE"/>
    <w:multiLevelType w:val="hybridMultilevel"/>
    <w:lvl w:ilvl="0">
      <w:lvlJc w:val="left"/>
      <w:lvlText w:val="%1"/>
      <w:numFmt w:val="lowerRoman"/>
      <w:start w:val="1"/>
    </w:lvl>
    <w:lvl w:ilvl="1">
      <w:lvlJc w:val="left"/>
      <w:lvlText w:val="(%2)"/>
      <w:numFmt w:val="lowerLetter"/>
      <w:start w:val="35"/>
    </w:lvl>
  </w:abstractNum>
  <w:abstractNum w:abstractNumId="601">
    <w:nsid w:val="653CDC22"/>
    <w:multiLevelType w:val="hybridMultilevel"/>
    <w:lvl w:ilvl="0">
      <w:lvlJc w:val="left"/>
      <w:lvlText w:val="%1"/>
      <w:numFmt w:val="lowerRoman"/>
      <w:start w:val="1"/>
    </w:lvl>
    <w:lvl w:ilvl="1">
      <w:lvlJc w:val="left"/>
      <w:lvlText w:val="(%2)"/>
      <w:numFmt w:val="lowerLetter"/>
      <w:start w:val="61"/>
    </w:lvl>
  </w:abstractNum>
  <w:abstractNum w:abstractNumId="602">
    <w:nsid w:val="103B2716"/>
    <w:multiLevelType w:val="hybridMultilevel"/>
    <w:lvl w:ilvl="0">
      <w:lvlJc w:val="left"/>
      <w:lvlText w:val="(%1)"/>
      <w:numFmt w:val="lowerRoman"/>
      <w:start w:val="4"/>
    </w:lvl>
    <w:lvl w:ilvl="1">
      <w:lvlJc w:val="left"/>
      <w:lvlText w:val="%2"/>
      <w:numFmt w:val="lowerLetter"/>
      <w:start w:val="1"/>
    </w:lvl>
  </w:abstractNum>
  <w:abstractNum w:abstractNumId="603">
    <w:nsid w:val="156827FB"/>
    <w:multiLevelType w:val="hybridMultilevel"/>
    <w:lvl w:ilvl="0">
      <w:lvlJc w:val="left"/>
      <w:lvlText w:val="%1."/>
      <w:numFmt w:val="decimal"/>
      <w:start w:val="7"/>
    </w:lvl>
    <w:lvl w:ilvl="1">
      <w:lvlJc w:val="left"/>
      <w:lvlText w:val="%2."/>
      <w:numFmt w:val="decimal"/>
      <w:start w:val="1"/>
    </w:lvl>
  </w:abstractNum>
  <w:abstractNum w:abstractNumId="604">
    <w:nsid w:val="6350AC35"/>
    <w:multiLevelType w:val="hybridMultilevel"/>
    <w:lvl w:ilvl="0">
      <w:lvlJc w:val="left"/>
      <w:lvlText w:val="%1."/>
      <w:numFmt w:val="decimal"/>
      <w:start w:val="20"/>
    </w:lvl>
  </w:abstractNum>
  <w:abstractNum w:abstractNumId="605">
    <w:nsid w:val="767725AB"/>
    <w:multiLevelType w:val="hybridMultilevel"/>
    <w:lvl w:ilvl="0">
      <w:lvlJc w:val="left"/>
      <w:lvlText w:val="•"/>
      <w:numFmt w:val="bullet"/>
      <w:start w:val="1"/>
    </w:lvl>
  </w:abstractNum>
  <w:abstractNum w:abstractNumId="606">
    <w:nsid w:val="4748C06A"/>
    <w:multiLevelType w:val="hybridMultilevel"/>
    <w:lvl w:ilvl="0">
      <w:lvlJc w:val="left"/>
      <w:lvlText w:val="%1."/>
      <w:numFmt w:val="decimal"/>
      <w:start w:val="1"/>
    </w:lvl>
  </w:abstractNum>
  <w:abstractNum w:abstractNumId="607">
    <w:nsid w:val="254D9EA9"/>
    <w:multiLevelType w:val="hybridMultilevel"/>
    <w:lvl w:ilvl="0">
      <w:lvlJc w:val="left"/>
      <w:lvlText w:val="(%1)"/>
      <w:numFmt w:val="lowerLetter"/>
      <w:start w:val="1"/>
    </w:lvl>
  </w:abstractNum>
  <w:abstractNum w:abstractNumId="608">
    <w:nsid w:val="1FBD3AA3"/>
    <w:multiLevelType w:val="hybridMultilevel"/>
    <w:lvl w:ilvl="0">
      <w:lvlJc w:val="left"/>
      <w:lvlText w:val="%1."/>
      <w:numFmt w:val="decimal"/>
      <w:start w:val="8"/>
    </w:lvl>
    <w:lvl w:ilvl="1">
      <w:lvlJc w:val="left"/>
      <w:lvlText w:val="%2"/>
      <w:numFmt w:val="lowerRoman"/>
      <w:start w:val="1"/>
    </w:lvl>
    <w:lvl w:ilvl="2">
      <w:lvlJc w:val="left"/>
      <w:lvlText w:val="(%3)"/>
      <w:numFmt w:val="lowerLetter"/>
      <w:start w:val="1"/>
    </w:lvl>
  </w:abstractNum>
  <w:abstractNum w:abstractNumId="609">
    <w:nsid w:val="18C6B4F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610">
    <w:nsid w:val="40BAD5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611">
    <w:nsid w:val="E5B257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612">
    <w:nsid w:val="5D175EF2"/>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613">
    <w:nsid w:val="4ED5A137"/>
    <w:multiLevelType w:val="hybridMultilevel"/>
    <w:lvl w:ilvl="0">
      <w:lvlJc w:val="left"/>
      <w:lvlText w:val="(%1)"/>
      <w:numFmt w:val="lowerRoman"/>
      <w:start w:val="4"/>
    </w:lvl>
  </w:abstractNum>
  <w:abstractNum w:abstractNumId="614">
    <w:nsid w:val="1B1BCCF5"/>
    <w:multiLevelType w:val="hybridMultilevel"/>
    <w:lvl w:ilvl="0">
      <w:lvlJc w:val="left"/>
      <w:lvlText w:val="(%1)"/>
      <w:numFmt w:val="lowerRoman"/>
      <w:start w:val="7"/>
    </w:lvl>
  </w:abstractNum>
  <w:abstractNum w:abstractNumId="615">
    <w:nsid w:val="56CDFABB"/>
    <w:multiLevelType w:val="hybridMultilevel"/>
    <w:lvl w:ilvl="0">
      <w:lvlJc w:val="left"/>
      <w:lvlText w:val="(%1)"/>
      <w:numFmt w:val="lowerRoman"/>
      <w:start w:val="7"/>
    </w:lvl>
  </w:abstractNum>
  <w:abstractNum w:abstractNumId="616">
    <w:nsid w:val="78466DAF"/>
    <w:multiLevelType w:val="hybridMultilevel"/>
    <w:lvl w:ilvl="0">
      <w:lvlJc w:val="left"/>
      <w:lvlText w:val="(%1)"/>
      <w:numFmt w:val="lowerRoman"/>
      <w:start w:val="9"/>
    </w:lvl>
    <w:lvl w:ilvl="1">
      <w:lvlJc w:val="left"/>
      <w:lvlText w:val="(%2)"/>
      <w:numFmt w:val="lowerLetter"/>
      <w:start w:val="2"/>
    </w:lvl>
  </w:abstractNum>
  <w:abstractNum w:abstractNumId="617">
    <w:nsid w:val="64E5E036"/>
    <w:multiLevelType w:val="hybridMultilevel"/>
    <w:lvl w:ilvl="0">
      <w:lvlJc w:val="left"/>
      <w:lvlText w:val="(%1)"/>
      <w:numFmt w:val="lowerRoman"/>
      <w:start w:val="1"/>
    </w:lvl>
    <w:lvl w:ilvl="1">
      <w:lvlJc w:val="left"/>
      <w:lvlText w:val="(%2)"/>
      <w:numFmt w:val="lowerLetter"/>
      <w:start w:val="3"/>
    </w:lvl>
  </w:abstractNum>
  <w:abstractNum w:abstractNumId="618">
    <w:nsid w:val="5C5B6C3A"/>
    <w:multiLevelType w:val="hybridMultilevel"/>
    <w:lvl w:ilvl="0">
      <w:lvlJc w:val="left"/>
      <w:lvlText w:val="%1"/>
      <w:numFmt w:val="decimal"/>
      <w:start w:val="1"/>
    </w:lvl>
    <w:lvl w:ilvl="1">
      <w:lvlJc w:val="left"/>
      <w:lvlText w:val="(%2)"/>
      <w:numFmt w:val="lowerLetter"/>
      <w:start w:val="4"/>
    </w:lvl>
  </w:abstractNum>
  <w:abstractNum w:abstractNumId="619">
    <w:nsid w:val="5D094B84"/>
    <w:multiLevelType w:val="hybridMultilevel"/>
    <w:lvl w:ilvl="0">
      <w:lvlJc w:val="left"/>
      <w:lvlText w:val="%1."/>
      <w:numFmt w:val="decimal"/>
      <w:start w:val="9"/>
    </w:lvl>
    <w:lvl w:ilvl="1">
      <w:lvlJc w:val="left"/>
      <w:lvlText w:val="%2"/>
      <w:numFmt w:val="lowerLetter"/>
      <w:start w:val="1"/>
    </w:lvl>
  </w:abstractNum>
  <w:abstractNum w:abstractNumId="620">
    <w:nsid w:val="272A9914"/>
    <w:multiLevelType w:val="hybridMultilevel"/>
    <w:lvl w:ilvl="0">
      <w:lvlJc w:val="left"/>
      <w:lvlText w:val="%1."/>
      <w:numFmt w:val="decimal"/>
      <w:start w:val="12"/>
    </w:lvl>
  </w:abstractNum>
  <w:abstractNum w:abstractNumId="621">
    <w:nsid w:val="52A4773B"/>
    <w:multiLevelType w:val="hybridMultilevel"/>
    <w:lvl w:ilvl="0">
      <w:lvlJc w:val="left"/>
      <w:lvlText w:val="%1."/>
      <w:numFmt w:val="decimal"/>
      <w:start w:val="15"/>
    </w:lvl>
  </w:abstractNum>
  <w:abstractNum w:abstractNumId="622">
    <w:nsid w:val="13BAE843"/>
    <w:multiLevelType w:val="hybridMultilevel"/>
    <w:lvl w:ilvl="0">
      <w:lvlJc w:val="left"/>
      <w:lvlText w:val="%1."/>
      <w:numFmt w:val="decimal"/>
      <w:start w:val="17"/>
    </w:lvl>
  </w:abstractNum>
  <w:abstractNum w:abstractNumId="623">
    <w:nsid w:val="B895EBF"/>
    <w:multiLevelType w:val="hybridMultilevel"/>
    <w:lvl w:ilvl="0">
      <w:lvlJc w:val="left"/>
      <w:lvlText w:val="%1."/>
      <w:numFmt w:val="decimal"/>
      <w:start w:val="18"/>
    </w:lvl>
  </w:abstractNum>
  <w:abstractNum w:abstractNumId="624">
    <w:nsid w:val="646A232A"/>
    <w:multiLevelType w:val="hybridMultilevel"/>
    <w:lvl w:ilvl="0">
      <w:lvlJc w:val="left"/>
      <w:lvlText w:val="(%1)"/>
      <w:numFmt w:val="lowerRoman"/>
      <w:start w:val="2"/>
    </w:lvl>
  </w:abstractNum>
  <w:abstractNum w:abstractNumId="625">
    <w:nsid w:val="6E022D01"/>
    <w:multiLevelType w:val="hybridMultilevel"/>
    <w:lvl w:ilvl="0">
      <w:lvlJc w:val="left"/>
      <w:lvlText w:val="%1."/>
      <w:numFmt w:val="decimal"/>
      <w:start w:val="1"/>
    </w:lvl>
  </w:abstractNum>
  <w:abstractNum w:abstractNumId="626">
    <w:nsid w:val="294E0FD0"/>
    <w:multiLevelType w:val="hybridMultilevel"/>
    <w:lvl w:ilvl="0">
      <w:lvlJc w:val="left"/>
      <w:lvlText w:val="%1."/>
      <w:numFmt w:val="decimal"/>
      <w:start w:val="1"/>
    </w:lvl>
    <w:lvl w:ilvl="1">
      <w:lvlJc w:val="left"/>
      <w:lvlText w:val="(%2)"/>
      <w:numFmt w:val="lowerLetter"/>
      <w:start w:val="1"/>
    </w:lvl>
  </w:abstractNum>
  <w:abstractNum w:abstractNumId="627">
    <w:nsid w:val="30D85A55"/>
    <w:multiLevelType w:val="hybridMultilevel"/>
    <w:lvl w:ilvl="0">
      <w:lvlJc w:val="left"/>
      <w:lvlText w:val="%1."/>
      <w:numFmt w:val="decimal"/>
      <w:start w:val="5"/>
    </w:lvl>
    <w:lvl w:ilvl="1">
      <w:lvlJc w:val="left"/>
      <w:lvlText w:val="(%2)"/>
      <w:numFmt w:val="lowerLetter"/>
      <w:start w:val="1"/>
    </w:lvl>
  </w:abstractNum>
  <w:abstractNum w:abstractNumId="628">
    <w:nsid w:val="6F0463F1"/>
    <w:multiLevelType w:val="hybridMultilevel"/>
    <w:lvl w:ilvl="0">
      <w:lvlJc w:val="left"/>
      <w:lvlText w:val="%1."/>
      <w:numFmt w:val="decimal"/>
      <w:start w:val="1"/>
    </w:lvl>
    <w:lvl w:ilvl="1">
      <w:lvlJc w:val="left"/>
      <w:lvlText w:val="(%2)"/>
      <w:numFmt w:val="lowerLetter"/>
      <w:start w:val="1"/>
    </w:lvl>
  </w:abstractNum>
  <w:abstractNum w:abstractNumId="629">
    <w:nsid w:val="1226623C"/>
    <w:multiLevelType w:val="hybridMultilevel"/>
    <w:lvl w:ilvl="0">
      <w:lvlJc w:val="left"/>
      <w:lvlText w:val="%1."/>
      <w:numFmt w:val="decimal"/>
      <w:start w:val="5"/>
    </w:lvl>
    <w:lvl w:ilvl="1">
      <w:lvlJc w:val="left"/>
      <w:lvlText w:val="(%2)"/>
      <w:numFmt w:val="lowerLetter"/>
      <w:start w:val="1"/>
    </w:lvl>
  </w:abstractNum>
  <w:abstractNum w:abstractNumId="630">
    <w:nsid w:val="6D651B8D"/>
    <w:multiLevelType w:val="hybridMultilevel"/>
    <w:lvl w:ilvl="0">
      <w:lvlJc w:val="left"/>
      <w:lvlText w:val="%1."/>
      <w:numFmt w:val="decimal"/>
      <w:start w:val="1"/>
    </w:lvl>
  </w:abstractNum>
  <w:abstractNum w:abstractNumId="631">
    <w:nsid w:val="31ED2B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8" Type="http://schemas.openxmlformats.org/officeDocument/2006/relationships/image" Target="media/image173.png"/><Relationship Id="rId215"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5" Type="http://schemas.openxmlformats.org/officeDocument/2006/relationships/image" Target="media/image225.png"/><Relationship Id="rId286" Type="http://schemas.openxmlformats.org/officeDocument/2006/relationships/image" Target="media/image226.png"/><Relationship Id="rId287" Type="http://schemas.openxmlformats.org/officeDocument/2006/relationships/image" Target="media/image227.png"/><Relationship Id="rId288"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png"/><Relationship Id="rId294" Type="http://schemas.openxmlformats.org/officeDocument/2006/relationships/image" Target="media/image234.png"/><Relationship Id="rId295" Type="http://schemas.openxmlformats.org/officeDocument/2006/relationships/image" Target="media/image235.png"/><Relationship Id="rId296" Type="http://schemas.openxmlformats.org/officeDocument/2006/relationships/image" Target="media/image236.png"/><Relationship Id="rId297" Type="http://schemas.openxmlformats.org/officeDocument/2006/relationships/image" Target="media/image237.png"/><Relationship Id="rId298" Type="http://schemas.openxmlformats.org/officeDocument/2006/relationships/image" Target="media/image238.png"/><Relationship Id="rId299" Type="http://schemas.openxmlformats.org/officeDocument/2006/relationships/image" Target="media/image239.png"/><Relationship Id="rId300" Type="http://schemas.openxmlformats.org/officeDocument/2006/relationships/image" Target="media/image240.png"/><Relationship Id="rId301" Type="http://schemas.openxmlformats.org/officeDocument/2006/relationships/image" Target="media/image241.png"/><Relationship Id="rId302" Type="http://schemas.openxmlformats.org/officeDocument/2006/relationships/image" Target="media/image242.png"/><Relationship Id="rId303" Type="http://schemas.openxmlformats.org/officeDocument/2006/relationships/image" Target="media/image243.png"/><Relationship Id="rId304" Type="http://schemas.openxmlformats.org/officeDocument/2006/relationships/image" Target="media/image244.png"/><Relationship Id="rId305" Type="http://schemas.openxmlformats.org/officeDocument/2006/relationships/image" Target="media/image245.png"/><Relationship Id="rId306" Type="http://schemas.openxmlformats.org/officeDocument/2006/relationships/image" Target="media/image246.png"/><Relationship Id="rId307" Type="http://schemas.openxmlformats.org/officeDocument/2006/relationships/image" Target="media/image247.png"/><Relationship Id="rId308" Type="http://schemas.openxmlformats.org/officeDocument/2006/relationships/image" Target="media/image248.png"/><Relationship Id="rId309" Type="http://schemas.openxmlformats.org/officeDocument/2006/relationships/image" Target="media/image249.png"/><Relationship Id="rId310" Type="http://schemas.openxmlformats.org/officeDocument/2006/relationships/image" Target="media/image250.png"/><Relationship Id="rId311" Type="http://schemas.openxmlformats.org/officeDocument/2006/relationships/image" Target="media/image251.png"/><Relationship Id="rId312" Type="http://schemas.openxmlformats.org/officeDocument/2006/relationships/image" Target="media/image252.png"/><Relationship Id="rId313" Type="http://schemas.openxmlformats.org/officeDocument/2006/relationships/image" Target="media/image253.png"/><Relationship Id="rId314" Type="http://schemas.openxmlformats.org/officeDocument/2006/relationships/image" Target="media/image254.png"/><Relationship Id="rId315" Type="http://schemas.openxmlformats.org/officeDocument/2006/relationships/image" Target="media/image255.png"/><Relationship Id="rId316" Type="http://schemas.openxmlformats.org/officeDocument/2006/relationships/image" Target="media/image256.png"/><Relationship Id="rId317" Type="http://schemas.openxmlformats.org/officeDocument/2006/relationships/image" Target="media/image257.png"/><Relationship Id="rId318" Type="http://schemas.openxmlformats.org/officeDocument/2006/relationships/image" Target="media/image258.png"/><Relationship Id="rId319" Type="http://schemas.openxmlformats.org/officeDocument/2006/relationships/image" Target="media/image259.png"/><Relationship Id="rId320" Type="http://schemas.openxmlformats.org/officeDocument/2006/relationships/image" Target="media/image260.png"/><Relationship Id="rId321" Type="http://schemas.openxmlformats.org/officeDocument/2006/relationships/image" Target="media/image261.png"/><Relationship Id="rId322" Type="http://schemas.openxmlformats.org/officeDocument/2006/relationships/image" Target="media/image262.png"/><Relationship Id="rId323" Type="http://schemas.openxmlformats.org/officeDocument/2006/relationships/image" Target="media/image263.png"/><Relationship Id="rId324" Type="http://schemas.openxmlformats.org/officeDocument/2006/relationships/image" Target="media/image264.png"/><Relationship Id="rId325" Type="http://schemas.openxmlformats.org/officeDocument/2006/relationships/image" Target="media/image265.png"/><Relationship Id="rId326" Type="http://schemas.openxmlformats.org/officeDocument/2006/relationships/image" Target="media/image266.png"/><Relationship Id="rId327" Type="http://schemas.openxmlformats.org/officeDocument/2006/relationships/image" Target="media/image267.png"/><Relationship Id="rId328" Type="http://schemas.openxmlformats.org/officeDocument/2006/relationships/image" Target="media/image268.png"/><Relationship Id="rId329" Type="http://schemas.openxmlformats.org/officeDocument/2006/relationships/image" Target="media/image269.png"/><Relationship Id="rId330" Type="http://schemas.openxmlformats.org/officeDocument/2006/relationships/image" Target="media/image270.png"/><Relationship Id="rId331" Type="http://schemas.openxmlformats.org/officeDocument/2006/relationships/image" Target="media/image271.png"/><Relationship Id="rId332" Type="http://schemas.openxmlformats.org/officeDocument/2006/relationships/image" Target="media/image272.png"/><Relationship Id="rId333" Type="http://schemas.openxmlformats.org/officeDocument/2006/relationships/image" Target="media/image273.png"/><Relationship Id="rId334" Type="http://schemas.openxmlformats.org/officeDocument/2006/relationships/image" Target="media/image274.png"/><Relationship Id="rId335" Type="http://schemas.openxmlformats.org/officeDocument/2006/relationships/image" Target="media/image275.png"/><Relationship Id="rId336" Type="http://schemas.openxmlformats.org/officeDocument/2006/relationships/image" Target="media/image276.png"/><Relationship Id="rId337" Type="http://schemas.openxmlformats.org/officeDocument/2006/relationships/image" Target="media/image277.png"/><Relationship Id="rId338" Type="http://schemas.openxmlformats.org/officeDocument/2006/relationships/image" Target="media/image278.png"/><Relationship Id="rId339" Type="http://schemas.openxmlformats.org/officeDocument/2006/relationships/image" Target="media/image279.png"/><Relationship Id="rId340" Type="http://schemas.openxmlformats.org/officeDocument/2006/relationships/image" Target="media/image280.png"/><Relationship Id="rId341" Type="http://schemas.openxmlformats.org/officeDocument/2006/relationships/image" Target="media/image281.png"/><Relationship Id="rId342" Type="http://schemas.openxmlformats.org/officeDocument/2006/relationships/image" Target="media/image282.png"/><Relationship Id="rId343" Type="http://schemas.openxmlformats.org/officeDocument/2006/relationships/image" Target="media/image283.png"/><Relationship Id="rId344" Type="http://schemas.openxmlformats.org/officeDocument/2006/relationships/image" Target="media/image284.png"/><Relationship Id="rId345" Type="http://schemas.openxmlformats.org/officeDocument/2006/relationships/image" Target="media/image285.png"/><Relationship Id="rId346" Type="http://schemas.openxmlformats.org/officeDocument/2006/relationships/image" Target="media/image286.png"/><Relationship Id="rId347" Type="http://schemas.openxmlformats.org/officeDocument/2006/relationships/image" Target="media/image287.png"/><Relationship Id="rId348" Type="http://schemas.openxmlformats.org/officeDocument/2006/relationships/image" Target="media/image288.png"/><Relationship Id="rId349" Type="http://schemas.openxmlformats.org/officeDocument/2006/relationships/image" Target="media/image289.png"/><Relationship Id="rId350" Type="http://schemas.openxmlformats.org/officeDocument/2006/relationships/image" Target="media/image290.png"/><Relationship Id="rId351" Type="http://schemas.openxmlformats.org/officeDocument/2006/relationships/image" Target="media/image291.png"/><Relationship Id="rId352" Type="http://schemas.openxmlformats.org/officeDocument/2006/relationships/image" Target="media/image292.png"/><Relationship Id="rId353" Type="http://schemas.openxmlformats.org/officeDocument/2006/relationships/image" Target="media/image293.png"/><Relationship Id="rId354" Type="http://schemas.openxmlformats.org/officeDocument/2006/relationships/image" Target="media/image294.png"/><Relationship Id="rId355" Type="http://schemas.openxmlformats.org/officeDocument/2006/relationships/image" Target="media/image295.png"/><Relationship Id="rId356" Type="http://schemas.openxmlformats.org/officeDocument/2006/relationships/image" Target="media/image296.png"/><Relationship Id="rId357" Type="http://schemas.openxmlformats.org/officeDocument/2006/relationships/image" Target="media/image297.png"/><Relationship Id="rId358" Type="http://schemas.openxmlformats.org/officeDocument/2006/relationships/image" Target="media/image298.png"/><Relationship Id="rId359" Type="http://schemas.openxmlformats.org/officeDocument/2006/relationships/image" Target="media/image299.png"/><Relationship Id="rId360" Type="http://schemas.openxmlformats.org/officeDocument/2006/relationships/image" Target="media/image300.png"/><Relationship Id="rId361" Type="http://schemas.openxmlformats.org/officeDocument/2006/relationships/image" Target="media/image301.png"/><Relationship Id="rId362" Type="http://schemas.openxmlformats.org/officeDocument/2006/relationships/image" Target="media/image302.png"/><Relationship Id="rId363" Type="http://schemas.openxmlformats.org/officeDocument/2006/relationships/image" Target="media/image303.png"/><Relationship Id="rId364" Type="http://schemas.openxmlformats.org/officeDocument/2006/relationships/image" Target="media/image304.png"/><Relationship Id="rId365" Type="http://schemas.openxmlformats.org/officeDocument/2006/relationships/image" Target="media/image305.png"/><Relationship Id="rId366" Type="http://schemas.openxmlformats.org/officeDocument/2006/relationships/image" Target="media/image306.png"/><Relationship Id="rId367" Type="http://schemas.openxmlformats.org/officeDocument/2006/relationships/image" Target="media/image307.png"/><Relationship Id="rId368" Type="http://schemas.openxmlformats.org/officeDocument/2006/relationships/image" Target="media/image308.png"/><Relationship Id="rId369" Type="http://schemas.openxmlformats.org/officeDocument/2006/relationships/image" Target="media/image309.png"/><Relationship Id="rId370" Type="http://schemas.openxmlformats.org/officeDocument/2006/relationships/image" Target="media/image310.png"/><Relationship Id="rId371" Type="http://schemas.openxmlformats.org/officeDocument/2006/relationships/image" Target="media/image311.png"/><Relationship Id="rId372" Type="http://schemas.openxmlformats.org/officeDocument/2006/relationships/image" Target="media/image312.png"/><Relationship Id="rId373" Type="http://schemas.openxmlformats.org/officeDocument/2006/relationships/image" Target="media/image313.png"/><Relationship Id="rId374" Type="http://schemas.openxmlformats.org/officeDocument/2006/relationships/image" Target="media/image314.png"/><Relationship Id="rId375" Type="http://schemas.openxmlformats.org/officeDocument/2006/relationships/image" Target="media/image315.png"/><Relationship Id="rId376" Type="http://schemas.openxmlformats.org/officeDocument/2006/relationships/image" Target="media/image316.png"/><Relationship Id="rId377" Type="http://schemas.openxmlformats.org/officeDocument/2006/relationships/image" Target="media/image317.png"/><Relationship Id="rId378" Type="http://schemas.openxmlformats.org/officeDocument/2006/relationships/image" Target="media/image318.png"/><Relationship Id="rId379" Type="http://schemas.openxmlformats.org/officeDocument/2006/relationships/image" Target="media/image319.png"/><Relationship Id="rId380" Type="http://schemas.openxmlformats.org/officeDocument/2006/relationships/image" Target="media/image320.png"/><Relationship Id="rId381" Type="http://schemas.openxmlformats.org/officeDocument/2006/relationships/image" Target="media/image321.png"/><Relationship Id="rId382" Type="http://schemas.openxmlformats.org/officeDocument/2006/relationships/image" Target="media/image322.png"/><Relationship Id="rId383" Type="http://schemas.openxmlformats.org/officeDocument/2006/relationships/image" Target="media/image323.png"/><Relationship Id="rId384" Type="http://schemas.openxmlformats.org/officeDocument/2006/relationships/image" Target="media/image324.png"/><Relationship Id="rId385" Type="http://schemas.openxmlformats.org/officeDocument/2006/relationships/image" Target="media/image325.png"/><Relationship Id="rId386" Type="http://schemas.openxmlformats.org/officeDocument/2006/relationships/image" Target="media/image326.png"/><Relationship Id="rId387" Type="http://schemas.openxmlformats.org/officeDocument/2006/relationships/image" Target="media/image327.png"/><Relationship Id="rId388" Type="http://schemas.openxmlformats.org/officeDocument/2006/relationships/image" Target="media/image328.png"/><Relationship Id="rId389" Type="http://schemas.openxmlformats.org/officeDocument/2006/relationships/image" Target="media/image329.png"/><Relationship Id="rId390" Type="http://schemas.openxmlformats.org/officeDocument/2006/relationships/image" Target="media/image330.png"/><Relationship Id="rId391" Type="http://schemas.openxmlformats.org/officeDocument/2006/relationships/image" Target="media/image331.png"/><Relationship Id="rId392" Type="http://schemas.openxmlformats.org/officeDocument/2006/relationships/image" Target="media/image332.png"/><Relationship Id="rId393" Type="http://schemas.openxmlformats.org/officeDocument/2006/relationships/image" Target="media/image333.png"/><Relationship Id="rId394" Type="http://schemas.openxmlformats.org/officeDocument/2006/relationships/image" Target="media/image334.png"/><Relationship Id="rId395" Type="http://schemas.openxmlformats.org/officeDocument/2006/relationships/image" Target="media/image335.png"/><Relationship Id="rId396" Type="http://schemas.openxmlformats.org/officeDocument/2006/relationships/image" Target="media/image336.png"/><Relationship Id="rId397" Type="http://schemas.openxmlformats.org/officeDocument/2006/relationships/image" Target="media/image337.png"/><Relationship Id="rId398" Type="http://schemas.openxmlformats.org/officeDocument/2006/relationships/image" Target="media/image338.png"/><Relationship Id="rId399" Type="http://schemas.openxmlformats.org/officeDocument/2006/relationships/image" Target="media/image339.png"/><Relationship Id="rId400" Type="http://schemas.openxmlformats.org/officeDocument/2006/relationships/image" Target="media/image340.png"/><Relationship Id="rId401" Type="http://schemas.openxmlformats.org/officeDocument/2006/relationships/image" Target="media/image341.png"/><Relationship Id="rId402" Type="http://schemas.openxmlformats.org/officeDocument/2006/relationships/image" Target="media/image342.png"/><Relationship Id="rId403" Type="http://schemas.openxmlformats.org/officeDocument/2006/relationships/image" Target="media/image343.png"/><Relationship Id="rId404" Type="http://schemas.openxmlformats.org/officeDocument/2006/relationships/image" Target="media/image344.png"/><Relationship Id="rId405" Type="http://schemas.openxmlformats.org/officeDocument/2006/relationships/image" Target="media/image345.png"/><Relationship Id="rId406" Type="http://schemas.openxmlformats.org/officeDocument/2006/relationships/image" Target="media/image346.png"/><Relationship Id="rId407" Type="http://schemas.openxmlformats.org/officeDocument/2006/relationships/image" Target="media/image347.png"/><Relationship Id="rId408" Type="http://schemas.openxmlformats.org/officeDocument/2006/relationships/image" Target="media/image348.png"/><Relationship Id="rId409" Type="http://schemas.openxmlformats.org/officeDocument/2006/relationships/image" Target="media/image349.png"/><Relationship Id="rId410" Type="http://schemas.openxmlformats.org/officeDocument/2006/relationships/image" Target="media/image350.png"/><Relationship Id="rId411" Type="http://schemas.openxmlformats.org/officeDocument/2006/relationships/image" Target="media/image351.png"/><Relationship Id="rId412" Type="http://schemas.openxmlformats.org/officeDocument/2006/relationships/image" Target="media/image352.png"/><Relationship Id="rId413" Type="http://schemas.openxmlformats.org/officeDocument/2006/relationships/image" Target="media/image353.png"/><Relationship Id="rId414" Type="http://schemas.openxmlformats.org/officeDocument/2006/relationships/image" Target="media/image354.png"/><Relationship Id="rId415" Type="http://schemas.openxmlformats.org/officeDocument/2006/relationships/image" Target="media/image355.png"/><Relationship Id="rId416" Type="http://schemas.openxmlformats.org/officeDocument/2006/relationships/image" Target="media/image356.png"/><Relationship Id="rId417" Type="http://schemas.openxmlformats.org/officeDocument/2006/relationships/image" Target="media/image357.png"/><Relationship Id="rId418" Type="http://schemas.openxmlformats.org/officeDocument/2006/relationships/image" Target="media/image358.png"/><Relationship Id="rId419" Type="http://schemas.openxmlformats.org/officeDocument/2006/relationships/image" Target="media/image359.png"/><Relationship Id="rId420" Type="http://schemas.openxmlformats.org/officeDocument/2006/relationships/image" Target="media/image360.png"/><Relationship Id="rId421" Type="http://schemas.openxmlformats.org/officeDocument/2006/relationships/image" Target="media/image361.png"/><Relationship Id="rId422" Type="http://schemas.openxmlformats.org/officeDocument/2006/relationships/image" Target="media/image362.png"/><Relationship Id="rId423" Type="http://schemas.openxmlformats.org/officeDocument/2006/relationships/image" Target="media/image363.png"/><Relationship Id="rId424" Type="http://schemas.openxmlformats.org/officeDocument/2006/relationships/image" Target="media/image364.png"/><Relationship Id="rId425" Type="http://schemas.openxmlformats.org/officeDocument/2006/relationships/image" Target="media/image365.png"/><Relationship Id="rId426" Type="http://schemas.openxmlformats.org/officeDocument/2006/relationships/image" Target="media/image366.png"/><Relationship Id="rId427" Type="http://schemas.openxmlformats.org/officeDocument/2006/relationships/image" Target="media/image367.png"/><Relationship Id="rId428" Type="http://schemas.openxmlformats.org/officeDocument/2006/relationships/image" Target="media/image368.png"/><Relationship Id="rId429" Type="http://schemas.openxmlformats.org/officeDocument/2006/relationships/image" Target="media/image369.png"/><Relationship Id="rId430" Type="http://schemas.openxmlformats.org/officeDocument/2006/relationships/image" Target="media/image370.png"/><Relationship Id="rId431" Type="http://schemas.openxmlformats.org/officeDocument/2006/relationships/image" Target="media/image371.png"/><Relationship Id="rId432" Type="http://schemas.openxmlformats.org/officeDocument/2006/relationships/image" Target="media/image372.png"/><Relationship Id="rId433" Type="http://schemas.openxmlformats.org/officeDocument/2006/relationships/image" Target="media/image373.png"/><Relationship Id="rId434" Type="http://schemas.openxmlformats.org/officeDocument/2006/relationships/image" Target="media/image374.png"/><Relationship Id="rId435" Type="http://schemas.openxmlformats.org/officeDocument/2006/relationships/image" Target="media/image375.png"/><Relationship Id="rId436" Type="http://schemas.openxmlformats.org/officeDocument/2006/relationships/image" Target="media/image376.png"/><Relationship Id="rId437" Type="http://schemas.openxmlformats.org/officeDocument/2006/relationships/image" Target="media/image377.png"/><Relationship Id="rId438" Type="http://schemas.openxmlformats.org/officeDocument/2006/relationships/image" Target="media/image378.png"/><Relationship Id="rId439" Type="http://schemas.openxmlformats.org/officeDocument/2006/relationships/image" Target="media/image379.png"/><Relationship Id="rId440" Type="http://schemas.openxmlformats.org/officeDocument/2006/relationships/image" Target="media/image380.png"/><Relationship Id="rId441" Type="http://schemas.openxmlformats.org/officeDocument/2006/relationships/image" Target="media/image381.png"/><Relationship Id="rId442" Type="http://schemas.openxmlformats.org/officeDocument/2006/relationships/image" Target="media/image382.png"/><Relationship Id="rId443" Type="http://schemas.openxmlformats.org/officeDocument/2006/relationships/image" Target="media/image383.png"/><Relationship Id="rId444" Type="http://schemas.openxmlformats.org/officeDocument/2006/relationships/image" Target="media/image384.png"/><Relationship Id="rId445" Type="http://schemas.openxmlformats.org/officeDocument/2006/relationships/image" Target="media/image385.png"/><Relationship Id="rId446" Type="http://schemas.openxmlformats.org/officeDocument/2006/relationships/image" Target="media/image386.png"/><Relationship Id="rId447" Type="http://schemas.openxmlformats.org/officeDocument/2006/relationships/image" Target="media/image387.png"/><Relationship Id="rId448" Type="http://schemas.openxmlformats.org/officeDocument/2006/relationships/image" Target="media/image388.png"/><Relationship Id="rId449" Type="http://schemas.openxmlformats.org/officeDocument/2006/relationships/image" Target="media/image389.png"/><Relationship Id="rId450" Type="http://schemas.openxmlformats.org/officeDocument/2006/relationships/image" Target="media/image390.png"/><Relationship Id="rId451" Type="http://schemas.openxmlformats.org/officeDocument/2006/relationships/image" Target="media/image391.png"/><Relationship Id="rId452" Type="http://schemas.openxmlformats.org/officeDocument/2006/relationships/image" Target="media/image392.png"/><Relationship Id="rId453" Type="http://schemas.openxmlformats.org/officeDocument/2006/relationships/image" Target="media/image393.png"/><Relationship Id="rId454" Type="http://schemas.openxmlformats.org/officeDocument/2006/relationships/image" Target="media/image394.png"/><Relationship Id="rId455" Type="http://schemas.openxmlformats.org/officeDocument/2006/relationships/image" Target="media/image395.png"/><Relationship Id="rId456" Type="http://schemas.openxmlformats.org/officeDocument/2006/relationships/image" Target="media/image396.png"/><Relationship Id="rId457" Type="http://schemas.openxmlformats.org/officeDocument/2006/relationships/image" Target="media/image397.png"/><Relationship Id="rId458" Type="http://schemas.openxmlformats.org/officeDocument/2006/relationships/image" Target="media/image398.png"/><Relationship Id="rId459" Type="http://schemas.openxmlformats.org/officeDocument/2006/relationships/image" Target="media/image399.png"/><Relationship Id="rId460" Type="http://schemas.openxmlformats.org/officeDocument/2006/relationships/image" Target="media/image400.png"/><Relationship Id="rId461" Type="http://schemas.openxmlformats.org/officeDocument/2006/relationships/image" Target="media/image401.png"/><Relationship Id="rId462" Type="http://schemas.openxmlformats.org/officeDocument/2006/relationships/image" Target="media/image402.png"/><Relationship Id="rId463" Type="http://schemas.openxmlformats.org/officeDocument/2006/relationships/image" Target="media/image403.png"/><Relationship Id="rId464" Type="http://schemas.openxmlformats.org/officeDocument/2006/relationships/image" Target="media/image404.png"/><Relationship Id="rId465" Type="http://schemas.openxmlformats.org/officeDocument/2006/relationships/image" Target="media/image405.png"/><Relationship Id="rId466" Type="http://schemas.openxmlformats.org/officeDocument/2006/relationships/image" Target="media/image406.png"/><Relationship Id="rId467" Type="http://schemas.openxmlformats.org/officeDocument/2006/relationships/image" Target="media/image407.png"/><Relationship Id="rId468" Type="http://schemas.openxmlformats.org/officeDocument/2006/relationships/image" Target="media/image408.png"/><Relationship Id="rId469" Type="http://schemas.openxmlformats.org/officeDocument/2006/relationships/image" Target="media/image409.png"/><Relationship Id="rId470" Type="http://schemas.openxmlformats.org/officeDocument/2006/relationships/image" Target="media/image410.png"/><Relationship Id="rId471" Type="http://schemas.openxmlformats.org/officeDocument/2006/relationships/image" Target="media/image411.png"/><Relationship Id="rId472" Type="http://schemas.openxmlformats.org/officeDocument/2006/relationships/image" Target="media/image412.png"/><Relationship Id="rId473" Type="http://schemas.openxmlformats.org/officeDocument/2006/relationships/image" Target="media/image413.png"/><Relationship Id="rId474" Type="http://schemas.openxmlformats.org/officeDocument/2006/relationships/image" Target="media/image414.png"/><Relationship Id="rId475" Type="http://schemas.openxmlformats.org/officeDocument/2006/relationships/image" Target="media/image415.png"/><Relationship Id="rId476" Type="http://schemas.openxmlformats.org/officeDocument/2006/relationships/image" Target="media/image416.png"/><Relationship Id="rId477" Type="http://schemas.openxmlformats.org/officeDocument/2006/relationships/image" Target="media/image417.png"/><Relationship Id="rId478" Type="http://schemas.openxmlformats.org/officeDocument/2006/relationships/image" Target="media/image418.png"/><Relationship Id="rId479" Type="http://schemas.openxmlformats.org/officeDocument/2006/relationships/image" Target="media/image419.png"/><Relationship Id="rId480" Type="http://schemas.openxmlformats.org/officeDocument/2006/relationships/image" Target="media/image420.png"/><Relationship Id="rId481" Type="http://schemas.openxmlformats.org/officeDocument/2006/relationships/image" Target="media/image421.png"/><Relationship Id="rId482" Type="http://schemas.openxmlformats.org/officeDocument/2006/relationships/image" Target="media/image422.png"/><Relationship Id="rId483" Type="http://schemas.openxmlformats.org/officeDocument/2006/relationships/image" Target="media/image423.png"/><Relationship Id="rId484" Type="http://schemas.openxmlformats.org/officeDocument/2006/relationships/image" Target="media/image424.png"/><Relationship Id="rId485" Type="http://schemas.openxmlformats.org/officeDocument/2006/relationships/image" Target="media/image425.png"/><Relationship Id="rId486" Type="http://schemas.openxmlformats.org/officeDocument/2006/relationships/image" Target="media/image426.png"/><Relationship Id="rId487" Type="http://schemas.openxmlformats.org/officeDocument/2006/relationships/image" Target="media/image427.png"/><Relationship Id="rId488" Type="http://schemas.openxmlformats.org/officeDocument/2006/relationships/image" Target="media/image428.png"/><Relationship Id="rId489" Type="http://schemas.openxmlformats.org/officeDocument/2006/relationships/image" Target="media/image429.png"/><Relationship Id="rId490" Type="http://schemas.openxmlformats.org/officeDocument/2006/relationships/image" Target="media/image430.png"/><Relationship Id="rId491" Type="http://schemas.openxmlformats.org/officeDocument/2006/relationships/image" Target="media/image431.png"/><Relationship Id="rId492" Type="http://schemas.openxmlformats.org/officeDocument/2006/relationships/image" Target="media/image432.png"/><Relationship Id="rId493" Type="http://schemas.openxmlformats.org/officeDocument/2006/relationships/image" Target="media/image433.png"/><Relationship Id="rId494" Type="http://schemas.openxmlformats.org/officeDocument/2006/relationships/image" Target="media/image434.png"/><Relationship Id="rId495" Type="http://schemas.openxmlformats.org/officeDocument/2006/relationships/image" Target="media/image435.png"/><Relationship Id="rId496" Type="http://schemas.openxmlformats.org/officeDocument/2006/relationships/image" Target="media/image436.png"/><Relationship Id="rId497" Type="http://schemas.openxmlformats.org/officeDocument/2006/relationships/image" Target="media/image437.png"/><Relationship Id="rId498" Type="http://schemas.openxmlformats.org/officeDocument/2006/relationships/image" Target="media/image438.png"/><Relationship Id="rId499" Type="http://schemas.openxmlformats.org/officeDocument/2006/relationships/image" Target="media/image439.png"/><Relationship Id="rId500" Type="http://schemas.openxmlformats.org/officeDocument/2006/relationships/image" Target="media/image440.png"/><Relationship Id="rId501" Type="http://schemas.openxmlformats.org/officeDocument/2006/relationships/image" Target="media/image441.png"/><Relationship Id="rId502" Type="http://schemas.openxmlformats.org/officeDocument/2006/relationships/image" Target="media/image442.png"/><Relationship Id="rId503" Type="http://schemas.openxmlformats.org/officeDocument/2006/relationships/image" Target="media/image443.png"/><Relationship Id="rId504" Type="http://schemas.openxmlformats.org/officeDocument/2006/relationships/image" Target="media/image444.png"/><Relationship Id="rId505" Type="http://schemas.openxmlformats.org/officeDocument/2006/relationships/image" Target="media/image445.png"/><Relationship Id="rId180" Type="http://schemas.openxmlformats.org/officeDocument/2006/relationships/hyperlink" Target="http://www.sec.gov/Archives/edgar/data/1392326/000104746907001935/a2176615zex-3_1.htm" TargetMode="External"/><Relationship Id="rId181" Type="http://schemas.openxmlformats.org/officeDocument/2006/relationships/hyperlink" Target="http://www.sec.gov/Archives/edgar/data/1392326/000095015710000320/form6k.htm" TargetMode="External"/><Relationship Id="rId182" Type="http://schemas.openxmlformats.org/officeDocument/2006/relationships/hyperlink" Target="http://www.sec.gov/Archives/edgar/data/1392326/000095012311087926/y92932exv99wi.htm" TargetMode="External"/><Relationship Id="rId183" Type="http://schemas.openxmlformats.org/officeDocument/2006/relationships/hyperlink" Target="http://www.sec.gov/Archives/edgar/data/1392326/000089183612000054/ex_99-2.htm" TargetMode="External"/><Relationship Id="rId184" Type="http://schemas.openxmlformats.org/officeDocument/2006/relationships/hyperlink" Target="http://www.sec.gov/Archives/edgar/data/1392326/000089183613000070/ex_99-2.htm" TargetMode="External"/><Relationship Id="rId185" Type="http://schemas.openxmlformats.org/officeDocument/2006/relationships/hyperlink" Target="http://www.sec.gov/Archives/edgar/data/1392326/000089183614000108/ex_99-1.htm" TargetMode="External"/><Relationship Id="rId186" Type="http://schemas.openxmlformats.org/officeDocument/2006/relationships/hyperlink" Target="http://www.sec.gov/Archives/edgar/data/1392326/000104746907001935/a2176615zex-3_3.htm" TargetMode="External"/><Relationship Id="rId187" Type="http://schemas.openxmlformats.org/officeDocument/2006/relationships/hyperlink" Target="http://www.sec.gov/Archives/edgar/data/1392326/000104746907001935/a2176615zex-3_4.htm" TargetMode="External"/><Relationship Id="rId189" Type="http://schemas.openxmlformats.org/officeDocument/2006/relationships/hyperlink" Target="http://www.sec.gov/Archives/edgar/data/1392326/000104746907001935/a2176615zex-3_5.htm" TargetMode="External"/><Relationship Id="rId190" Type="http://schemas.openxmlformats.org/officeDocument/2006/relationships/hyperlink" Target="http://www.sec.gov/Archives/edgar/data/1392326/000104746907001935/a2176615zex-10_1.htm" TargetMode="External"/><Relationship Id="rId191" Type="http://schemas.openxmlformats.org/officeDocument/2006/relationships/hyperlink" Target="http://www.sec.gov/Archives/edgar/data/1392326/000095015708000257/ex4-2.htm" TargetMode="External"/><Relationship Id="rId192" Type="http://schemas.openxmlformats.org/officeDocument/2006/relationships/hyperlink" Target="http://www.sec.gov/Archives/edgar/data/1392326/000095015708000646/ex10-3.htm" TargetMode="External"/><Relationship Id="rId193" Type="http://schemas.openxmlformats.org/officeDocument/2006/relationships/hyperlink" Target="http://www.sec.gov/Archives/edgar/data/1392326/000095015710000073/ex4-4.htm" TargetMode="External"/><Relationship Id="rId194" Type="http://schemas.openxmlformats.org/officeDocument/2006/relationships/hyperlink" Target="http://www.sec.gov/Archives/edgar/data/1392326/000095015710000073/ex4-5.htm" TargetMode="External"/><Relationship Id="rId195" Type="http://schemas.openxmlformats.org/officeDocument/2006/relationships/hyperlink" Target="http://www.sec.gov/Archives/edgar/data/1392326/000095015710000073/ex4-6.htm" TargetMode="External"/><Relationship Id="rId196" Type="http://schemas.openxmlformats.org/officeDocument/2006/relationships/hyperlink" Target="http://www.sec.gov/Archives/edgar/data/1392326/000095015711000101/ex4-7.htm" TargetMode="External"/><Relationship Id="rId197" Type="http://schemas.openxmlformats.org/officeDocument/2006/relationships/hyperlink" Target="http://www.sec.gov/Archives/edgar/data/1392326/000095015711000101/ex4-8.htm" TargetMode="External"/><Relationship Id="rId198" Type="http://schemas.openxmlformats.org/officeDocument/2006/relationships/hyperlink" Target="http://www.sec.gov/Archives/edgar/data/1392326/000119312512055592/d296594dex49.htm" TargetMode="External"/><Relationship Id="rId199" Type="http://schemas.openxmlformats.org/officeDocument/2006/relationships/hyperlink" Target="http://www.sec.gov/Archives/edgar/data/1392326/000089183612000056/ex_99-1.htm" TargetMode="External"/><Relationship Id="rId200" Type="http://schemas.openxmlformats.org/officeDocument/2006/relationships/hyperlink" Target="http://www.sec.gov/Archives/edgar/data/1392326/000119312516467071/d140476dex411.htm" TargetMode="External"/><Relationship Id="rId201" Type="http://schemas.openxmlformats.org/officeDocument/2006/relationships/hyperlink" Target="http://www.sec.gov/Archives/edgar/data/1392326/000119312516467071/d140476dex412.htm" TargetMode="External"/><Relationship Id="rId202" Type="http://schemas.openxmlformats.org/officeDocument/2006/relationships/hyperlink" Target="http://www.sec.gov/Archives/edgar/data/1392326/000095015708000257/ex4-10.htm" TargetMode="External"/><Relationship Id="rId203" Type="http://schemas.openxmlformats.org/officeDocument/2006/relationships/hyperlink" Target="http://www.sec.gov/Archives/edgar/data/1392326/000095015710000073/ex4-19.htm" TargetMode="External"/><Relationship Id="rId204" Type="http://schemas.openxmlformats.org/officeDocument/2006/relationships/hyperlink" Target="http://www.sec.gov/Archives/edgar/data/1392326/000095015711000101/ex4-11.htm" TargetMode="External"/><Relationship Id="rId205" Type="http://schemas.openxmlformats.org/officeDocument/2006/relationships/hyperlink" Target="http://www.sec.gov/Archives/edgar/data/1392326/000089183612000056/ex_99-2.htm" TargetMode="External"/><Relationship Id="rId206" Type="http://schemas.openxmlformats.org/officeDocument/2006/relationships/hyperlink" Target="http://www.sec.gov/Archives/edgar/data/1392326/000119312513038546/d472929dex415.htm" TargetMode="External"/><Relationship Id="rId207" Type="http://schemas.openxmlformats.org/officeDocument/2006/relationships/hyperlink" Target="http://www.sec.gov/Archives/edgar/data/1392326/000119312516467071/d140476dex418.htm" TargetMode="External"/><Relationship Id="rId208" Type="http://schemas.openxmlformats.org/officeDocument/2006/relationships/hyperlink" Target="http://www.sec.gov/Archives/edgar/data/1392326/000119312512055592/d296594dex412.htm" TargetMode="External"/><Relationship Id="rId209" Type="http://schemas.openxmlformats.org/officeDocument/2006/relationships/hyperlink" Target="http://www.sec.gov/Archives/edgar/data/1392326/000119312516467071/d140476dex420.htm" TargetMode="External"/><Relationship Id="rId210" Type="http://schemas.openxmlformats.org/officeDocument/2006/relationships/hyperlink" Target="http://www.sec.gov/Archives/edgar/data/1392326/000119312514057161/d679697dex418.htm" TargetMode="External"/><Relationship Id="rId211" Type="http://schemas.openxmlformats.org/officeDocument/2006/relationships/hyperlink" Target="http://www.sec.gov/Archives/edgar/data/1392326/000119312517030840/d327574dex422.htm" TargetMode="External"/><Relationship Id="rId212" Type="http://schemas.openxmlformats.org/officeDocument/2006/relationships/hyperlink" Target="http://www.sec.gov/Archives/edgar/data/1392326/000119312517030840/d327574dex423.htm" TargetMode="External"/><Relationship Id="rId213" Type="http://schemas.openxmlformats.org/officeDocument/2006/relationships/hyperlink" Target="http://www.sec.gov/Archives/edgar/data/1392326/000119312517282637/d449854dex99ii.htm" TargetMode="External"/><Relationship Id="rId214" Type="http://schemas.openxmlformats.org/officeDocument/2006/relationships/hyperlink" Target="http://www.sec.gov/Archives/edgar/data/1392326/000095012311087926/y92932exv99wii.htm" TargetMode="External"/><Relationship Id="rId216" Type="http://schemas.openxmlformats.org/officeDocument/2006/relationships/hyperlink" Target="http://www.sec.gov/Archives/edgar/data/1392326/000119312512055592/d296594dex426.htm" TargetMode="External"/><Relationship Id="rId217" Type="http://schemas.openxmlformats.org/officeDocument/2006/relationships/hyperlink" Target="http://www.sec.gov/Archives/edgar/data/1392326/000119312514057161/d679697dex443.htm" TargetMode="External"/><Relationship Id="rId218" Type="http://schemas.openxmlformats.org/officeDocument/2006/relationships/hyperlink" Target="http://www.sec.gov/Archives/edgar/data/1481055/000095012310019503/y82917exv10w1.htm" TargetMode="External"/><Relationship Id="rId219" Type="http://schemas.openxmlformats.org/officeDocument/2006/relationships/hyperlink" Target="http://www.sec.gov/Archives/edgar/data/1481055/000089183611000074/exh_4-13.htm" TargetMode="External"/><Relationship Id="rId220" Type="http://schemas.openxmlformats.org/officeDocument/2006/relationships/hyperlink" Target="http://www.sec.gov/Archives/edgar/data/1481055/000089183611000074/exh_4-14.htm" TargetMode="External"/><Relationship Id="rId221" Type="http://schemas.openxmlformats.org/officeDocument/2006/relationships/hyperlink" Target="http://www.sec.gov/Archives/edgar/data/1392326/000104746907001935/a2176615zex-10_4.htm" TargetMode="External"/><Relationship Id="rId222" Type="http://schemas.openxmlformats.org/officeDocument/2006/relationships/hyperlink" Target="http://www.sec.gov/Archives/edgar/data/1392326/000119312513038546/d472929dex442.htm" TargetMode="External"/><Relationship Id="rId223" Type="http://schemas.openxmlformats.org/officeDocument/2006/relationships/hyperlink" Target="http://www.sec.gov/Archives/edgar/data/1392326/000119312516467071/d140476dex458.htm" TargetMode="External"/><Relationship Id="rId224" Type="http://schemas.openxmlformats.org/officeDocument/2006/relationships/hyperlink" Target="http://www.sec.gov/Archives/edgar/data/1392326/000119312516467071/d140476dex459.htm" TargetMode="External"/><Relationship Id="rId225" Type="http://schemas.openxmlformats.org/officeDocument/2006/relationships/hyperlink" Target="http://www.sec.gov/Archives/edgar/data/1392326/000119312516467071/d140476dex460.htm" TargetMode="External"/><Relationship Id="rId226" Type="http://schemas.openxmlformats.org/officeDocument/2006/relationships/hyperlink" Target="http://www.sec.gov/Archives/edgar/data/1392326/000119312516467071/d140476dex461.htm" TargetMode="External"/><Relationship Id="rId227" Type="http://schemas.openxmlformats.org/officeDocument/2006/relationships/hyperlink" Target="http://www.sec.gov/Archives/edgar/data/1392326/000119312517030840/d327574dex465.htm" TargetMode="External"/><Relationship Id="rId228" Type="http://schemas.openxmlformats.org/officeDocument/2006/relationships/hyperlink" Target="http://www.sec.gov/Archives/edgar/data/1392326/000119312517030840/d327574dex466.htm" TargetMode="External"/><Relationship Id="rId229" Type="http://schemas.openxmlformats.org/officeDocument/2006/relationships/hyperlink" Target="http://www.sec.gov/Archives/edgar/data/1392326/000089183614000092/ex_99-1.htm" TargetMode="External"/><Relationship Id="rId230" Type="http://schemas.openxmlformats.org/officeDocument/2006/relationships/hyperlink" Target="http://www.sec.gov/Archives/edgar/data/1392326/000095015708000319/form6k.htm" TargetMode="External"/><Relationship Id="rId231" Type="http://schemas.openxmlformats.org/officeDocument/2006/relationships/hyperlink" Target="http://www.sec.gov/Archives/edgar/data/1392326/000095015711000101/ex4-35.htm" TargetMode="External"/><Relationship Id="rId232" Type="http://schemas.openxmlformats.org/officeDocument/2006/relationships/hyperlink" Target="http://www.sec.gov/Archives/edgar/data/1481055/000095012310019503/y82917exv10w6.htm" TargetMode="External"/><Relationship Id="rId233" Type="http://schemas.openxmlformats.org/officeDocument/2006/relationships/hyperlink" Target="http://www.sec.gov/Archives/edgar/data/1392326/000095015711000101/ex4-36.htm" TargetMode="External"/><Relationship Id="rId234" Type="http://schemas.openxmlformats.org/officeDocument/2006/relationships/hyperlink" Target="http://www.sec.gov/Archives/edgar/data/1392326/000119312516707029/d232286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2019-12-07T08:14:20Z</dcterms:created>
  <dcterms:modified xsi:type="dcterms:W3CDTF">2019-12-07T08:14:20Z</dcterms:modified>
</cp:coreProperties>
</file>