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20-F/A</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1)</w:t>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87" w:lineRule="exact"/>
        <w:rPr>
          <w:sz w:val="24"/>
          <w:szCs w:val="24"/>
          <w:color w:val="auto"/>
        </w:rPr>
      </w:pPr>
    </w:p>
    <w:p>
      <w:pPr>
        <w:ind w:left="920" w:hanging="692"/>
        <w:spacing w:after="0"/>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113" w:lineRule="exact"/>
        <w:rPr>
          <w:rFonts w:ascii="MS PGothic" w:cs="MS PGothic" w:eastAsia="MS PGothic" w:hAnsi="MS PGothic"/>
          <w:sz w:val="16"/>
          <w:szCs w:val="16"/>
          <w:color w:val="auto"/>
        </w:rPr>
      </w:pPr>
    </w:p>
    <w:p>
      <w:pPr>
        <w:ind w:left="55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060" w:right="1800" w:hanging="3832"/>
        <w:spacing w:after="0" w:line="369" w:lineRule="auto"/>
        <w:tabs>
          <w:tab w:leader="none" w:pos="9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920" w:hanging="69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80"/>
          </w:cols>
          <w:pgMar w:left="240" w:top="341" w:right="379" w:bottom="0" w:gutter="0" w:footer="0" w:header="0"/>
        </w:sectPr>
      </w:pPr>
    </w:p>
    <w:p>
      <w:pPr>
        <w:spacing w:after="0" w:line="90"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280"/>
          </w:cols>
          <w:pgMar w:left="240" w:top="341" w:right="379" w:bottom="0" w:gutter="0" w:footer="0" w:header="0"/>
          <w:type w:val="continuous"/>
        </w:sectPr>
      </w:pPr>
    </w:p>
    <w:p>
      <w:pPr>
        <w:spacing w:after="0" w:line="212" w:lineRule="exact"/>
        <w:rPr>
          <w:sz w:val="24"/>
          <w:szCs w:val="24"/>
          <w:color w:val="auto"/>
        </w:rPr>
      </w:pPr>
    </w:p>
    <w:p>
      <w:pPr>
        <w:ind w:left="3380" w:right="1020" w:hanging="3372"/>
        <w:spacing w:after="0" w:line="369" w:lineRule="auto"/>
        <w:tabs>
          <w:tab w:leader="none" w:pos="911"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1-33373</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CAPITAL PRODUCT PARTNERS L.P.</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+30 210 458 4950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and telephone number of principal executive offices and company contact person)</w:t>
      </w:r>
    </w:p>
    <w:p>
      <w:pPr>
        <w:spacing w:after="0" w:line="1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Ioannis E. Lazaridis, </w:t>
      </w:r>
      <w:r>
        <w:rPr>
          <w:rFonts w:ascii="Arial" w:cs="Arial" w:eastAsia="Arial" w:hAnsi="Arial"/>
          <w:sz w:val="18"/>
          <w:szCs w:val="18"/>
          <w:b w:val="1"/>
          <w:bCs w:val="1"/>
          <w:u w:val="single" w:color="auto"/>
          <w:color w:val="auto"/>
        </w:rPr>
        <w:t>i.lazaridis@capitalpplp.com</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(Name and Email of company contact person)</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394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22"/>
        </w:trPr>
        <w:tc>
          <w:tcPr>
            <w:tcW w:w="3420" w:type="dxa"/>
            <w:vAlign w:val="bottom"/>
            <w:gridSpan w:val="2"/>
          </w:tcPr>
          <w:p>
            <w:pPr>
              <w:ind w:left="740"/>
              <w:spacing w:after="0"/>
              <w:rPr>
                <w:sz w:val="20"/>
                <w:szCs w:val="20"/>
                <w:color w:val="auto"/>
              </w:rPr>
            </w:pPr>
            <w:r>
              <w:rPr>
                <w:rFonts w:ascii="Arial" w:cs="Arial" w:eastAsia="Arial" w:hAnsi="Arial"/>
                <w:sz w:val="18"/>
                <w:szCs w:val="18"/>
                <w:b w:val="1"/>
                <w:bCs w:val="1"/>
                <w:color w:val="auto"/>
                <w:w w:val="87"/>
              </w:rPr>
              <w:t>Common units representing limited</w:t>
            </w: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partnership interests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Nasdaq Global Market</w:t>
            </w:r>
          </w:p>
        </w:tc>
      </w:tr>
      <w:tr>
        <w:trPr>
          <w:trHeight w:val="364"/>
        </w:trPr>
        <w:tc>
          <w:tcPr>
            <w:tcW w:w="736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tc>
        <w:tc>
          <w:tcPr>
            <w:tcW w:w="2660" w:type="dxa"/>
            <w:vAlign w:val="bottom"/>
          </w:tcPr>
          <w:p>
            <w:pPr>
              <w:spacing w:after="0"/>
              <w:rPr>
                <w:sz w:val="24"/>
                <w:szCs w:val="24"/>
                <w:color w:val="auto"/>
              </w:rPr>
            </w:pPr>
          </w:p>
        </w:tc>
      </w:tr>
      <w:tr>
        <w:trPr>
          <w:trHeight w:val="378"/>
        </w:trPr>
        <w:tc>
          <w:tcPr>
            <w:tcW w:w="7360" w:type="dxa"/>
            <w:vAlign w:val="bottom"/>
            <w:gridSpan w:val="3"/>
          </w:tcPr>
          <w:p>
            <w:pPr>
              <w:spacing w:after="0"/>
              <w:rPr>
                <w:sz w:val="20"/>
                <w:szCs w:val="20"/>
                <w:color w:val="auto"/>
              </w:rPr>
            </w:pPr>
            <w:r>
              <w:rPr>
                <w:rFonts w:ascii="Arial" w:cs="Arial" w:eastAsia="Arial" w:hAnsi="Arial"/>
                <w:sz w:val="18"/>
                <w:szCs w:val="18"/>
                <w:color w:val="auto"/>
                <w:w w:val="99"/>
              </w:rPr>
              <w:t xml:space="preserve">Securities for which there is a reporting obligation pursuant to Section 15(d) of the Act: </w:t>
            </w:r>
            <w:r>
              <w:rPr>
                <w:rFonts w:ascii="Arial" w:cs="Arial" w:eastAsia="Arial" w:hAnsi="Arial"/>
                <w:sz w:val="18"/>
                <w:szCs w:val="18"/>
                <w:b w:val="1"/>
                <w:bCs w:val="1"/>
                <w:color w:val="auto"/>
                <w:w w:val="99"/>
              </w:rPr>
              <w:t>None</w:t>
            </w:r>
          </w:p>
        </w:tc>
        <w:tc>
          <w:tcPr>
            <w:tcW w:w="2660" w:type="dxa"/>
            <w:vAlign w:val="bottom"/>
          </w:tcPr>
          <w:p>
            <w:pPr>
              <w:spacing w:after="0"/>
              <w:rPr>
                <w:sz w:val="24"/>
                <w:szCs w:val="24"/>
                <w:color w:val="auto"/>
              </w:rPr>
            </w:pPr>
          </w:p>
        </w:tc>
      </w:tr>
    </w:tbl>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88"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69,372,077 Common Units</w:t>
      </w:r>
    </w:p>
    <w:p>
      <w:pPr>
        <w:spacing w:after="0" w:line="21"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1,415,757 General Partner Units</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58" w:lineRule="exact"/>
        <w:rPr>
          <w:sz w:val="24"/>
          <w:szCs w:val="24"/>
          <w:color w:val="auto"/>
        </w:rPr>
      </w:pPr>
    </w:p>
    <w:p>
      <w:pPr>
        <w:ind w:left="5020"/>
        <w:spacing w:after="0" w:line="207" w:lineRule="exact"/>
        <w:tabs>
          <w:tab w:leader="none" w:pos="5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4" w:lineRule="exact"/>
        <w:rPr>
          <w:sz w:val="24"/>
          <w:szCs w:val="24"/>
          <w:color w:val="auto"/>
        </w:rPr>
      </w:pPr>
    </w:p>
    <w:p>
      <w:pPr>
        <w:ind w:right="580"/>
        <w:spacing w:after="0" w:line="26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8" w:lineRule="exact"/>
        <w:rPr>
          <w:sz w:val="24"/>
          <w:szCs w:val="24"/>
          <w:color w:val="auto"/>
        </w:rPr>
      </w:pPr>
    </w:p>
    <w:p>
      <w:pPr>
        <w:jc w:val="center"/>
        <w:ind w:right="-139"/>
        <w:spacing w:after="0" w:line="207" w:lineRule="exact"/>
        <w:tabs>
          <w:tab w:leader="none" w:pos="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4"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ind w:right="-139"/>
        <w:spacing w:after="0" w:line="207" w:lineRule="exact"/>
        <w:tabs>
          <w:tab w:leader="none" w:pos="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7" w:lineRule="exact"/>
        <w:rPr>
          <w:sz w:val="24"/>
          <w:szCs w:val="24"/>
          <w:color w:val="auto"/>
        </w:rPr>
      </w:pPr>
    </w:p>
    <w:p>
      <w:pPr>
        <w:jc w:val="center"/>
        <w:ind w:right="-139"/>
        <w:spacing w:after="0" w:line="207" w:lineRule="exact"/>
        <w:tabs>
          <w:tab w:leader="none" w:pos="3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4"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302" w:lineRule="exact"/>
        <w:rPr>
          <w:sz w:val="24"/>
          <w:szCs w:val="24"/>
          <w:color w:val="auto"/>
        </w:rPr>
      </w:pPr>
    </w:p>
    <w:p>
      <w:pPr>
        <w:ind w:left="2480"/>
        <w:spacing w:after="0" w:line="207" w:lineRule="exact"/>
        <w:tabs>
          <w:tab w:leader="none" w:pos="5020" w:val="left"/>
          <w:tab w:leader="none" w:pos="7180" w:val="left"/>
        </w:tabs>
        <w:rPr>
          <w:sz w:val="20"/>
          <w:szCs w:val="20"/>
          <w:color w:val="auto"/>
        </w:rPr>
      </w:pPr>
      <w:r>
        <w:rPr>
          <w:rFonts w:ascii="Arial" w:cs="Arial" w:eastAsia="Arial" w:hAnsi="Arial"/>
          <w:sz w:val="18"/>
          <w:szCs w:val="18"/>
          <w:color w:val="auto"/>
        </w:rPr>
        <w:t xml:space="preserve">Large accelerated file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ectPr>
          <w:pgSz w:w="11900" w:h="16838" w:orient="portrait"/>
          <w:cols w:equalWidth="0" w:num="1">
            <w:col w:w="11280"/>
          </w:cols>
          <w:pgMar w:left="240" w:top="341" w:right="3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p>
      <w:pPr>
        <w:sectPr>
          <w:pgSz w:w="11900" w:h="16838" w:orient="portrait"/>
          <w:cols w:equalWidth="0" w:num="1">
            <w:col w:w="11060"/>
          </w:cols>
          <w:pgMar w:left="240" w:top="131" w:right="599" w:bottom="1440" w:gutter="0" w:footer="0" w:header="0"/>
        </w:sectPr>
      </w:pPr>
    </w:p>
    <w:p>
      <w:pPr>
        <w:spacing w:after="0" w:line="24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1360"/>
        <w:spacing w:after="0" w:line="229" w:lineRule="exact"/>
        <w:rPr>
          <w:sz w:val="20"/>
          <w:szCs w:val="20"/>
          <w:color w:val="auto"/>
        </w:rPr>
      </w:pPr>
      <w:r>
        <w:rPr>
          <w:rFonts w:ascii="Arial" w:cs="Arial" w:eastAsia="Arial" w:hAnsi="Arial"/>
          <w:sz w:val="15"/>
          <w:szCs w:val="15"/>
          <w:color w:val="auto"/>
        </w:rPr>
        <w:t xml:space="preserve">International Financial Reporting Standards as issued by the International Accounting Standards Board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80" w:lineRule="exact"/>
        <w:rPr>
          <w:sz w:val="20"/>
          <w:szCs w:val="20"/>
          <w:color w:val="auto"/>
        </w:rPr>
      </w:pPr>
    </w:p>
    <w:p>
      <w:pPr>
        <w:sectPr>
          <w:pgSz w:w="11900" w:h="16838" w:orient="portrait"/>
          <w:cols w:equalWidth="0" w:num="5">
            <w:col w:w="2280" w:space="80"/>
            <w:col w:w="420" w:space="720"/>
            <w:col w:w="5120" w:space="720"/>
            <w:col w:w="400" w:space="80"/>
            <w:col w:w="1240"/>
          </w:cols>
          <w:pgMar w:left="240" w:top="131" w:right="599" w:bottom="1440" w:gutter="0" w:footer="0" w:header="0"/>
          <w:type w:val="continuous"/>
        </w:sectPr>
      </w:pPr>
    </w:p>
    <w:p>
      <w:pPr>
        <w:jc w:val="center"/>
        <w:spacing w:after="0" w:line="270"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statements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37" w:lineRule="exact"/>
        <w:rPr>
          <w:sz w:val="20"/>
          <w:szCs w:val="20"/>
          <w:color w:val="auto"/>
        </w:rPr>
      </w:pPr>
    </w:p>
    <w:p>
      <w:pPr>
        <w:ind w:left="5200" w:right="1240" w:hanging="5185"/>
        <w:spacing w:after="0" w:line="270"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purpose of this Amendment No. 1 to our Annual Report on Form 20-F for the fiscal year ended December 31, 2011, as filed with the Securities and Exchange Commission on February 13, 2012 (the “Annual Report”), is to furnish the interactive data files as Exhibit 101 to the Annual Report. This Exhibit 101 was not previously filed. Exhibit 101 to this Amendment No. 1 provides the following items from the Annual Report formatted in XBRL (Extensible Business Reporting Language): (i) our consolidated balance sheets as of December 31, 2011 and 2010, (ii) our consolidated statements of income for the years ended December 31, 2011, 2010 and 2009, (iii) our consolidated statements of changes in partners’ capital/ stockholders’ equity for the years ended December 31, 2011, 2010 and 2009, (iv) our consolidated statements of cash flows for the years ended December 31, 2011, 2010 and 2009 and (v) the notes to our consolidated financial statements.</w:t>
      </w:r>
    </w:p>
    <w:p>
      <w:pPr>
        <w:spacing w:after="0" w:line="14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Users of this data are advised that pursuant to Rule 406T of Regulation S-T, these interactive data files are deemed not filed or part of any registration statement or prospectus for purposes of sections 11 or 12 of the Securities Act of 1933, are deemed not filed for purposes of section 18 of the Securities and Exchange Act of 1934, and otherwise are not subject to liability under those sections.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other changes have been made to the Annual Report other than those described above. This Form 20-F/A does not reflect subsequent events occurring after the original filing date of the Annual Report and does not, and does not purport to, modify, restate or update in any way disclosures made in the Annual Report.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19"/>
                <w:szCs w:val="19"/>
                <w:color w:val="auto"/>
              </w:rPr>
            </w:pPr>
          </w:p>
        </w:tc>
        <w:tc>
          <w:tcPr>
            <w:tcW w:w="10260" w:type="dxa"/>
            <w:vAlign w:val="bottom"/>
          </w:tcPr>
          <w:p>
            <w:pPr>
              <w:spacing w:after="0"/>
              <w:rPr>
                <w:sz w:val="19"/>
                <w:szCs w:val="19"/>
                <w:color w:val="auto"/>
              </w:rPr>
            </w:pPr>
          </w:p>
        </w:tc>
      </w:tr>
      <w:tr>
        <w:trPr>
          <w:trHeight w:val="29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54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60"/>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amendment No. 1 to its Annual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Ioannis E. Lazaridis</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03"/>
        </w:trPr>
        <w:tc>
          <w:tcPr>
            <w:tcW w:w="60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Name:</w:t>
            </w:r>
          </w:p>
        </w:tc>
        <w:tc>
          <w:tcPr>
            <w:tcW w:w="36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Ioannis E. Lazaridis</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Title:</w:t>
            </w:r>
          </w:p>
        </w:tc>
        <w:tc>
          <w:tcPr>
            <w:tcW w:w="3640" w:type="dxa"/>
            <w:vAlign w:val="bottom"/>
          </w:tcPr>
          <w:p>
            <w:pPr>
              <w:ind w:left="80"/>
              <w:spacing w:after="0"/>
              <w:rPr>
                <w:sz w:val="20"/>
                <w:szCs w:val="20"/>
                <w:color w:val="auto"/>
              </w:rPr>
            </w:pPr>
            <w:r>
              <w:rPr>
                <w:rFonts w:ascii="Arial" w:cs="Arial" w:eastAsia="Arial" w:hAnsi="Arial"/>
                <w:sz w:val="18"/>
                <w:szCs w:val="18"/>
                <w:color w:val="auto"/>
              </w:rPr>
              <w:t>Chief Executive Officer and Chief Financial</w:t>
            </w:r>
          </w:p>
        </w:tc>
      </w:tr>
      <w:tr>
        <w:trPr>
          <w:trHeight w:val="222"/>
        </w:trPr>
        <w:tc>
          <w:tcPr>
            <w:tcW w:w="6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8"/>
                <w:szCs w:val="18"/>
                <w:color w:val="auto"/>
              </w:rPr>
              <w:t>Officer of Capital GP L.L.C.</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2019-12-09T18:25:04Z</dcterms:created>
  <dcterms:modified xsi:type="dcterms:W3CDTF">2019-12-09T18:25:04Z</dcterms:modified>
</cp:coreProperties>
</file>